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hint="eastAsia" w:ascii="黑体" w:hAnsi="黑体" w:eastAsia="黑体" w:cs="黑体"/>
          <w:b/>
          <w:color w:val="000000"/>
          <w:sz w:val="44"/>
          <w:lang w:val="en-US" w:eastAsia="zh-CN"/>
        </w:rPr>
        <w:t>中国共产主义青年团石家庄市藁城区委员会</w:t>
      </w:r>
      <w:r>
        <w:rPr>
          <w:rFonts w:ascii="黑体" w:hAnsi="黑体" w:eastAsia="黑体" w:cs="黑体"/>
          <w:b/>
          <w:color w:val="000000"/>
          <w:sz w:val="44"/>
        </w:rPr>
        <w:t>2022年</w:t>
      </w:r>
      <w:r>
        <w:rPr>
          <w:rFonts w:hint="eastAsia" w:ascii="黑体" w:hAnsi="黑体" w:eastAsia="黑体" w:cs="黑体"/>
          <w:b/>
          <w:color w:val="000000"/>
          <w:sz w:val="44"/>
          <w:lang w:val="en-US" w:eastAsia="zh-CN"/>
        </w:rPr>
        <w:t>度</w:t>
      </w:r>
      <w:r>
        <w:rPr>
          <w:rFonts w:ascii="黑体" w:hAnsi="黑体" w:eastAsia="黑体" w:cs="黑体"/>
          <w:b/>
          <w:color w:val="000000"/>
          <w:sz w:val="44"/>
        </w:rPr>
        <w:t>部门预算公开</w:t>
      </w:r>
      <w:bookmarkStart w:id="18" w:name="_GoBack"/>
      <w:bookmarkEnd w:id="18"/>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4"/>
        <w:tabs>
          <w:tab w:val="right" w:leader="dot" w:pos="14800"/>
        </w:tabs>
      </w:pPr>
      <w:r>
        <w:fldChar w:fldCharType="begin"/>
      </w:r>
      <w:r>
        <w:instrText xml:space="preserve">TOC \o "2-2" \h \z \u</w:instrText>
      </w:r>
      <w:r>
        <w:fldChar w:fldCharType="separate"/>
      </w:r>
      <w:r>
        <w:fldChar w:fldCharType="begin"/>
      </w:r>
      <w:r>
        <w:instrText xml:space="preserve"> HYPERLINK \l _Toc29941 </w:instrText>
      </w:r>
      <w:r>
        <w:fldChar w:fldCharType="separate"/>
      </w:r>
      <w:r>
        <w:rPr>
          <w:rFonts w:ascii="方正小标宋_GBK" w:hAnsi="方正小标宋_GBK" w:eastAsia="方正小标宋_GBK" w:cs="方正小标宋_GBK"/>
        </w:rPr>
        <w:t>部门预算收支总表</w:t>
      </w:r>
      <w:r>
        <w:tab/>
      </w:r>
      <w:r>
        <w:fldChar w:fldCharType="begin"/>
      </w:r>
      <w:r>
        <w:instrText xml:space="preserve"> PAGEREF _Toc29941 \h </w:instrText>
      </w:r>
      <w:r>
        <w:fldChar w:fldCharType="separate"/>
      </w:r>
      <w:r>
        <w:t>3</w:t>
      </w:r>
      <w:r>
        <w:fldChar w:fldCharType="end"/>
      </w:r>
      <w:r>
        <w:fldChar w:fldCharType="end"/>
      </w:r>
    </w:p>
    <w:p>
      <w:pPr>
        <w:pStyle w:val="4"/>
        <w:tabs>
          <w:tab w:val="right" w:leader="dot" w:pos="14800"/>
        </w:tabs>
      </w:pPr>
      <w:r>
        <w:fldChar w:fldCharType="begin"/>
      </w:r>
      <w:r>
        <w:instrText xml:space="preserve"> HYPERLINK \l _Toc2649 </w:instrText>
      </w:r>
      <w:r>
        <w:fldChar w:fldCharType="separate"/>
      </w:r>
      <w:r>
        <w:rPr>
          <w:rFonts w:ascii="方正小标宋_GBK" w:hAnsi="方正小标宋_GBK" w:eastAsia="方正小标宋_GBK" w:cs="方正小标宋_GBK"/>
        </w:rPr>
        <w:t>部门预算收入总表</w:t>
      </w:r>
      <w:r>
        <w:tab/>
      </w:r>
      <w:r>
        <w:fldChar w:fldCharType="begin"/>
      </w:r>
      <w:r>
        <w:instrText xml:space="preserve"> PAGEREF _Toc2649 \h </w:instrText>
      </w:r>
      <w:r>
        <w:fldChar w:fldCharType="separate"/>
      </w:r>
      <w:r>
        <w:t>6</w:t>
      </w:r>
      <w:r>
        <w:fldChar w:fldCharType="end"/>
      </w:r>
      <w:r>
        <w:fldChar w:fldCharType="end"/>
      </w:r>
    </w:p>
    <w:p>
      <w:pPr>
        <w:pStyle w:val="4"/>
        <w:tabs>
          <w:tab w:val="right" w:leader="dot" w:pos="14800"/>
        </w:tabs>
      </w:pPr>
      <w:r>
        <w:fldChar w:fldCharType="begin"/>
      </w:r>
      <w:r>
        <w:instrText xml:space="preserve"> HYPERLINK \l _Toc1830 </w:instrText>
      </w:r>
      <w:r>
        <w:fldChar w:fldCharType="separate"/>
      </w:r>
      <w:r>
        <w:rPr>
          <w:rFonts w:ascii="方正小标宋_GBK" w:hAnsi="方正小标宋_GBK" w:eastAsia="方正小标宋_GBK" w:cs="方正小标宋_GBK"/>
        </w:rPr>
        <w:t>部门预算支出总表</w:t>
      </w:r>
      <w:r>
        <w:tab/>
      </w:r>
      <w:r>
        <w:fldChar w:fldCharType="begin"/>
      </w:r>
      <w:r>
        <w:instrText xml:space="preserve"> PAGEREF _Toc1830 \h </w:instrText>
      </w:r>
      <w:r>
        <w:fldChar w:fldCharType="separate"/>
      </w:r>
      <w:r>
        <w:t>8</w:t>
      </w:r>
      <w:r>
        <w:fldChar w:fldCharType="end"/>
      </w:r>
      <w:r>
        <w:fldChar w:fldCharType="end"/>
      </w:r>
    </w:p>
    <w:p>
      <w:pPr>
        <w:pStyle w:val="4"/>
        <w:tabs>
          <w:tab w:val="right" w:leader="dot" w:pos="14800"/>
        </w:tabs>
      </w:pPr>
      <w:r>
        <w:fldChar w:fldCharType="begin"/>
      </w:r>
      <w:r>
        <w:instrText xml:space="preserve"> HYPERLINK \l _Toc30910 </w:instrText>
      </w:r>
      <w:r>
        <w:fldChar w:fldCharType="separate"/>
      </w:r>
      <w:r>
        <w:rPr>
          <w:rFonts w:ascii="方正小标宋_GBK" w:hAnsi="方正小标宋_GBK" w:eastAsia="方正小标宋_GBK" w:cs="方正小标宋_GBK"/>
        </w:rPr>
        <w:t>部门预算财政拨款收支总表</w:t>
      </w:r>
      <w:r>
        <w:tab/>
      </w:r>
      <w:r>
        <w:fldChar w:fldCharType="begin"/>
      </w:r>
      <w:r>
        <w:instrText xml:space="preserve"> PAGEREF _Toc30910 \h </w:instrText>
      </w:r>
      <w:r>
        <w:fldChar w:fldCharType="separate"/>
      </w:r>
      <w:r>
        <w:t>9</w:t>
      </w:r>
      <w:r>
        <w:fldChar w:fldCharType="end"/>
      </w:r>
      <w:r>
        <w:fldChar w:fldCharType="end"/>
      </w:r>
    </w:p>
    <w:p>
      <w:pPr>
        <w:pStyle w:val="4"/>
        <w:tabs>
          <w:tab w:val="right" w:leader="dot" w:pos="14800"/>
        </w:tabs>
      </w:pPr>
      <w:r>
        <w:fldChar w:fldCharType="begin"/>
      </w:r>
      <w:r>
        <w:instrText xml:space="preserve"> HYPERLINK \l _Toc20265 </w:instrText>
      </w:r>
      <w:r>
        <w:fldChar w:fldCharType="separate"/>
      </w:r>
      <w:r>
        <w:rPr>
          <w:rFonts w:ascii="方正小标宋_GBK" w:hAnsi="方正小标宋_GBK" w:eastAsia="方正小标宋_GBK" w:cs="方正小标宋_GBK"/>
        </w:rPr>
        <w:t>部门预算一般公共预算财政拨款支出表</w:t>
      </w:r>
      <w:r>
        <w:tab/>
      </w:r>
      <w:r>
        <w:fldChar w:fldCharType="begin"/>
      </w:r>
      <w:r>
        <w:instrText xml:space="preserve"> PAGEREF _Toc20265 \h </w:instrText>
      </w:r>
      <w:r>
        <w:fldChar w:fldCharType="separate"/>
      </w:r>
      <w:r>
        <w:t>15</w:t>
      </w:r>
      <w:r>
        <w:fldChar w:fldCharType="end"/>
      </w:r>
      <w:r>
        <w:fldChar w:fldCharType="end"/>
      </w:r>
    </w:p>
    <w:p>
      <w:pPr>
        <w:pStyle w:val="4"/>
        <w:tabs>
          <w:tab w:val="right" w:leader="dot" w:pos="14800"/>
        </w:tabs>
      </w:pPr>
      <w:r>
        <w:fldChar w:fldCharType="begin"/>
      </w:r>
      <w:r>
        <w:instrText xml:space="preserve"> HYPERLINK \l _Toc24769 </w:instrText>
      </w:r>
      <w:r>
        <w:fldChar w:fldCharType="separate"/>
      </w:r>
      <w:r>
        <w:rPr>
          <w:rFonts w:ascii="方正小标宋_GBK" w:hAnsi="方正小标宋_GBK" w:eastAsia="方正小标宋_GBK" w:cs="方正小标宋_GBK"/>
        </w:rPr>
        <w:t>部门预算一般公共预算财政拨款基本支出表</w:t>
      </w:r>
      <w:r>
        <w:tab/>
      </w:r>
      <w:r>
        <w:fldChar w:fldCharType="begin"/>
      </w:r>
      <w:r>
        <w:instrText xml:space="preserve"> PAGEREF _Toc24769 \h </w:instrText>
      </w:r>
      <w:r>
        <w:fldChar w:fldCharType="separate"/>
      </w:r>
      <w:r>
        <w:t>16</w:t>
      </w:r>
      <w:r>
        <w:fldChar w:fldCharType="end"/>
      </w:r>
      <w:r>
        <w:fldChar w:fldCharType="end"/>
      </w:r>
    </w:p>
    <w:p>
      <w:pPr>
        <w:pStyle w:val="4"/>
        <w:tabs>
          <w:tab w:val="right" w:leader="dot" w:pos="14800"/>
        </w:tabs>
      </w:pPr>
      <w:r>
        <w:fldChar w:fldCharType="begin"/>
      </w:r>
      <w:r>
        <w:instrText xml:space="preserve"> HYPERLINK \l _Toc27171 </w:instrText>
      </w:r>
      <w:r>
        <w:fldChar w:fldCharType="separate"/>
      </w:r>
      <w:r>
        <w:rPr>
          <w:rFonts w:ascii="方正小标宋_GBK" w:hAnsi="方正小标宋_GBK" w:eastAsia="方正小标宋_GBK" w:cs="方正小标宋_GBK"/>
        </w:rPr>
        <w:t>部门预算政府基金预算财政拨款支出表</w:t>
      </w:r>
      <w:r>
        <w:tab/>
      </w:r>
      <w:r>
        <w:fldChar w:fldCharType="begin"/>
      </w:r>
      <w:r>
        <w:instrText xml:space="preserve"> PAGEREF _Toc27171 \h </w:instrText>
      </w:r>
      <w:r>
        <w:fldChar w:fldCharType="separate"/>
      </w:r>
      <w:r>
        <w:t>18</w:t>
      </w:r>
      <w:r>
        <w:fldChar w:fldCharType="end"/>
      </w:r>
      <w:r>
        <w:fldChar w:fldCharType="end"/>
      </w:r>
    </w:p>
    <w:p>
      <w:pPr>
        <w:pStyle w:val="4"/>
        <w:tabs>
          <w:tab w:val="right" w:leader="dot" w:pos="14800"/>
        </w:tabs>
      </w:pPr>
      <w:r>
        <w:fldChar w:fldCharType="begin"/>
      </w:r>
      <w:r>
        <w:instrText xml:space="preserve"> HYPERLINK \l _Toc23918 </w:instrText>
      </w:r>
      <w:r>
        <w:fldChar w:fldCharType="separate"/>
      </w:r>
      <w:r>
        <w:rPr>
          <w:rFonts w:ascii="方正小标宋_GBK" w:hAnsi="方正小标宋_GBK" w:eastAsia="方正小标宋_GBK" w:cs="方正小标宋_GBK"/>
        </w:rPr>
        <w:t>部门预算国有资本经营预算财政拨款支出表</w:t>
      </w:r>
      <w:r>
        <w:tab/>
      </w:r>
      <w:r>
        <w:fldChar w:fldCharType="begin"/>
      </w:r>
      <w:r>
        <w:instrText xml:space="preserve"> PAGEREF _Toc23918 \h </w:instrText>
      </w:r>
      <w:r>
        <w:fldChar w:fldCharType="separate"/>
      </w:r>
      <w:r>
        <w:t>19</w:t>
      </w:r>
      <w:r>
        <w:fldChar w:fldCharType="end"/>
      </w:r>
      <w:r>
        <w:fldChar w:fldCharType="end"/>
      </w:r>
    </w:p>
    <w:p>
      <w:pPr>
        <w:pStyle w:val="4"/>
        <w:tabs>
          <w:tab w:val="right" w:leader="dot" w:pos="14800"/>
        </w:tabs>
      </w:pPr>
      <w:r>
        <w:fldChar w:fldCharType="begin"/>
      </w:r>
      <w:r>
        <w:instrText xml:space="preserve"> HYPERLINK \l _Toc14182 </w:instrText>
      </w:r>
      <w:r>
        <w:fldChar w:fldCharType="separate"/>
      </w:r>
      <w:r>
        <w:rPr>
          <w:rFonts w:ascii="方正小标宋_GBK" w:hAnsi="方正小标宋_GBK" w:eastAsia="方正小标宋_GBK" w:cs="方正小标宋_GBK"/>
        </w:rPr>
        <w:t>部门预算财政拨款“三公”经费支出表</w:t>
      </w:r>
      <w:r>
        <w:tab/>
      </w:r>
      <w:r>
        <w:fldChar w:fldCharType="begin"/>
      </w:r>
      <w:r>
        <w:instrText xml:space="preserve"> PAGEREF _Toc14182 \h </w:instrText>
      </w:r>
      <w:r>
        <w:fldChar w:fldCharType="separate"/>
      </w:r>
      <w:r>
        <w:t>20</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2"/>
        <w:tabs>
          <w:tab w:val="right" w:leader="dot" w:pos="14800"/>
        </w:tabs>
      </w:pPr>
      <w:r>
        <w:fldChar w:fldCharType="begin"/>
      </w:r>
      <w:r>
        <w:instrText xml:space="preserve">TOC \o "3-3" \h \z \u</w:instrText>
      </w:r>
      <w:r>
        <w:fldChar w:fldCharType="separate"/>
      </w:r>
      <w:r>
        <w:fldChar w:fldCharType="begin"/>
      </w:r>
      <w:r>
        <w:instrText xml:space="preserve"> HYPERLINK \l _Toc15108 </w:instrText>
      </w:r>
      <w:r>
        <w:fldChar w:fldCharType="separate"/>
      </w:r>
      <w:r>
        <w:rPr>
          <w:rFonts w:ascii="黑体" w:hAnsi="黑体" w:eastAsia="黑体" w:cs="黑体"/>
        </w:rPr>
        <w:t>一、部门职责及机构设置情况</w:t>
      </w:r>
      <w:r>
        <w:tab/>
      </w:r>
      <w:r>
        <w:fldChar w:fldCharType="begin"/>
      </w:r>
      <w:r>
        <w:instrText xml:space="preserve"> PAGEREF _Toc15108 \h </w:instrText>
      </w:r>
      <w:r>
        <w:fldChar w:fldCharType="separate"/>
      </w:r>
      <w:r>
        <w:t>22</w:t>
      </w:r>
      <w:r>
        <w:fldChar w:fldCharType="end"/>
      </w:r>
      <w:r>
        <w:fldChar w:fldCharType="end"/>
      </w:r>
    </w:p>
    <w:p>
      <w:pPr>
        <w:pStyle w:val="2"/>
        <w:tabs>
          <w:tab w:val="right" w:leader="dot" w:pos="14800"/>
        </w:tabs>
      </w:pPr>
      <w:r>
        <w:fldChar w:fldCharType="begin"/>
      </w:r>
      <w:r>
        <w:instrText xml:space="preserve"> HYPERLINK \l _Toc389 </w:instrText>
      </w:r>
      <w:r>
        <w:fldChar w:fldCharType="separate"/>
      </w:r>
      <w:r>
        <w:rPr>
          <w:rFonts w:ascii="黑体" w:hAnsi="黑体" w:eastAsia="黑体" w:cs="黑体"/>
        </w:rPr>
        <w:t>二、部门预算安排的总体情况</w:t>
      </w:r>
      <w:r>
        <w:tab/>
      </w:r>
      <w:r>
        <w:fldChar w:fldCharType="begin"/>
      </w:r>
      <w:r>
        <w:instrText xml:space="preserve"> PAGEREF _Toc389 \h </w:instrText>
      </w:r>
      <w:r>
        <w:fldChar w:fldCharType="separate"/>
      </w:r>
      <w:r>
        <w:t>23</w:t>
      </w:r>
      <w:r>
        <w:fldChar w:fldCharType="end"/>
      </w:r>
      <w:r>
        <w:fldChar w:fldCharType="end"/>
      </w:r>
    </w:p>
    <w:p>
      <w:pPr>
        <w:pStyle w:val="2"/>
        <w:tabs>
          <w:tab w:val="right" w:leader="dot" w:pos="14800"/>
        </w:tabs>
      </w:pPr>
      <w:r>
        <w:fldChar w:fldCharType="begin"/>
      </w:r>
      <w:r>
        <w:instrText xml:space="preserve"> HYPERLINK \l _Toc20331 </w:instrText>
      </w:r>
      <w:r>
        <w:fldChar w:fldCharType="separate"/>
      </w:r>
      <w:r>
        <w:rPr>
          <w:rFonts w:ascii="黑体" w:hAnsi="黑体" w:eastAsia="黑体" w:cs="黑体"/>
        </w:rPr>
        <w:t>三、机关运行经费安排情况</w:t>
      </w:r>
      <w:r>
        <w:tab/>
      </w:r>
      <w:r>
        <w:fldChar w:fldCharType="begin"/>
      </w:r>
      <w:r>
        <w:instrText xml:space="preserve"> PAGEREF _Toc20331 \h </w:instrText>
      </w:r>
      <w:r>
        <w:fldChar w:fldCharType="separate"/>
      </w:r>
      <w:r>
        <w:t>24</w:t>
      </w:r>
      <w:r>
        <w:fldChar w:fldCharType="end"/>
      </w:r>
      <w:r>
        <w:fldChar w:fldCharType="end"/>
      </w:r>
    </w:p>
    <w:p>
      <w:pPr>
        <w:pStyle w:val="2"/>
        <w:tabs>
          <w:tab w:val="right" w:leader="dot" w:pos="14800"/>
        </w:tabs>
      </w:pPr>
      <w:r>
        <w:fldChar w:fldCharType="begin"/>
      </w:r>
      <w:r>
        <w:instrText xml:space="preserve"> HYPERLINK \l _Toc14632 </w:instrText>
      </w:r>
      <w:r>
        <w:fldChar w:fldCharType="separate"/>
      </w:r>
      <w:r>
        <w:rPr>
          <w:rFonts w:ascii="黑体" w:hAnsi="黑体" w:eastAsia="黑体" w:cs="黑体"/>
        </w:rPr>
        <w:t>四、财政拨款“三公”经费预算情况及增减变化原因</w:t>
      </w:r>
      <w:r>
        <w:tab/>
      </w:r>
      <w:r>
        <w:fldChar w:fldCharType="begin"/>
      </w:r>
      <w:r>
        <w:instrText xml:space="preserve"> PAGEREF _Toc14632 \h </w:instrText>
      </w:r>
      <w:r>
        <w:fldChar w:fldCharType="separate"/>
      </w:r>
      <w:r>
        <w:t>24</w:t>
      </w:r>
      <w:r>
        <w:fldChar w:fldCharType="end"/>
      </w:r>
      <w:r>
        <w:fldChar w:fldCharType="end"/>
      </w:r>
    </w:p>
    <w:p>
      <w:pPr>
        <w:pStyle w:val="2"/>
        <w:tabs>
          <w:tab w:val="right" w:leader="dot" w:pos="14800"/>
        </w:tabs>
      </w:pPr>
      <w:r>
        <w:fldChar w:fldCharType="begin"/>
      </w:r>
      <w:r>
        <w:instrText xml:space="preserve"> HYPERLINK \l _Toc6797 </w:instrText>
      </w:r>
      <w:r>
        <w:fldChar w:fldCharType="separate"/>
      </w:r>
      <w:r>
        <w:rPr>
          <w:rFonts w:ascii="黑体" w:hAnsi="黑体" w:eastAsia="黑体" w:cs="黑体"/>
        </w:rPr>
        <w:t>五、预算绩效信息</w:t>
      </w:r>
      <w:r>
        <w:tab/>
      </w:r>
      <w:r>
        <w:fldChar w:fldCharType="begin"/>
      </w:r>
      <w:r>
        <w:instrText xml:space="preserve"> PAGEREF _Toc6797 \h </w:instrText>
      </w:r>
      <w:r>
        <w:fldChar w:fldCharType="separate"/>
      </w:r>
      <w:r>
        <w:t>25</w:t>
      </w:r>
      <w:r>
        <w:fldChar w:fldCharType="end"/>
      </w:r>
      <w:r>
        <w:fldChar w:fldCharType="end"/>
      </w:r>
    </w:p>
    <w:p>
      <w:pPr>
        <w:pStyle w:val="2"/>
        <w:tabs>
          <w:tab w:val="right" w:leader="dot" w:pos="14800"/>
        </w:tabs>
      </w:pPr>
      <w:r>
        <w:fldChar w:fldCharType="begin"/>
      </w:r>
      <w:r>
        <w:instrText xml:space="preserve"> HYPERLINK \l _Toc4029 </w:instrText>
      </w:r>
      <w:r>
        <w:fldChar w:fldCharType="separate"/>
      </w:r>
      <w:r>
        <w:rPr>
          <w:rFonts w:ascii="黑体" w:hAnsi="黑体" w:eastAsia="黑体" w:cs="黑体"/>
        </w:rPr>
        <w:t>六、政府采购预算情况</w:t>
      </w:r>
      <w:r>
        <w:tab/>
      </w:r>
      <w:r>
        <w:fldChar w:fldCharType="begin"/>
      </w:r>
      <w:r>
        <w:instrText xml:space="preserve"> PAGEREF _Toc4029 \h </w:instrText>
      </w:r>
      <w:r>
        <w:fldChar w:fldCharType="separate"/>
      </w:r>
      <w:r>
        <w:t>30</w:t>
      </w:r>
      <w:r>
        <w:fldChar w:fldCharType="end"/>
      </w:r>
      <w:r>
        <w:fldChar w:fldCharType="end"/>
      </w:r>
    </w:p>
    <w:p>
      <w:pPr>
        <w:pStyle w:val="2"/>
        <w:tabs>
          <w:tab w:val="right" w:leader="dot" w:pos="14800"/>
        </w:tabs>
      </w:pPr>
      <w:r>
        <w:fldChar w:fldCharType="begin"/>
      </w:r>
      <w:r>
        <w:instrText xml:space="preserve"> HYPERLINK \l _Toc17542 </w:instrText>
      </w:r>
      <w:r>
        <w:fldChar w:fldCharType="separate"/>
      </w:r>
      <w:r>
        <w:rPr>
          <w:rFonts w:ascii="黑体" w:hAnsi="黑体" w:eastAsia="黑体" w:cs="黑体"/>
        </w:rPr>
        <w:t>七、国有资产信息</w:t>
      </w:r>
      <w:r>
        <w:tab/>
      </w:r>
      <w:r>
        <w:fldChar w:fldCharType="begin"/>
      </w:r>
      <w:r>
        <w:instrText xml:space="preserve"> PAGEREF _Toc17542 \h </w:instrText>
      </w:r>
      <w:r>
        <w:fldChar w:fldCharType="separate"/>
      </w:r>
      <w:r>
        <w:t>30</w:t>
      </w:r>
      <w:r>
        <w:fldChar w:fldCharType="end"/>
      </w:r>
      <w:r>
        <w:fldChar w:fldCharType="end"/>
      </w:r>
    </w:p>
    <w:p>
      <w:pPr>
        <w:pStyle w:val="2"/>
        <w:tabs>
          <w:tab w:val="right" w:leader="dot" w:pos="14800"/>
        </w:tabs>
      </w:pPr>
      <w:r>
        <w:fldChar w:fldCharType="begin"/>
      </w:r>
      <w:r>
        <w:instrText xml:space="preserve"> HYPERLINK \l _Toc2002 </w:instrText>
      </w:r>
      <w:r>
        <w:fldChar w:fldCharType="separate"/>
      </w:r>
      <w:r>
        <w:rPr>
          <w:rFonts w:ascii="黑体" w:hAnsi="黑体" w:eastAsia="黑体" w:cs="黑体"/>
        </w:rPr>
        <w:t>八、名词解释</w:t>
      </w:r>
      <w:r>
        <w:tab/>
      </w:r>
      <w:r>
        <w:fldChar w:fldCharType="begin"/>
      </w:r>
      <w:r>
        <w:instrText xml:space="preserve"> PAGEREF _Toc2002 \h </w:instrText>
      </w:r>
      <w:r>
        <w:fldChar w:fldCharType="separate"/>
      </w:r>
      <w:r>
        <w:t>31</w:t>
      </w:r>
      <w:r>
        <w:fldChar w:fldCharType="end"/>
      </w:r>
      <w:r>
        <w:fldChar w:fldCharType="end"/>
      </w:r>
    </w:p>
    <w:p>
      <w:pPr>
        <w:pStyle w:val="2"/>
        <w:tabs>
          <w:tab w:val="right" w:leader="dot" w:pos="14800"/>
        </w:tabs>
      </w:pPr>
      <w:r>
        <w:fldChar w:fldCharType="begin"/>
      </w:r>
      <w:r>
        <w:instrText xml:space="preserve"> HYPERLINK \l _Toc31974 </w:instrText>
      </w:r>
      <w:r>
        <w:fldChar w:fldCharType="separate"/>
      </w:r>
      <w:r>
        <w:rPr>
          <w:rFonts w:ascii="黑体" w:hAnsi="黑体" w:eastAsia="黑体" w:cs="黑体"/>
        </w:rPr>
        <w:t>九、其他需要说明的事项</w:t>
      </w:r>
      <w:r>
        <w:tab/>
      </w:r>
      <w:r>
        <w:fldChar w:fldCharType="begin"/>
      </w:r>
      <w:r>
        <w:instrText xml:space="preserve"> PAGEREF _Toc31974 \h </w:instrText>
      </w:r>
      <w:r>
        <w:fldChar w:fldCharType="separate"/>
      </w:r>
      <w:r>
        <w:t>31</w:t>
      </w:r>
      <w:r>
        <w:fldChar w:fldCharType="end"/>
      </w:r>
      <w:r>
        <w:fldChar w:fldCharType="end"/>
      </w:r>
    </w:p>
    <w:p>
      <w:pPr>
        <w:spacing w:before="0" w:after="0" w:line="240" w:lineRule="auto"/>
        <w:ind w:firstLine="0"/>
        <w:jc w:val="center"/>
        <w:outlineLvl w:val="0"/>
      </w:pPr>
      <w:r>
        <w:fldChar w:fldCharType="end"/>
      </w:r>
    </w:p>
    <w:p>
      <w:pPr>
        <w:spacing w:before="0" w:after="0" w:line="240" w:lineRule="auto"/>
        <w:ind w:firstLine="0"/>
        <w:jc w:val="center"/>
        <w:outlineLvl w:val="1"/>
      </w:pPr>
      <w:bookmarkStart w:id="0" w:name="_Toc2994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7"/>
            </w:pPr>
            <w:r>
              <w:t>712中国共产主义青年团石家庄市藁城区委员会</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5" w:type="dxa"/>
            <w:vAlign w:val="center"/>
          </w:tcPr>
          <w:p>
            <w:pPr>
              <w:pStyle w:val="12"/>
            </w:pPr>
            <w:r>
              <w:t>一、一般公共预算拨款收入</w:t>
            </w:r>
          </w:p>
        </w:tc>
        <w:tc>
          <w:tcPr>
            <w:tcW w:w="2126" w:type="dxa"/>
            <w:vAlign w:val="center"/>
          </w:tcPr>
          <w:p>
            <w:pPr>
              <w:pStyle w:val="13"/>
            </w:pPr>
            <w:r>
              <w:t>133.35</w:t>
            </w:r>
          </w:p>
        </w:tc>
        <w:tc>
          <w:tcPr>
            <w:tcW w:w="4535" w:type="dxa"/>
            <w:vAlign w:val="center"/>
          </w:tcPr>
          <w:p>
            <w:pPr>
              <w:pStyle w:val="12"/>
            </w:pPr>
            <w:r>
              <w:t>一、一般公共服务支出</w:t>
            </w:r>
          </w:p>
        </w:tc>
        <w:tc>
          <w:tcPr>
            <w:tcW w:w="2126" w:type="dxa"/>
            <w:vAlign w:val="center"/>
          </w:tcPr>
          <w:p>
            <w:pPr>
              <w:pStyle w:val="13"/>
            </w:pPr>
            <w:r>
              <w:t>133.35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5" w:type="dxa"/>
            <w:vAlign w:val="center"/>
          </w:tcPr>
          <w:p>
            <w:pPr>
              <w:pStyle w:val="12"/>
            </w:pPr>
            <w:r>
              <w:t>二、政府性基金预算拨款收入</w:t>
            </w:r>
          </w:p>
        </w:tc>
        <w:tc>
          <w:tcPr>
            <w:tcW w:w="2126" w:type="dxa"/>
            <w:vAlign w:val="center"/>
          </w:tcPr>
          <w:p>
            <w:pPr>
              <w:pStyle w:val="13"/>
            </w:pPr>
          </w:p>
        </w:tc>
        <w:tc>
          <w:tcPr>
            <w:tcW w:w="4535" w:type="dxa"/>
            <w:vAlign w:val="center"/>
          </w:tcPr>
          <w:p>
            <w:pPr>
              <w:pStyle w:val="12"/>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5" w:type="dxa"/>
            <w:vAlign w:val="center"/>
          </w:tcPr>
          <w:p>
            <w:pPr>
              <w:pStyle w:val="12"/>
            </w:pPr>
            <w:r>
              <w:t>三、国有资本经营预算拨款收入</w:t>
            </w:r>
          </w:p>
        </w:tc>
        <w:tc>
          <w:tcPr>
            <w:tcW w:w="2126" w:type="dxa"/>
            <w:vAlign w:val="center"/>
          </w:tcPr>
          <w:p>
            <w:pPr>
              <w:pStyle w:val="13"/>
            </w:pPr>
          </w:p>
        </w:tc>
        <w:tc>
          <w:tcPr>
            <w:tcW w:w="4535" w:type="dxa"/>
            <w:vAlign w:val="center"/>
          </w:tcPr>
          <w:p>
            <w:pPr>
              <w:pStyle w:val="12"/>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5" w:type="dxa"/>
            <w:vAlign w:val="center"/>
          </w:tcPr>
          <w:p>
            <w:pPr>
              <w:pStyle w:val="12"/>
            </w:pPr>
            <w:r>
              <w:t>四、财政专户管理资金收入</w:t>
            </w:r>
          </w:p>
        </w:tc>
        <w:tc>
          <w:tcPr>
            <w:tcW w:w="2126" w:type="dxa"/>
            <w:vAlign w:val="center"/>
          </w:tcPr>
          <w:p>
            <w:pPr>
              <w:pStyle w:val="13"/>
            </w:pPr>
          </w:p>
        </w:tc>
        <w:tc>
          <w:tcPr>
            <w:tcW w:w="4535" w:type="dxa"/>
            <w:vAlign w:val="center"/>
          </w:tcPr>
          <w:p>
            <w:pPr>
              <w:pStyle w:val="12"/>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5" w:type="dxa"/>
            <w:vAlign w:val="center"/>
          </w:tcPr>
          <w:p>
            <w:pPr>
              <w:pStyle w:val="12"/>
            </w:pPr>
            <w:r>
              <w:t>五、事业收入</w:t>
            </w:r>
          </w:p>
        </w:tc>
        <w:tc>
          <w:tcPr>
            <w:tcW w:w="2126" w:type="dxa"/>
            <w:vAlign w:val="center"/>
          </w:tcPr>
          <w:p>
            <w:pPr>
              <w:pStyle w:val="13"/>
            </w:pPr>
          </w:p>
        </w:tc>
        <w:tc>
          <w:tcPr>
            <w:tcW w:w="4535" w:type="dxa"/>
            <w:vAlign w:val="center"/>
          </w:tcPr>
          <w:p>
            <w:pPr>
              <w:pStyle w:val="12"/>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5" w:type="dxa"/>
            <w:vAlign w:val="center"/>
          </w:tcPr>
          <w:p>
            <w:pPr>
              <w:pStyle w:val="12"/>
            </w:pPr>
            <w:r>
              <w:t>六、事业单位经营收入</w:t>
            </w:r>
          </w:p>
        </w:tc>
        <w:tc>
          <w:tcPr>
            <w:tcW w:w="2126" w:type="dxa"/>
            <w:vAlign w:val="center"/>
          </w:tcPr>
          <w:p>
            <w:pPr>
              <w:pStyle w:val="13"/>
            </w:pPr>
          </w:p>
        </w:tc>
        <w:tc>
          <w:tcPr>
            <w:tcW w:w="4535" w:type="dxa"/>
            <w:vAlign w:val="center"/>
          </w:tcPr>
          <w:p>
            <w:pPr>
              <w:pStyle w:val="12"/>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5" w:type="dxa"/>
            <w:vAlign w:val="center"/>
          </w:tcPr>
          <w:p>
            <w:pPr>
              <w:pStyle w:val="12"/>
            </w:pPr>
            <w:r>
              <w:t>七、上级补助收入</w:t>
            </w:r>
          </w:p>
        </w:tc>
        <w:tc>
          <w:tcPr>
            <w:tcW w:w="2126" w:type="dxa"/>
            <w:vAlign w:val="center"/>
          </w:tcPr>
          <w:p>
            <w:pPr>
              <w:pStyle w:val="13"/>
            </w:pPr>
          </w:p>
        </w:tc>
        <w:tc>
          <w:tcPr>
            <w:tcW w:w="4535" w:type="dxa"/>
            <w:vAlign w:val="center"/>
          </w:tcPr>
          <w:p>
            <w:pPr>
              <w:pStyle w:val="12"/>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5" w:type="dxa"/>
            <w:vAlign w:val="center"/>
          </w:tcPr>
          <w:p>
            <w:pPr>
              <w:pStyle w:val="12"/>
            </w:pPr>
            <w:r>
              <w:t>八、附属单位上缴收入</w:t>
            </w:r>
          </w:p>
        </w:tc>
        <w:tc>
          <w:tcPr>
            <w:tcW w:w="2126" w:type="dxa"/>
            <w:vAlign w:val="center"/>
          </w:tcPr>
          <w:p>
            <w:pPr>
              <w:pStyle w:val="13"/>
            </w:pPr>
          </w:p>
        </w:tc>
        <w:tc>
          <w:tcPr>
            <w:tcW w:w="4535" w:type="dxa"/>
            <w:vAlign w:val="center"/>
          </w:tcPr>
          <w:p>
            <w:pPr>
              <w:pStyle w:val="12"/>
            </w:pPr>
            <w:r>
              <w:t>八、社会保障和就业支出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5" w:type="dxa"/>
            <w:vAlign w:val="center"/>
          </w:tcPr>
          <w:p>
            <w:pPr>
              <w:pStyle w:val="12"/>
            </w:pPr>
            <w:r>
              <w:t>九、其他收入</w:t>
            </w:r>
          </w:p>
        </w:tc>
        <w:tc>
          <w:tcPr>
            <w:tcW w:w="2126" w:type="dxa"/>
            <w:vAlign w:val="center"/>
          </w:tcPr>
          <w:p>
            <w:pPr>
              <w:pStyle w:val="13"/>
            </w:pPr>
          </w:p>
        </w:tc>
        <w:tc>
          <w:tcPr>
            <w:tcW w:w="4535" w:type="dxa"/>
            <w:vAlign w:val="center"/>
          </w:tcPr>
          <w:p>
            <w:pPr>
              <w:pStyle w:val="12"/>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5" w:type="dxa"/>
            <w:vAlign w:val="center"/>
          </w:tcPr>
          <w:p>
            <w:pPr>
              <w:pStyle w:val="14"/>
            </w:pPr>
            <w:r>
              <w:t>本年收入合计</w:t>
            </w:r>
          </w:p>
        </w:tc>
        <w:tc>
          <w:tcPr>
            <w:tcW w:w="2126" w:type="dxa"/>
            <w:vAlign w:val="center"/>
          </w:tcPr>
          <w:p>
            <w:pPr>
              <w:pStyle w:val="15"/>
            </w:pPr>
            <w:r>
              <w:t>133.35</w:t>
            </w:r>
          </w:p>
        </w:tc>
        <w:tc>
          <w:tcPr>
            <w:tcW w:w="4535" w:type="dxa"/>
            <w:vAlign w:val="center"/>
          </w:tcPr>
          <w:p>
            <w:pPr>
              <w:pStyle w:val="14"/>
            </w:pPr>
            <w:r>
              <w:t>本年支出合计</w:t>
            </w:r>
          </w:p>
        </w:tc>
        <w:tc>
          <w:tcPr>
            <w:tcW w:w="2126" w:type="dxa"/>
            <w:vAlign w:val="center"/>
          </w:tcPr>
          <w:p>
            <w:pPr>
              <w:pStyle w:val="15"/>
            </w:pPr>
            <w:r>
              <w:t>133.35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5" w:type="dxa"/>
            <w:vAlign w:val="center"/>
          </w:tcPr>
          <w:p>
            <w:pPr>
              <w:pStyle w:val="12"/>
            </w:pPr>
            <w:r>
              <w:t>上年结转结余</w:t>
            </w:r>
          </w:p>
        </w:tc>
        <w:tc>
          <w:tcPr>
            <w:tcW w:w="2126" w:type="dxa"/>
            <w:vAlign w:val="center"/>
          </w:tcPr>
          <w:p>
            <w:pPr>
              <w:pStyle w:val="13"/>
            </w:pPr>
          </w:p>
        </w:tc>
        <w:tc>
          <w:tcPr>
            <w:tcW w:w="4535" w:type="dxa"/>
            <w:vAlign w:val="center"/>
          </w:tcPr>
          <w:p>
            <w:pPr>
              <w:pStyle w:val="12"/>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5" w:type="dxa"/>
            <w:vAlign w:val="center"/>
          </w:tcPr>
          <w:p>
            <w:pPr>
              <w:pStyle w:val="14"/>
            </w:pPr>
            <w:r>
              <w:t>收入总计</w:t>
            </w:r>
          </w:p>
        </w:tc>
        <w:tc>
          <w:tcPr>
            <w:tcW w:w="2126" w:type="dxa"/>
            <w:vAlign w:val="center"/>
          </w:tcPr>
          <w:p>
            <w:pPr>
              <w:pStyle w:val="15"/>
            </w:pPr>
            <w:r>
              <w:t>133.35</w:t>
            </w:r>
          </w:p>
        </w:tc>
        <w:tc>
          <w:tcPr>
            <w:tcW w:w="4535" w:type="dxa"/>
            <w:vAlign w:val="center"/>
          </w:tcPr>
          <w:p>
            <w:pPr>
              <w:pStyle w:val="14"/>
            </w:pPr>
            <w:r>
              <w:t>支出总计</w:t>
            </w:r>
          </w:p>
        </w:tc>
        <w:tc>
          <w:tcPr>
            <w:tcW w:w="2126" w:type="dxa"/>
            <w:vAlign w:val="center"/>
          </w:tcPr>
          <w:p>
            <w:pPr>
              <w:pStyle w:val="15"/>
            </w:pPr>
            <w:r>
              <w:t>133.35</w:t>
            </w:r>
          </w:p>
        </w:tc>
      </w:tr>
    </w:tbl>
    <w:p>
      <w:pPr>
        <w:sectPr>
          <w:footerReference r:id="rId3" w:type="default"/>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2649"/>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712中国共产主义青年团石家庄市藁城区委员会</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133.35</w:t>
            </w:r>
          </w:p>
        </w:tc>
        <w:tc>
          <w:tcPr>
            <w:tcW w:w="1134" w:type="dxa"/>
            <w:vAlign w:val="center"/>
          </w:tcPr>
          <w:p>
            <w:pPr>
              <w:pStyle w:val="15"/>
            </w:pPr>
            <w:r>
              <w:t>133.35</w:t>
            </w:r>
          </w:p>
        </w:tc>
        <w:tc>
          <w:tcPr>
            <w:tcW w:w="1134" w:type="dxa"/>
            <w:vAlign w:val="center"/>
          </w:tcPr>
          <w:p>
            <w:pPr>
              <w:pStyle w:val="15"/>
            </w:pPr>
            <w:r>
              <w:t>133.35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3"/>
            </w:pPr>
            <w:r>
              <w:t>133.35</w:t>
            </w:r>
          </w:p>
        </w:tc>
        <w:tc>
          <w:tcPr>
            <w:tcW w:w="1134" w:type="dxa"/>
            <w:vAlign w:val="center"/>
          </w:tcPr>
          <w:p>
            <w:pPr>
              <w:pStyle w:val="13"/>
            </w:pPr>
            <w:r>
              <w:t>133.35</w:t>
            </w:r>
          </w:p>
        </w:tc>
        <w:tc>
          <w:tcPr>
            <w:tcW w:w="1134" w:type="dxa"/>
            <w:vAlign w:val="center"/>
          </w:tcPr>
          <w:p>
            <w:pPr>
              <w:pStyle w:val="13"/>
            </w:pPr>
            <w:r>
              <w:t>133.35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2"/>
            </w:pPr>
            <w:r>
              <w:t>20129</w:t>
            </w:r>
          </w:p>
        </w:tc>
        <w:tc>
          <w:tcPr>
            <w:tcW w:w="1559" w:type="dxa"/>
            <w:vAlign w:val="center"/>
          </w:tcPr>
          <w:p>
            <w:pPr>
              <w:pStyle w:val="12"/>
            </w:pPr>
            <w:r>
              <w:t>群众团体事务</w:t>
            </w:r>
          </w:p>
        </w:tc>
        <w:tc>
          <w:tcPr>
            <w:tcW w:w="1134" w:type="dxa"/>
            <w:vAlign w:val="center"/>
          </w:tcPr>
          <w:p>
            <w:pPr>
              <w:pStyle w:val="13"/>
            </w:pPr>
            <w:r>
              <w:t>123.35</w:t>
            </w:r>
          </w:p>
        </w:tc>
        <w:tc>
          <w:tcPr>
            <w:tcW w:w="1134" w:type="dxa"/>
            <w:vAlign w:val="center"/>
          </w:tcPr>
          <w:p>
            <w:pPr>
              <w:pStyle w:val="13"/>
            </w:pPr>
            <w:r>
              <w:t>123.35</w:t>
            </w:r>
          </w:p>
        </w:tc>
        <w:tc>
          <w:tcPr>
            <w:tcW w:w="1134" w:type="dxa"/>
            <w:vAlign w:val="center"/>
          </w:tcPr>
          <w:p>
            <w:pPr>
              <w:pStyle w:val="13"/>
            </w:pPr>
            <w:r>
              <w:t>123.35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2"/>
            </w:pPr>
            <w:r>
              <w:t>2012901</w:t>
            </w:r>
          </w:p>
        </w:tc>
        <w:tc>
          <w:tcPr>
            <w:tcW w:w="1559" w:type="dxa"/>
            <w:vAlign w:val="center"/>
          </w:tcPr>
          <w:p>
            <w:pPr>
              <w:pStyle w:val="12"/>
            </w:pPr>
            <w:r>
              <w:t>行政运行</w:t>
            </w:r>
          </w:p>
        </w:tc>
        <w:tc>
          <w:tcPr>
            <w:tcW w:w="1134" w:type="dxa"/>
            <w:vAlign w:val="center"/>
          </w:tcPr>
          <w:p>
            <w:pPr>
              <w:pStyle w:val="13"/>
            </w:pPr>
            <w:r>
              <w:t>123.35</w:t>
            </w:r>
          </w:p>
        </w:tc>
        <w:tc>
          <w:tcPr>
            <w:tcW w:w="1134" w:type="dxa"/>
            <w:vAlign w:val="center"/>
          </w:tcPr>
          <w:p>
            <w:pPr>
              <w:pStyle w:val="13"/>
            </w:pPr>
            <w:r>
              <w:t>123.35</w:t>
            </w:r>
          </w:p>
        </w:tc>
        <w:tc>
          <w:tcPr>
            <w:tcW w:w="1134" w:type="dxa"/>
            <w:vAlign w:val="center"/>
          </w:tcPr>
          <w:p>
            <w:pPr>
              <w:pStyle w:val="13"/>
            </w:pPr>
            <w:r>
              <w:t>123.35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5</w:t>
            </w:r>
          </w:p>
        </w:tc>
        <w:tc>
          <w:tcPr>
            <w:tcW w:w="992" w:type="dxa"/>
            <w:vAlign w:val="center"/>
          </w:tcPr>
          <w:p>
            <w:pPr>
              <w:pStyle w:val="12"/>
            </w:pPr>
            <w:r>
              <w:t>20136</w:t>
            </w:r>
          </w:p>
        </w:tc>
        <w:tc>
          <w:tcPr>
            <w:tcW w:w="1559" w:type="dxa"/>
            <w:vAlign w:val="center"/>
          </w:tcPr>
          <w:p>
            <w:pPr>
              <w:pStyle w:val="12"/>
            </w:pPr>
            <w:r>
              <w:t>其他共产党事务支出</w:t>
            </w:r>
          </w:p>
        </w:tc>
        <w:tc>
          <w:tcPr>
            <w:tcW w:w="1134" w:type="dxa"/>
            <w:vAlign w:val="center"/>
          </w:tcPr>
          <w:p>
            <w:pPr>
              <w:pStyle w:val="13"/>
            </w:pPr>
            <w:r>
              <w:t>10.00</w:t>
            </w:r>
          </w:p>
        </w:tc>
        <w:tc>
          <w:tcPr>
            <w:tcW w:w="1134" w:type="dxa"/>
            <w:vAlign w:val="center"/>
          </w:tcPr>
          <w:p>
            <w:pPr>
              <w:pStyle w:val="13"/>
            </w:pPr>
            <w:r>
              <w:t>10.00</w:t>
            </w:r>
          </w:p>
        </w:tc>
        <w:tc>
          <w:tcPr>
            <w:tcW w:w="1134" w:type="dxa"/>
            <w:vAlign w:val="center"/>
          </w:tcPr>
          <w:p>
            <w:pPr>
              <w:pStyle w:val="13"/>
            </w:pPr>
            <w:r>
              <w:t>10.00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6</w:t>
            </w:r>
          </w:p>
        </w:tc>
        <w:tc>
          <w:tcPr>
            <w:tcW w:w="992" w:type="dxa"/>
            <w:vAlign w:val="center"/>
          </w:tcPr>
          <w:p>
            <w:pPr>
              <w:pStyle w:val="12"/>
            </w:pPr>
            <w:r>
              <w:t>2013602</w:t>
            </w:r>
          </w:p>
        </w:tc>
        <w:tc>
          <w:tcPr>
            <w:tcW w:w="1559" w:type="dxa"/>
            <w:vAlign w:val="center"/>
          </w:tcPr>
          <w:p>
            <w:pPr>
              <w:pStyle w:val="12"/>
            </w:pPr>
            <w:r>
              <w:t>一般行政管理事务</w:t>
            </w:r>
          </w:p>
        </w:tc>
        <w:tc>
          <w:tcPr>
            <w:tcW w:w="1134" w:type="dxa"/>
            <w:vAlign w:val="center"/>
          </w:tcPr>
          <w:p>
            <w:pPr>
              <w:pStyle w:val="13"/>
            </w:pPr>
            <w:r>
              <w:t>10.00</w:t>
            </w:r>
          </w:p>
        </w:tc>
        <w:tc>
          <w:tcPr>
            <w:tcW w:w="1134" w:type="dxa"/>
            <w:vAlign w:val="center"/>
          </w:tcPr>
          <w:p>
            <w:pPr>
              <w:pStyle w:val="13"/>
            </w:pPr>
            <w:r>
              <w:t>10.00</w:t>
            </w:r>
          </w:p>
        </w:tc>
        <w:tc>
          <w:tcPr>
            <w:tcW w:w="1134" w:type="dxa"/>
            <w:vAlign w:val="center"/>
          </w:tcPr>
          <w:p>
            <w:pPr>
              <w:pStyle w:val="13"/>
            </w:pPr>
            <w:r>
              <w:t>10.00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1830"/>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7"/>
            </w:pPr>
            <w:r>
              <w:t>712中国共产主义青年团石家庄市藁城区委员会</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133.35</w:t>
            </w:r>
          </w:p>
        </w:tc>
        <w:tc>
          <w:tcPr>
            <w:tcW w:w="1361" w:type="dxa"/>
            <w:vAlign w:val="center"/>
          </w:tcPr>
          <w:p>
            <w:pPr>
              <w:pStyle w:val="15"/>
            </w:pPr>
            <w:r>
              <w:t>123.35</w:t>
            </w:r>
          </w:p>
        </w:tc>
        <w:tc>
          <w:tcPr>
            <w:tcW w:w="1361" w:type="dxa"/>
            <w:vAlign w:val="center"/>
          </w:tcPr>
          <w:p>
            <w:pPr>
              <w:pStyle w:val="15"/>
            </w:pPr>
            <w:r>
              <w:t>10.00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3"/>
            </w:pPr>
            <w:r>
              <w:t>133.35</w:t>
            </w:r>
          </w:p>
        </w:tc>
        <w:tc>
          <w:tcPr>
            <w:tcW w:w="1361" w:type="dxa"/>
            <w:vAlign w:val="center"/>
          </w:tcPr>
          <w:p>
            <w:pPr>
              <w:pStyle w:val="13"/>
            </w:pPr>
            <w:r>
              <w:t>123.35</w:t>
            </w:r>
          </w:p>
        </w:tc>
        <w:tc>
          <w:tcPr>
            <w:tcW w:w="1361" w:type="dxa"/>
            <w:vAlign w:val="center"/>
          </w:tcPr>
          <w:p>
            <w:pPr>
              <w:pStyle w:val="13"/>
            </w:pPr>
            <w:r>
              <w:t>10.00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2"/>
            </w:pPr>
            <w:r>
              <w:t>20129</w:t>
            </w:r>
          </w:p>
        </w:tc>
        <w:tc>
          <w:tcPr>
            <w:tcW w:w="4535" w:type="dxa"/>
            <w:vAlign w:val="center"/>
          </w:tcPr>
          <w:p>
            <w:pPr>
              <w:pStyle w:val="12"/>
            </w:pPr>
            <w:r>
              <w:t>群众团体事务</w:t>
            </w:r>
          </w:p>
        </w:tc>
        <w:tc>
          <w:tcPr>
            <w:tcW w:w="1361" w:type="dxa"/>
            <w:vAlign w:val="center"/>
          </w:tcPr>
          <w:p>
            <w:pPr>
              <w:pStyle w:val="13"/>
            </w:pPr>
            <w:r>
              <w:t>123.35</w:t>
            </w:r>
          </w:p>
        </w:tc>
        <w:tc>
          <w:tcPr>
            <w:tcW w:w="1361" w:type="dxa"/>
            <w:vAlign w:val="center"/>
          </w:tcPr>
          <w:p>
            <w:pPr>
              <w:pStyle w:val="13"/>
            </w:pPr>
            <w:r>
              <w:t>123.35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2"/>
            </w:pPr>
            <w:r>
              <w:t>2012901</w:t>
            </w:r>
          </w:p>
        </w:tc>
        <w:tc>
          <w:tcPr>
            <w:tcW w:w="4535" w:type="dxa"/>
            <w:vAlign w:val="center"/>
          </w:tcPr>
          <w:p>
            <w:pPr>
              <w:pStyle w:val="12"/>
            </w:pPr>
            <w:r>
              <w:t>行政运行</w:t>
            </w:r>
          </w:p>
        </w:tc>
        <w:tc>
          <w:tcPr>
            <w:tcW w:w="1361" w:type="dxa"/>
            <w:vAlign w:val="center"/>
          </w:tcPr>
          <w:p>
            <w:pPr>
              <w:pStyle w:val="13"/>
            </w:pPr>
            <w:r>
              <w:t>123.35</w:t>
            </w:r>
          </w:p>
        </w:tc>
        <w:tc>
          <w:tcPr>
            <w:tcW w:w="1361" w:type="dxa"/>
            <w:vAlign w:val="center"/>
          </w:tcPr>
          <w:p>
            <w:pPr>
              <w:pStyle w:val="13"/>
            </w:pPr>
            <w:r>
              <w:t>123.35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992" w:type="dxa"/>
            <w:vAlign w:val="center"/>
          </w:tcPr>
          <w:p>
            <w:pPr>
              <w:pStyle w:val="12"/>
            </w:pPr>
            <w:r>
              <w:t>20136</w:t>
            </w:r>
          </w:p>
        </w:tc>
        <w:tc>
          <w:tcPr>
            <w:tcW w:w="4535" w:type="dxa"/>
            <w:vAlign w:val="center"/>
          </w:tcPr>
          <w:p>
            <w:pPr>
              <w:pStyle w:val="12"/>
            </w:pPr>
            <w:r>
              <w:t>其他共产党事务支出</w:t>
            </w:r>
          </w:p>
        </w:tc>
        <w:tc>
          <w:tcPr>
            <w:tcW w:w="1361" w:type="dxa"/>
            <w:vAlign w:val="center"/>
          </w:tcPr>
          <w:p>
            <w:pPr>
              <w:pStyle w:val="13"/>
            </w:pPr>
            <w:r>
              <w:t>10.00</w:t>
            </w:r>
          </w:p>
        </w:tc>
        <w:tc>
          <w:tcPr>
            <w:tcW w:w="1361" w:type="dxa"/>
            <w:vAlign w:val="center"/>
          </w:tcPr>
          <w:p>
            <w:pPr>
              <w:pStyle w:val="13"/>
            </w:pPr>
          </w:p>
        </w:tc>
        <w:tc>
          <w:tcPr>
            <w:tcW w:w="1361" w:type="dxa"/>
            <w:vAlign w:val="center"/>
          </w:tcPr>
          <w:p>
            <w:pPr>
              <w:pStyle w:val="13"/>
            </w:pPr>
            <w:r>
              <w:t>10.00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992" w:type="dxa"/>
            <w:vAlign w:val="center"/>
          </w:tcPr>
          <w:p>
            <w:pPr>
              <w:pStyle w:val="12"/>
            </w:pPr>
            <w:r>
              <w:t>2013602</w:t>
            </w:r>
          </w:p>
        </w:tc>
        <w:tc>
          <w:tcPr>
            <w:tcW w:w="4535" w:type="dxa"/>
            <w:vAlign w:val="center"/>
          </w:tcPr>
          <w:p>
            <w:pPr>
              <w:pStyle w:val="12"/>
            </w:pPr>
            <w:r>
              <w:t>一般行政管理事务</w:t>
            </w:r>
          </w:p>
        </w:tc>
        <w:tc>
          <w:tcPr>
            <w:tcW w:w="1361" w:type="dxa"/>
            <w:vAlign w:val="center"/>
          </w:tcPr>
          <w:p>
            <w:pPr>
              <w:pStyle w:val="13"/>
            </w:pPr>
            <w:r>
              <w:t>10.00</w:t>
            </w:r>
          </w:p>
        </w:tc>
        <w:tc>
          <w:tcPr>
            <w:tcW w:w="1361" w:type="dxa"/>
            <w:vAlign w:val="center"/>
          </w:tcPr>
          <w:p>
            <w:pPr>
              <w:pStyle w:val="13"/>
            </w:pPr>
          </w:p>
        </w:tc>
        <w:tc>
          <w:tcPr>
            <w:tcW w:w="1361" w:type="dxa"/>
            <w:vAlign w:val="center"/>
          </w:tcPr>
          <w:p>
            <w:pPr>
              <w:pStyle w:val="13"/>
            </w:pPr>
            <w:r>
              <w:t>10.00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30910"/>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712中国共产主义青年团石家庄市藁城区委员会</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2"/>
            </w:pPr>
            <w:r>
              <w:t>一、一般公共预算拨款</w:t>
            </w:r>
          </w:p>
        </w:tc>
        <w:tc>
          <w:tcPr>
            <w:tcW w:w="1474" w:type="dxa"/>
            <w:vAlign w:val="center"/>
          </w:tcPr>
          <w:p>
            <w:pPr>
              <w:pStyle w:val="13"/>
            </w:pPr>
            <w:r>
              <w:t>133.35</w:t>
            </w:r>
          </w:p>
        </w:tc>
        <w:tc>
          <w:tcPr>
            <w:tcW w:w="3402" w:type="dxa"/>
            <w:vAlign w:val="center"/>
          </w:tcPr>
          <w:p>
            <w:pPr>
              <w:pStyle w:val="12"/>
            </w:pPr>
            <w:r>
              <w:t>一、一般公共服务支出</w:t>
            </w:r>
          </w:p>
        </w:tc>
        <w:tc>
          <w:tcPr>
            <w:tcW w:w="1474" w:type="dxa"/>
            <w:vAlign w:val="center"/>
          </w:tcPr>
          <w:p>
            <w:pPr>
              <w:pStyle w:val="13"/>
            </w:pPr>
            <w:r>
              <w:t>133.35</w:t>
            </w:r>
          </w:p>
        </w:tc>
        <w:tc>
          <w:tcPr>
            <w:tcW w:w="1474" w:type="dxa"/>
            <w:vAlign w:val="center"/>
          </w:tcPr>
          <w:p>
            <w:pPr>
              <w:pStyle w:val="13"/>
            </w:pPr>
            <w:r>
              <w:t>133.35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2"/>
            </w:pPr>
            <w:r>
              <w:t>二、政府性基金预算拨款</w:t>
            </w:r>
          </w:p>
        </w:tc>
        <w:tc>
          <w:tcPr>
            <w:tcW w:w="1474" w:type="dxa"/>
            <w:vAlign w:val="center"/>
          </w:tcPr>
          <w:p>
            <w:pPr>
              <w:pStyle w:val="13"/>
            </w:pPr>
          </w:p>
        </w:tc>
        <w:tc>
          <w:tcPr>
            <w:tcW w:w="3402" w:type="dxa"/>
            <w:vAlign w:val="center"/>
          </w:tcPr>
          <w:p>
            <w:pPr>
              <w:pStyle w:val="12"/>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2"/>
            </w:pPr>
            <w:r>
              <w:t>三、国有资本经营预算拨款</w:t>
            </w:r>
          </w:p>
        </w:tc>
        <w:tc>
          <w:tcPr>
            <w:tcW w:w="1474" w:type="dxa"/>
            <w:vAlign w:val="center"/>
          </w:tcPr>
          <w:p>
            <w:pPr>
              <w:pStyle w:val="13"/>
            </w:pPr>
          </w:p>
        </w:tc>
        <w:tc>
          <w:tcPr>
            <w:tcW w:w="3402" w:type="dxa"/>
            <w:vAlign w:val="center"/>
          </w:tcPr>
          <w:p>
            <w:pPr>
              <w:pStyle w:val="12"/>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八、社会保障和就业支出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4"/>
            </w:pPr>
            <w:r>
              <w:t>本年收入合计</w:t>
            </w:r>
          </w:p>
        </w:tc>
        <w:tc>
          <w:tcPr>
            <w:tcW w:w="1474" w:type="dxa"/>
            <w:vAlign w:val="center"/>
          </w:tcPr>
          <w:p>
            <w:pPr>
              <w:pStyle w:val="15"/>
            </w:pPr>
            <w:r>
              <w:t>133.35</w:t>
            </w:r>
          </w:p>
        </w:tc>
        <w:tc>
          <w:tcPr>
            <w:tcW w:w="3402" w:type="dxa"/>
            <w:vAlign w:val="center"/>
          </w:tcPr>
          <w:p>
            <w:pPr>
              <w:pStyle w:val="14"/>
            </w:pPr>
            <w:r>
              <w:t>本年支出合计</w:t>
            </w:r>
          </w:p>
        </w:tc>
        <w:tc>
          <w:tcPr>
            <w:tcW w:w="1474" w:type="dxa"/>
            <w:vAlign w:val="center"/>
          </w:tcPr>
          <w:p>
            <w:pPr>
              <w:pStyle w:val="15"/>
            </w:pPr>
            <w:r>
              <w:t>133.35</w:t>
            </w:r>
          </w:p>
        </w:tc>
        <w:tc>
          <w:tcPr>
            <w:tcW w:w="1474" w:type="dxa"/>
            <w:vAlign w:val="center"/>
          </w:tcPr>
          <w:p>
            <w:pPr>
              <w:pStyle w:val="15"/>
            </w:pPr>
            <w:r>
              <w:t>133.35</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2"/>
            </w:pPr>
            <w:r>
              <w:t>年初财政拨款结转和结余</w:t>
            </w:r>
          </w:p>
        </w:tc>
        <w:tc>
          <w:tcPr>
            <w:tcW w:w="1474" w:type="dxa"/>
            <w:vAlign w:val="center"/>
          </w:tcPr>
          <w:p>
            <w:pPr>
              <w:pStyle w:val="13"/>
            </w:pPr>
          </w:p>
        </w:tc>
        <w:tc>
          <w:tcPr>
            <w:tcW w:w="3402" w:type="dxa"/>
            <w:vAlign w:val="center"/>
          </w:tcPr>
          <w:p>
            <w:pPr>
              <w:pStyle w:val="12"/>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2"/>
            </w:pPr>
            <w:r>
              <w:t>一、一般公共预算拨款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2"/>
            </w:pPr>
            <w:r>
              <w:t>二、政府性基金预算拨款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2"/>
            </w:pPr>
            <w:r>
              <w:t>三、国有资本经营预算拨款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4"/>
            </w:pPr>
            <w:r>
              <w:t>收入总计</w:t>
            </w:r>
          </w:p>
        </w:tc>
        <w:tc>
          <w:tcPr>
            <w:tcW w:w="1474" w:type="dxa"/>
            <w:vAlign w:val="center"/>
          </w:tcPr>
          <w:p>
            <w:pPr>
              <w:pStyle w:val="15"/>
            </w:pPr>
            <w:r>
              <w:t>133.35</w:t>
            </w:r>
          </w:p>
        </w:tc>
        <w:tc>
          <w:tcPr>
            <w:tcW w:w="3402" w:type="dxa"/>
            <w:vAlign w:val="center"/>
          </w:tcPr>
          <w:p>
            <w:pPr>
              <w:pStyle w:val="14"/>
            </w:pPr>
            <w:r>
              <w:t>支出总计</w:t>
            </w:r>
          </w:p>
        </w:tc>
        <w:tc>
          <w:tcPr>
            <w:tcW w:w="1474" w:type="dxa"/>
            <w:vAlign w:val="center"/>
          </w:tcPr>
          <w:p>
            <w:pPr>
              <w:pStyle w:val="15"/>
            </w:pPr>
            <w:r>
              <w:t>133.35</w:t>
            </w:r>
          </w:p>
        </w:tc>
        <w:tc>
          <w:tcPr>
            <w:tcW w:w="1474" w:type="dxa"/>
            <w:vAlign w:val="center"/>
          </w:tcPr>
          <w:p>
            <w:pPr>
              <w:pStyle w:val="15"/>
            </w:pPr>
            <w:r>
              <w:t>133.35</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2026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712中国共产主义青年团石家庄市藁城区委员会</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133.35</w:t>
            </w:r>
          </w:p>
        </w:tc>
        <w:tc>
          <w:tcPr>
            <w:tcW w:w="2551" w:type="dxa"/>
            <w:vAlign w:val="center"/>
          </w:tcPr>
          <w:p>
            <w:pPr>
              <w:pStyle w:val="15"/>
            </w:pPr>
            <w:r>
              <w:t>123.35</w:t>
            </w:r>
          </w:p>
        </w:tc>
        <w:tc>
          <w:tcPr>
            <w:tcW w:w="2551" w:type="dxa"/>
            <w:vAlign w:val="center"/>
          </w:tcPr>
          <w:p>
            <w:pPr>
              <w:pStyle w:val="15"/>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3"/>
            </w:pPr>
            <w:r>
              <w:t>133.35</w:t>
            </w:r>
          </w:p>
        </w:tc>
        <w:tc>
          <w:tcPr>
            <w:tcW w:w="2551" w:type="dxa"/>
            <w:vAlign w:val="center"/>
          </w:tcPr>
          <w:p>
            <w:pPr>
              <w:pStyle w:val="13"/>
            </w:pPr>
            <w:r>
              <w:t>123.35</w:t>
            </w:r>
          </w:p>
        </w:tc>
        <w:tc>
          <w:tcPr>
            <w:tcW w:w="2551"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2"/>
            </w:pPr>
            <w:r>
              <w:t>20129</w:t>
            </w:r>
          </w:p>
        </w:tc>
        <w:tc>
          <w:tcPr>
            <w:tcW w:w="4535" w:type="dxa"/>
            <w:vAlign w:val="center"/>
          </w:tcPr>
          <w:p>
            <w:pPr>
              <w:pStyle w:val="12"/>
            </w:pPr>
            <w:r>
              <w:t>群众团体事务</w:t>
            </w:r>
          </w:p>
        </w:tc>
        <w:tc>
          <w:tcPr>
            <w:tcW w:w="2551" w:type="dxa"/>
            <w:vAlign w:val="center"/>
          </w:tcPr>
          <w:p>
            <w:pPr>
              <w:pStyle w:val="13"/>
            </w:pPr>
            <w:r>
              <w:t>123.35</w:t>
            </w:r>
          </w:p>
        </w:tc>
        <w:tc>
          <w:tcPr>
            <w:tcW w:w="2551" w:type="dxa"/>
            <w:vAlign w:val="center"/>
          </w:tcPr>
          <w:p>
            <w:pPr>
              <w:pStyle w:val="13"/>
            </w:pPr>
            <w:r>
              <w:t>123.35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2"/>
            </w:pPr>
            <w:r>
              <w:t>2012901</w:t>
            </w:r>
          </w:p>
        </w:tc>
        <w:tc>
          <w:tcPr>
            <w:tcW w:w="4535" w:type="dxa"/>
            <w:vAlign w:val="center"/>
          </w:tcPr>
          <w:p>
            <w:pPr>
              <w:pStyle w:val="12"/>
            </w:pPr>
            <w:r>
              <w:t>行政运行</w:t>
            </w:r>
          </w:p>
        </w:tc>
        <w:tc>
          <w:tcPr>
            <w:tcW w:w="2551" w:type="dxa"/>
            <w:vAlign w:val="center"/>
          </w:tcPr>
          <w:p>
            <w:pPr>
              <w:pStyle w:val="13"/>
            </w:pPr>
            <w:r>
              <w:t>123.35</w:t>
            </w:r>
          </w:p>
        </w:tc>
        <w:tc>
          <w:tcPr>
            <w:tcW w:w="2551" w:type="dxa"/>
            <w:vAlign w:val="center"/>
          </w:tcPr>
          <w:p>
            <w:pPr>
              <w:pStyle w:val="13"/>
            </w:pPr>
            <w:r>
              <w:t>123.35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2"/>
            </w:pPr>
            <w:r>
              <w:t>20136</w:t>
            </w:r>
          </w:p>
        </w:tc>
        <w:tc>
          <w:tcPr>
            <w:tcW w:w="4535" w:type="dxa"/>
            <w:vAlign w:val="center"/>
          </w:tcPr>
          <w:p>
            <w:pPr>
              <w:pStyle w:val="12"/>
            </w:pPr>
            <w:r>
              <w:t>其他共产党事务支出</w:t>
            </w:r>
          </w:p>
        </w:tc>
        <w:tc>
          <w:tcPr>
            <w:tcW w:w="2551" w:type="dxa"/>
            <w:vAlign w:val="center"/>
          </w:tcPr>
          <w:p>
            <w:pPr>
              <w:pStyle w:val="13"/>
            </w:pPr>
            <w:r>
              <w:t>10.00</w:t>
            </w:r>
          </w:p>
        </w:tc>
        <w:tc>
          <w:tcPr>
            <w:tcW w:w="2551" w:type="dxa"/>
            <w:vAlign w:val="center"/>
          </w:tcPr>
          <w:p>
            <w:pPr>
              <w:pStyle w:val="13"/>
            </w:pPr>
          </w:p>
        </w:tc>
        <w:tc>
          <w:tcPr>
            <w:tcW w:w="2551"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2"/>
            </w:pPr>
            <w:r>
              <w:t>2013602</w:t>
            </w:r>
          </w:p>
        </w:tc>
        <w:tc>
          <w:tcPr>
            <w:tcW w:w="4535" w:type="dxa"/>
            <w:vAlign w:val="center"/>
          </w:tcPr>
          <w:p>
            <w:pPr>
              <w:pStyle w:val="12"/>
            </w:pPr>
            <w:r>
              <w:t>一般行政管理事务</w:t>
            </w:r>
          </w:p>
        </w:tc>
        <w:tc>
          <w:tcPr>
            <w:tcW w:w="2551" w:type="dxa"/>
            <w:vAlign w:val="center"/>
          </w:tcPr>
          <w:p>
            <w:pPr>
              <w:pStyle w:val="13"/>
            </w:pPr>
            <w:r>
              <w:t>10.00</w:t>
            </w:r>
          </w:p>
        </w:tc>
        <w:tc>
          <w:tcPr>
            <w:tcW w:w="2551" w:type="dxa"/>
            <w:vAlign w:val="center"/>
          </w:tcPr>
          <w:p>
            <w:pPr>
              <w:pStyle w:val="13"/>
            </w:pPr>
          </w:p>
        </w:tc>
        <w:tc>
          <w:tcPr>
            <w:tcW w:w="2551" w:type="dxa"/>
            <w:vAlign w:val="center"/>
          </w:tcPr>
          <w:p>
            <w:pPr>
              <w:pStyle w:val="13"/>
            </w:pPr>
            <w:r>
              <w:t>10.00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24769"/>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712中国共产主义青年团石家庄市藁城区委员会</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123.35</w:t>
            </w:r>
          </w:p>
        </w:tc>
        <w:tc>
          <w:tcPr>
            <w:tcW w:w="2551" w:type="dxa"/>
            <w:vAlign w:val="center"/>
          </w:tcPr>
          <w:p>
            <w:pPr>
              <w:pStyle w:val="15"/>
            </w:pPr>
            <w:r>
              <w:t>111.14</w:t>
            </w:r>
          </w:p>
        </w:tc>
        <w:tc>
          <w:tcPr>
            <w:tcW w:w="2551" w:type="dxa"/>
            <w:vAlign w:val="center"/>
          </w:tcPr>
          <w:p>
            <w:pPr>
              <w:pStyle w:val="15"/>
            </w:pPr>
            <w:r>
              <w:t>12.21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3"/>
            </w:pPr>
            <w:r>
              <w:t>111.14</w:t>
            </w:r>
          </w:p>
        </w:tc>
        <w:tc>
          <w:tcPr>
            <w:tcW w:w="2551" w:type="dxa"/>
            <w:vAlign w:val="center"/>
          </w:tcPr>
          <w:p>
            <w:pPr>
              <w:pStyle w:val="13"/>
            </w:pPr>
            <w:r>
              <w:t>111.14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3"/>
            </w:pPr>
            <w:r>
              <w:t>23.63</w:t>
            </w:r>
          </w:p>
        </w:tc>
        <w:tc>
          <w:tcPr>
            <w:tcW w:w="2551" w:type="dxa"/>
            <w:vAlign w:val="center"/>
          </w:tcPr>
          <w:p>
            <w:pPr>
              <w:pStyle w:val="13"/>
            </w:pPr>
            <w:r>
              <w:t>23.63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3"/>
            </w:pPr>
            <w:r>
              <w:t>53.50</w:t>
            </w:r>
          </w:p>
        </w:tc>
        <w:tc>
          <w:tcPr>
            <w:tcW w:w="2551" w:type="dxa"/>
            <w:vAlign w:val="center"/>
          </w:tcPr>
          <w:p>
            <w:pPr>
              <w:pStyle w:val="13"/>
            </w:pPr>
            <w:r>
              <w:t>53.50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3"/>
            </w:pPr>
            <w:r>
              <w:t>1.97</w:t>
            </w:r>
          </w:p>
        </w:tc>
        <w:tc>
          <w:tcPr>
            <w:tcW w:w="2551" w:type="dxa"/>
            <w:vAlign w:val="center"/>
          </w:tcPr>
          <w:p>
            <w:pPr>
              <w:pStyle w:val="13"/>
            </w:pPr>
            <w:r>
              <w:t>1.97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3"/>
            </w:pPr>
            <w:r>
              <w:t>9.07</w:t>
            </w:r>
          </w:p>
        </w:tc>
        <w:tc>
          <w:tcPr>
            <w:tcW w:w="2551" w:type="dxa"/>
            <w:vAlign w:val="center"/>
          </w:tcPr>
          <w:p>
            <w:pPr>
              <w:pStyle w:val="13"/>
            </w:pPr>
            <w:r>
              <w:t>9.07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3"/>
            </w:pPr>
            <w:r>
              <w:t>5.93</w:t>
            </w:r>
          </w:p>
        </w:tc>
        <w:tc>
          <w:tcPr>
            <w:tcW w:w="2551" w:type="dxa"/>
            <w:vAlign w:val="center"/>
          </w:tcPr>
          <w:p>
            <w:pPr>
              <w:pStyle w:val="13"/>
            </w:pPr>
            <w:r>
              <w:t>5.93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3"/>
            </w:pPr>
            <w:r>
              <w:t>2.52</w:t>
            </w:r>
          </w:p>
        </w:tc>
        <w:tc>
          <w:tcPr>
            <w:tcW w:w="2551" w:type="dxa"/>
            <w:vAlign w:val="center"/>
          </w:tcPr>
          <w:p>
            <w:pPr>
              <w:pStyle w:val="13"/>
            </w:pPr>
            <w:r>
              <w:t>2.52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3"/>
            </w:pPr>
            <w:r>
              <w:t>6.68</w:t>
            </w:r>
          </w:p>
        </w:tc>
        <w:tc>
          <w:tcPr>
            <w:tcW w:w="2551" w:type="dxa"/>
            <w:vAlign w:val="center"/>
          </w:tcPr>
          <w:p>
            <w:pPr>
              <w:pStyle w:val="13"/>
            </w:pPr>
            <w:r>
              <w:t>6.68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3"/>
            </w:pPr>
            <w:r>
              <w:t>7.84</w:t>
            </w:r>
          </w:p>
        </w:tc>
        <w:tc>
          <w:tcPr>
            <w:tcW w:w="2551" w:type="dxa"/>
            <w:vAlign w:val="center"/>
          </w:tcPr>
          <w:p>
            <w:pPr>
              <w:pStyle w:val="13"/>
            </w:pPr>
            <w:r>
              <w:t>7.84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3"/>
            </w:pPr>
            <w:r>
              <w:t>12.21</w:t>
            </w:r>
          </w:p>
        </w:tc>
        <w:tc>
          <w:tcPr>
            <w:tcW w:w="2551" w:type="dxa"/>
            <w:vAlign w:val="center"/>
          </w:tcPr>
          <w:p>
            <w:pPr>
              <w:pStyle w:val="13"/>
            </w:pPr>
          </w:p>
        </w:tc>
        <w:tc>
          <w:tcPr>
            <w:tcW w:w="2551" w:type="dxa"/>
            <w:vAlign w:val="center"/>
          </w:tcPr>
          <w:p>
            <w:pPr>
              <w:pStyle w:val="13"/>
            </w:pPr>
            <w:r>
              <w:t>12.21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3"/>
            </w:pPr>
            <w:r>
              <w:t>2.40</w:t>
            </w:r>
          </w:p>
        </w:tc>
        <w:tc>
          <w:tcPr>
            <w:tcW w:w="2551" w:type="dxa"/>
            <w:vAlign w:val="center"/>
          </w:tcPr>
          <w:p>
            <w:pPr>
              <w:pStyle w:val="13"/>
            </w:pPr>
          </w:p>
        </w:tc>
        <w:tc>
          <w:tcPr>
            <w:tcW w:w="2551" w:type="dxa"/>
            <w:vAlign w:val="center"/>
          </w:tcPr>
          <w:p>
            <w:pPr>
              <w:pStyle w:val="13"/>
            </w:pPr>
            <w:r>
              <w:t>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3"/>
            </w:pPr>
            <w:r>
              <w:t>4.08</w:t>
            </w:r>
          </w:p>
        </w:tc>
        <w:tc>
          <w:tcPr>
            <w:tcW w:w="2551" w:type="dxa"/>
            <w:vAlign w:val="center"/>
          </w:tcPr>
          <w:p>
            <w:pPr>
              <w:pStyle w:val="13"/>
            </w:pPr>
          </w:p>
        </w:tc>
        <w:tc>
          <w:tcPr>
            <w:tcW w:w="2551" w:type="dxa"/>
            <w:vAlign w:val="center"/>
          </w:tcPr>
          <w:p>
            <w:pPr>
              <w:pStyle w:val="13"/>
            </w:pPr>
            <w:r>
              <w:t>4.08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3"/>
            </w:pPr>
            <w:r>
              <w:t>0.57</w:t>
            </w:r>
          </w:p>
        </w:tc>
        <w:tc>
          <w:tcPr>
            <w:tcW w:w="2551" w:type="dxa"/>
            <w:vAlign w:val="center"/>
          </w:tcPr>
          <w:p>
            <w:pPr>
              <w:pStyle w:val="13"/>
            </w:pPr>
          </w:p>
        </w:tc>
        <w:tc>
          <w:tcPr>
            <w:tcW w:w="2551" w:type="dxa"/>
            <w:vAlign w:val="center"/>
          </w:tcPr>
          <w:p>
            <w:pPr>
              <w:pStyle w:val="13"/>
            </w:pPr>
            <w:r>
              <w:t>0.57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3"/>
            </w:pPr>
            <w:r>
              <w:t>0.59</w:t>
            </w:r>
          </w:p>
        </w:tc>
        <w:tc>
          <w:tcPr>
            <w:tcW w:w="2551" w:type="dxa"/>
            <w:vAlign w:val="center"/>
          </w:tcPr>
          <w:p>
            <w:pPr>
              <w:pStyle w:val="13"/>
            </w:pPr>
          </w:p>
        </w:tc>
        <w:tc>
          <w:tcPr>
            <w:tcW w:w="2551" w:type="dxa"/>
            <w:vAlign w:val="center"/>
          </w:tcPr>
          <w:p>
            <w:pPr>
              <w:pStyle w:val="13"/>
            </w:pPr>
            <w:r>
              <w:t>0.59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3"/>
            </w:pPr>
            <w:r>
              <w:t>4.50</w:t>
            </w:r>
          </w:p>
        </w:tc>
        <w:tc>
          <w:tcPr>
            <w:tcW w:w="2551" w:type="dxa"/>
            <w:vAlign w:val="center"/>
          </w:tcPr>
          <w:p>
            <w:pPr>
              <w:pStyle w:val="13"/>
            </w:pPr>
          </w:p>
        </w:tc>
        <w:tc>
          <w:tcPr>
            <w:tcW w:w="2551" w:type="dxa"/>
            <w:vAlign w:val="center"/>
          </w:tcPr>
          <w:p>
            <w:pPr>
              <w:pStyle w:val="13"/>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3"/>
            </w:pPr>
            <w:r>
              <w:t>0.07</w:t>
            </w:r>
          </w:p>
        </w:tc>
        <w:tc>
          <w:tcPr>
            <w:tcW w:w="2551" w:type="dxa"/>
            <w:vAlign w:val="center"/>
          </w:tcPr>
          <w:p>
            <w:pPr>
              <w:pStyle w:val="13"/>
            </w:pPr>
          </w:p>
        </w:tc>
        <w:tc>
          <w:tcPr>
            <w:tcW w:w="2551" w:type="dxa"/>
            <w:vAlign w:val="center"/>
          </w:tcPr>
          <w:p>
            <w:pPr>
              <w:pStyle w:val="13"/>
            </w:pPr>
            <w:r>
              <w:t>0.07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27171"/>
      <w:r>
        <w:rPr>
          <w:rFonts w:ascii="方正小标宋_GBK" w:hAnsi="方正小标宋_GBK" w:eastAsia="方正小标宋_GBK" w:cs="方正小标宋_GBK"/>
          <w:color w:val="000000"/>
          <w:sz w:val="36"/>
        </w:rPr>
        <w:t>部门预算政府基金预算财政拨款支出表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712中国共产主义青年团石家庄市藁城区委员会</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2391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712中国共产主义青年团石家庄市藁城区委员会</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14182"/>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7"/>
            </w:pPr>
            <w:r>
              <w:t>712中国共产主义青年团石家庄市藁城区委员会</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p>
        </w:tc>
        <w:tc>
          <w:tcPr>
            <w:tcW w:w="3798" w:type="dxa"/>
            <w:vAlign w:val="center"/>
          </w:tcPr>
          <w:p>
            <w:pPr>
              <w:pStyle w:val="12"/>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中国共产主义青年团石家庄市藁城区委员会2022年部门预算信息公开情况说明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中国共产主义青年团石家庄市藁城区委员会2022年部门预算信息公开情况说明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按照《预算法》、《地方预决算公开操作规程》和《关于进一步推进预算公开工作的实施意见》规定，现将中国共产主义青年团石家庄市藁城区委员会2022年部门预算公开如下：</w:t>
      </w:r>
    </w:p>
    <w:p>
      <w:pPr>
        <w:spacing w:before="10" w:after="10" w:line="360" w:lineRule="auto"/>
        <w:ind w:firstLine="640"/>
        <w:jc w:val="left"/>
        <w:outlineLvl w:val="2"/>
      </w:pPr>
      <w:bookmarkStart w:id="9" w:name="_Toc15108"/>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7"/>
      </w:pPr>
      <w:r>
        <w:t>根据《中国共产主义青年团藁城区委员会职能配置、内设机构和人员编制规定》， 中国共产主义青年团藁城区委员会的主要职责是：</w:t>
      </w:r>
    </w:p>
    <w:p>
      <w:pPr>
        <w:pStyle w:val="17"/>
      </w:pPr>
      <w:r>
        <w:t>（一）行使共青团藁城区委赋予的领导全区共青团工作、指导全区少先队工作的职权，对全区青年社团组织进行指导和管理。</w:t>
      </w:r>
    </w:p>
    <w:p>
      <w:pPr>
        <w:pStyle w:val="17"/>
      </w:pPr>
      <w:r>
        <w:t>（二）加强团的基层组织建设，扩大团组织的覆盖面，加强青年中心、非公经济团组织、自组织等外围组织建设。</w:t>
      </w:r>
    </w:p>
    <w:p>
      <w:pPr>
        <w:pStyle w:val="17"/>
      </w:pPr>
      <w:r>
        <w:t>（三）参与本区的有关青少年事务的法律、地方性法规的制定和实施，协助区委和区政府处理、协调与青少年利益相关的事务。</w:t>
      </w:r>
    </w:p>
    <w:p>
      <w:pPr>
        <w:pStyle w:val="17"/>
      </w:pPr>
      <w:r>
        <w:t>（四）调查青年思想动态和青年工作状况，研究青少年运动、青少年工作理论和思想教育问题，提出相应对策，开展各种活动；对全区团员青年进行团员意识教育，教育和带领团员青年坚定理想信念，继承和发扬党的优良传统，积极践行社会主义核心价值观，从小树立远大理想，为实现“中国梦”而奋斗。</w:t>
      </w:r>
    </w:p>
    <w:p>
      <w:pPr>
        <w:pStyle w:val="17"/>
      </w:pPr>
      <w:r>
        <w:t>（五）协助区政府教育部门做好大、中、小学生的教育管理工作，维护学校稳定和社会安定团结。</w:t>
      </w:r>
    </w:p>
    <w:p>
      <w:pPr>
        <w:pStyle w:val="17"/>
      </w:pPr>
      <w:r>
        <w:t>（六）在全区经济建设中，组织和带领青年发挥生力军和突击队作用。</w:t>
      </w:r>
    </w:p>
    <w:p>
      <w:pPr>
        <w:pStyle w:val="17"/>
      </w:pPr>
      <w:r>
        <w:t>（七）通过全面推进改革举措落地，力争让机构设置更合理、让团干队伍更优化、让基层力量更充实、让基层组织覆盖更广、让团与青年走得更近、让青年工作保障更强。</w:t>
      </w:r>
    </w:p>
    <w:p>
      <w:pPr>
        <w:pStyle w:val="17"/>
      </w:pPr>
      <w:r>
        <w:t>（八）承担区委、区政府和团市委交办的有关事项。</w:t>
      </w:r>
    </w:p>
    <w:p>
      <w:pPr>
        <w:pStyle w:val="17"/>
      </w:pPr>
      <w:r>
        <w:t>（九）会同有关部门做好未成年人保护工作。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中国共产主义青年团石家庄市藁城区委员会本级</w:t>
            </w:r>
          </w:p>
        </w:tc>
        <w:tc>
          <w:tcPr>
            <w:tcW w:w="1843" w:type="dxa"/>
            <w:vAlign w:val="center"/>
          </w:tcPr>
          <w:p>
            <w:pPr>
              <w:pStyle w:val="11"/>
            </w:pPr>
            <w:r>
              <w:t>事业</w:t>
            </w:r>
          </w:p>
        </w:tc>
        <w:tc>
          <w:tcPr>
            <w:tcW w:w="2126" w:type="dxa"/>
            <w:vAlign w:val="center"/>
          </w:tcPr>
          <w:p>
            <w:pPr>
              <w:pStyle w:val="11"/>
            </w:pPr>
            <w:r>
              <w:t>正科级</w:t>
            </w:r>
          </w:p>
        </w:tc>
        <w:tc>
          <w:tcPr>
            <w:tcW w:w="3827" w:type="dxa"/>
            <w:vAlign w:val="center"/>
          </w:tcPr>
          <w:p>
            <w:pPr>
              <w:pStyle w:val="11"/>
            </w:pPr>
            <w:r>
              <w:t>财政性资金基本保证</w:t>
            </w:r>
          </w:p>
        </w:tc>
      </w:tr>
    </w:tbl>
    <w:p>
      <w:pPr>
        <w:spacing w:before="10" w:after="10" w:line="360" w:lineRule="auto"/>
        <w:ind w:firstLine="640"/>
        <w:jc w:val="left"/>
        <w:outlineLvl w:val="2"/>
      </w:pPr>
      <w:bookmarkStart w:id="10" w:name="_Toc389"/>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按照预算管理有关规定，目前我省部门预算的编制实行综合预算管理，即全部收入和支出都反映在预算中。中国共产主义青年团石家庄市藁城区委员会机关及所属事业单位的收支包含在部门预算中。</w:t>
      </w:r>
    </w:p>
    <w:p>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反映本部门当年全部收入。2022年预算收入</w:t>
      </w:r>
      <w:r>
        <w:rPr>
          <w:rFonts w:hint="eastAsia" w:eastAsia="仿宋" w:cs="Times New Roman"/>
          <w:sz w:val="32"/>
          <w:szCs w:val="32"/>
          <w:lang w:val="en-US" w:eastAsia="zh-CN"/>
        </w:rPr>
        <w:t>133.35</w:t>
      </w:r>
      <w:r>
        <w:rPr>
          <w:rFonts w:hint="eastAsia" w:ascii="Times New Roman" w:hAnsi="Times New Roman" w:eastAsia="仿宋" w:cs="Times New Roman"/>
          <w:sz w:val="32"/>
          <w:szCs w:val="32"/>
        </w:rPr>
        <w:t>万元，其中：一般公共预算收入</w:t>
      </w:r>
      <w:r>
        <w:rPr>
          <w:rFonts w:hint="eastAsia" w:eastAsia="仿宋" w:cs="Times New Roman"/>
          <w:sz w:val="32"/>
          <w:szCs w:val="32"/>
          <w:lang w:val="en-US" w:eastAsia="zh-CN"/>
        </w:rPr>
        <w:t>133.35</w:t>
      </w:r>
      <w:r>
        <w:rPr>
          <w:rFonts w:hint="eastAsia" w:ascii="Times New Roman" w:hAnsi="Times New Roman" w:eastAsia="仿宋" w:cs="Times New Roman"/>
          <w:sz w:val="32"/>
          <w:szCs w:val="32"/>
        </w:rPr>
        <w:t>万元，基金预算收入0万元，财政专户核拨收入0万元，其他来源收入0万元。</w:t>
      </w:r>
    </w:p>
    <w:p>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收支预算总表支出栏、基本支出表、项目支出表按经济分类和支出功能分类科目编制，反映本部门预算中支出预算的总体情况。2022年部门支出预算为</w:t>
      </w:r>
      <w:r>
        <w:rPr>
          <w:rFonts w:hint="eastAsia" w:eastAsia="仿宋" w:cs="Times New Roman"/>
          <w:sz w:val="32"/>
          <w:szCs w:val="32"/>
          <w:lang w:val="en-US" w:eastAsia="zh-CN"/>
        </w:rPr>
        <w:t>133.35</w:t>
      </w:r>
      <w:r>
        <w:rPr>
          <w:rFonts w:hint="eastAsia" w:ascii="Times New Roman" w:hAnsi="Times New Roman" w:eastAsia="仿宋" w:cs="Times New Roman"/>
          <w:sz w:val="32"/>
          <w:szCs w:val="32"/>
        </w:rPr>
        <w:t>万元，其中基本支出</w:t>
      </w:r>
      <w:r>
        <w:rPr>
          <w:rFonts w:hint="eastAsia" w:eastAsia="仿宋" w:cs="Times New Roman"/>
          <w:sz w:val="32"/>
          <w:szCs w:val="32"/>
          <w:lang w:val="en-US" w:eastAsia="zh-CN"/>
        </w:rPr>
        <w:t>123.35</w:t>
      </w:r>
      <w:r>
        <w:rPr>
          <w:rFonts w:hint="eastAsia" w:ascii="Times New Roman" w:hAnsi="Times New Roman" w:eastAsia="仿宋" w:cs="Times New Roman"/>
          <w:sz w:val="32"/>
          <w:szCs w:val="32"/>
        </w:rPr>
        <w:t>万元，包括人员经费</w:t>
      </w:r>
      <w:r>
        <w:rPr>
          <w:rFonts w:hint="eastAsia" w:eastAsia="仿宋" w:cs="Times New Roman"/>
          <w:sz w:val="32"/>
          <w:szCs w:val="32"/>
          <w:lang w:val="en-US" w:eastAsia="zh-CN"/>
        </w:rPr>
        <w:t>111.14</w:t>
      </w:r>
      <w:r>
        <w:rPr>
          <w:rFonts w:hint="eastAsia" w:ascii="Times New Roman" w:hAnsi="Times New Roman" w:eastAsia="仿宋" w:cs="Times New Roman"/>
          <w:sz w:val="32"/>
          <w:szCs w:val="32"/>
        </w:rPr>
        <w:t>万元和日常公用经费</w:t>
      </w:r>
      <w:r>
        <w:rPr>
          <w:rFonts w:hint="eastAsia" w:eastAsia="仿宋" w:cs="Times New Roman"/>
          <w:sz w:val="32"/>
          <w:szCs w:val="32"/>
          <w:lang w:val="en-US" w:eastAsia="zh-CN"/>
        </w:rPr>
        <w:t>12.21</w:t>
      </w:r>
      <w:r>
        <w:rPr>
          <w:rFonts w:hint="eastAsia" w:ascii="Times New Roman" w:hAnsi="Times New Roman" w:eastAsia="仿宋" w:cs="Times New Roman"/>
          <w:sz w:val="32"/>
          <w:szCs w:val="32"/>
        </w:rPr>
        <w:t>万元；项目支出</w:t>
      </w:r>
      <w:r>
        <w:rPr>
          <w:rFonts w:hint="eastAsia" w:eastAsia="仿宋" w:cs="Times New Roman"/>
          <w:sz w:val="32"/>
          <w:szCs w:val="32"/>
          <w:lang w:val="en-US" w:eastAsia="zh-CN"/>
        </w:rPr>
        <w:t>10</w:t>
      </w:r>
      <w:r>
        <w:rPr>
          <w:rFonts w:hint="eastAsia" w:ascii="Times New Roman" w:hAnsi="Times New Roman" w:eastAsia="仿宋" w:cs="Times New Roman"/>
          <w:sz w:val="32"/>
          <w:szCs w:val="32"/>
        </w:rPr>
        <w:t>万元，主要为</w:t>
      </w:r>
      <w:r>
        <w:rPr>
          <w:rFonts w:hint="eastAsia" w:eastAsia="仿宋" w:cs="Times New Roman"/>
          <w:sz w:val="32"/>
          <w:szCs w:val="32"/>
          <w:lang w:val="en-US" w:eastAsia="zh-CN"/>
        </w:rPr>
        <w:t>党建带团建工作经费</w:t>
      </w:r>
      <w:r>
        <w:rPr>
          <w:rFonts w:hint="eastAsia" w:ascii="Times New Roman" w:hAnsi="Times New Roman" w:eastAsia="仿宋" w:cs="Times New Roman"/>
          <w:sz w:val="32"/>
          <w:szCs w:val="32"/>
        </w:rPr>
        <w:t>支出</w:t>
      </w:r>
      <w:r>
        <w:rPr>
          <w:rFonts w:hint="eastAsia" w:eastAsia="仿宋" w:cs="Times New Roman"/>
          <w:sz w:val="32"/>
          <w:szCs w:val="32"/>
          <w:lang w:val="en-US" w:eastAsia="zh-CN"/>
        </w:rPr>
        <w:t>10</w:t>
      </w:r>
      <w:r>
        <w:rPr>
          <w:rFonts w:hint="eastAsia" w:ascii="Times New Roman" w:hAnsi="Times New Roman" w:eastAsia="仿宋" w:cs="Times New Roman"/>
          <w:sz w:val="32"/>
          <w:szCs w:val="32"/>
        </w:rPr>
        <w:t>万元；其他支出0万元。</w:t>
      </w:r>
    </w:p>
    <w:p>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color w:val="000000"/>
          <w:sz w:val="32"/>
          <w:szCs w:val="32"/>
        </w:rPr>
        <w:t>2022年部门预算收支安排</w:t>
      </w:r>
      <w:r>
        <w:rPr>
          <w:rFonts w:hint="eastAsia" w:eastAsia="仿宋" w:cs="Times New Roman"/>
          <w:sz w:val="32"/>
          <w:szCs w:val="32"/>
          <w:lang w:val="en-US" w:eastAsia="zh-CN"/>
        </w:rPr>
        <w:t>133.35</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较2021年增加</w:t>
      </w:r>
      <w:r>
        <w:rPr>
          <w:rFonts w:hint="eastAsia" w:eastAsia="仿宋" w:cs="Times New Roman"/>
          <w:sz w:val="32"/>
          <w:szCs w:val="32"/>
          <w:lang w:val="en-US" w:eastAsia="zh-CN"/>
        </w:rPr>
        <w:t>29.76</w:t>
      </w:r>
      <w:r>
        <w:rPr>
          <w:rFonts w:hint="eastAsia" w:ascii="Times New Roman" w:hAnsi="Times New Roman" w:eastAsia="仿宋" w:cs="Times New Roman"/>
          <w:sz w:val="32"/>
          <w:szCs w:val="32"/>
        </w:rPr>
        <w:t>万元，其中：基本支出</w:t>
      </w:r>
      <w:r>
        <w:rPr>
          <w:rFonts w:hint="eastAsia" w:eastAsia="仿宋" w:cs="Times New Roman"/>
          <w:sz w:val="32"/>
          <w:szCs w:val="32"/>
          <w:lang w:val="en-US" w:eastAsia="zh-CN"/>
        </w:rPr>
        <w:t>增加26.06</w:t>
      </w:r>
      <w:r>
        <w:rPr>
          <w:rFonts w:hint="eastAsia" w:ascii="Times New Roman" w:hAnsi="Times New Roman" w:eastAsia="仿宋" w:cs="Times New Roman"/>
          <w:sz w:val="32"/>
          <w:szCs w:val="32"/>
        </w:rPr>
        <w:t>万元，主要是人员</w:t>
      </w:r>
      <w:r>
        <w:rPr>
          <w:rFonts w:hint="eastAsia" w:eastAsia="仿宋" w:cs="Times New Roman"/>
          <w:sz w:val="32"/>
          <w:szCs w:val="32"/>
          <w:lang w:val="en-US" w:eastAsia="zh-CN"/>
        </w:rPr>
        <w:t>增加</w:t>
      </w:r>
      <w:r>
        <w:rPr>
          <w:rFonts w:hint="eastAsia" w:ascii="Times New Roman" w:hAnsi="Times New Roman" w:eastAsia="仿宋" w:cs="Times New Roman"/>
          <w:sz w:val="32"/>
          <w:szCs w:val="32"/>
        </w:rPr>
        <w:t>，相应</w:t>
      </w:r>
      <w:r>
        <w:rPr>
          <w:rFonts w:hint="eastAsia" w:eastAsia="仿宋" w:cs="Times New Roman"/>
          <w:sz w:val="32"/>
          <w:szCs w:val="32"/>
          <w:lang w:val="en-US" w:eastAsia="zh-CN"/>
        </w:rPr>
        <w:t>增加</w:t>
      </w:r>
      <w:r>
        <w:rPr>
          <w:rFonts w:hint="eastAsia" w:ascii="Times New Roman" w:hAnsi="Times New Roman" w:eastAsia="仿宋" w:cs="Times New Roman"/>
          <w:sz w:val="32"/>
          <w:szCs w:val="32"/>
        </w:rPr>
        <w:t>人员经费和日常公用经费；项目支出增加</w:t>
      </w:r>
      <w:r>
        <w:rPr>
          <w:rFonts w:hint="eastAsia" w:eastAsia="仿宋" w:cs="Times New Roman"/>
          <w:sz w:val="32"/>
          <w:szCs w:val="32"/>
          <w:lang w:val="en-US" w:eastAsia="zh-CN"/>
        </w:rPr>
        <w:t>3.7</w:t>
      </w:r>
      <w:r>
        <w:rPr>
          <w:rFonts w:hint="eastAsia" w:ascii="Times New Roman" w:hAnsi="Times New Roman" w:eastAsia="仿宋" w:cs="Times New Roman"/>
          <w:sz w:val="32"/>
          <w:szCs w:val="32"/>
        </w:rPr>
        <w:t>万元，主要是增加</w:t>
      </w:r>
      <w:r>
        <w:rPr>
          <w:rFonts w:hint="eastAsia" w:eastAsia="仿宋" w:cs="Times New Roman"/>
          <w:sz w:val="32"/>
          <w:szCs w:val="32"/>
          <w:lang w:val="en-US" w:eastAsia="zh-CN"/>
        </w:rPr>
        <w:t>党建带团建工作经费</w:t>
      </w:r>
      <w:r>
        <w:rPr>
          <w:rFonts w:hint="eastAsia" w:ascii="Times New Roman" w:hAnsi="Times New Roman" w:eastAsia="仿宋" w:cs="Times New Roman"/>
          <w:sz w:val="32"/>
          <w:szCs w:val="32"/>
        </w:rPr>
        <w:t>；其他支出无增减变化。</w:t>
      </w:r>
    </w:p>
    <w:p>
      <w:pPr>
        <w:pStyle w:val="18"/>
      </w:pPr>
    </w:p>
    <w:p>
      <w:pPr>
        <w:spacing w:before="10" w:after="10" w:line="360" w:lineRule="auto"/>
        <w:ind w:firstLine="640"/>
        <w:jc w:val="left"/>
        <w:outlineLvl w:val="2"/>
      </w:pPr>
      <w:bookmarkStart w:id="11" w:name="_Toc20331"/>
      <w:r>
        <w:rPr>
          <w:rFonts w:ascii="黑体" w:hAnsi="黑体" w:eastAsia="黑体" w:cs="黑体"/>
          <w:color w:val="000000"/>
          <w:sz w:val="32"/>
        </w:rPr>
        <w:t>三、机关运行经费安排情况</w:t>
      </w:r>
      <w:bookmarkEnd w:id="11"/>
    </w:p>
    <w:p>
      <w:pPr>
        <w:spacing w:line="460" w:lineRule="exact"/>
        <w:ind w:firstLine="640" w:firstLineChars="200"/>
        <w:rPr>
          <w:rFonts w:ascii="仿宋" w:hAnsi="仿宋" w:eastAsia="仿宋"/>
          <w:sz w:val="32"/>
          <w:szCs w:val="32"/>
        </w:rPr>
      </w:pPr>
      <w:r>
        <w:rPr>
          <w:rFonts w:hint="eastAsia" w:ascii="Times New Roman" w:hAnsi="Times New Roman" w:eastAsia="仿宋" w:cs="Times New Roman"/>
          <w:sz w:val="32"/>
          <w:szCs w:val="32"/>
        </w:rPr>
        <w:t>2022年，我部门机关运行经费共计安排</w:t>
      </w:r>
      <w:r>
        <w:rPr>
          <w:rFonts w:hint="eastAsia" w:eastAsia="仿宋" w:cs="Times New Roman"/>
          <w:sz w:val="32"/>
          <w:szCs w:val="32"/>
          <w:lang w:val="en-US" w:eastAsia="zh-CN"/>
        </w:rPr>
        <w:t>12.21</w:t>
      </w:r>
      <w:r>
        <w:rPr>
          <w:rFonts w:hint="eastAsia" w:ascii="Times New Roman" w:hAnsi="Times New Roman" w:eastAsia="仿宋" w:cs="Times New Roman"/>
          <w:sz w:val="32"/>
          <w:szCs w:val="32"/>
        </w:rPr>
        <w:t>万元，主要用于保证机关正常运转的办公及印刷费、邮电费、差旅费、福利费、日常维修费等支出。</w:t>
      </w:r>
    </w:p>
    <w:p>
      <w:pPr>
        <w:pStyle w:val="19"/>
      </w:pPr>
    </w:p>
    <w:p>
      <w:pPr>
        <w:spacing w:before="10" w:after="10" w:line="360" w:lineRule="auto"/>
        <w:ind w:firstLine="640"/>
        <w:jc w:val="left"/>
        <w:outlineLvl w:val="2"/>
      </w:pPr>
      <w:bookmarkStart w:id="12" w:name="_Toc14632"/>
      <w:r>
        <w:rPr>
          <w:rFonts w:ascii="黑体" w:hAnsi="黑体" w:eastAsia="黑体" w:cs="黑体"/>
          <w:color w:val="000000"/>
          <w:sz w:val="32"/>
        </w:rPr>
        <w:t>四、财政拨款“三公”经费预算情况及增减变化原因</w:t>
      </w:r>
      <w:bookmarkEnd w:id="12"/>
    </w:p>
    <w:p>
      <w:pPr>
        <w:spacing w:line="460" w:lineRule="exact"/>
        <w:ind w:firstLine="640" w:firstLineChars="200"/>
        <w:rPr>
          <w:rFonts w:ascii="仿宋" w:hAnsi="仿宋" w:eastAsia="仿宋"/>
          <w:sz w:val="32"/>
          <w:szCs w:val="32"/>
        </w:rPr>
      </w:pPr>
      <w:r>
        <w:rPr>
          <w:rFonts w:hint="eastAsia" w:ascii="Times New Roman" w:hAnsi="Times New Roman" w:eastAsia="仿宋" w:cs="Times New Roman"/>
          <w:sz w:val="32"/>
          <w:szCs w:val="32"/>
        </w:rPr>
        <w:t>2022年，我部门财政拨款“三公”经费预算安排</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万元，其中：因公出国（境）费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万元；公务用车购置及运维费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万元（其中：公务用车购置费0万元，公务用车运行维护费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万元)；公务接待费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万元。“三公”经费与上年持平，无增减变化。</w:t>
      </w:r>
    </w:p>
    <w:p>
      <w:pPr>
        <w:pStyle w:val="20"/>
      </w:pPr>
    </w:p>
    <w:p>
      <w:pPr>
        <w:spacing w:before="10" w:after="10" w:line="360" w:lineRule="auto"/>
        <w:ind w:firstLine="640"/>
        <w:jc w:val="left"/>
        <w:outlineLvl w:val="2"/>
      </w:pPr>
      <w:bookmarkStart w:id="13" w:name="_Toc6797"/>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1"/>
      </w:pPr>
      <w:r>
        <w:t>深入贯彻党的十九大精神和十九届二中、三中、四中、五中、六中全会精神，深入学习贯彻习近平总书记关于青年工作的重要思想，认真落实中央、省、市委关于共青团改革的一系列要求部署，认真履行共青团藁城区委被赋予的领导全区共青团工作、指导全区少先队工作的职能，对全区青年社团组织进行指导和管理，持续深化青年大学习行动，进一步夯实“导学、讲学、研学、比学、践学、督学”六位一体的学习体系，加强对全区青年的宣传教育；深化青少年社会主义核心价值观培育工作；丰富青少年文化供给，整合团内外资源，加强与各类文化企业、新闻媒体、专业院校等的合作，开发具有河北特色的青年网络文化产品；积极投身全区“三创四建”活动，大力选树青年科技人才典型；助力北京冬奥会筹办，积极开展青少年冰雪运动项目；积极投身巩固脱贫攻坚成果，深化“乡村振兴·团青建功”行动；推动《河北省中长期青年发展规划（2018-2025）》10大领域发展目标实现，开展青年马克思主义者培养工程、青年网络文明发展工程、青少年创客创新创业行动计划等13个重点项目。坚持“高举伟大旗帜、聚焦主责主业、继续改革攻坚、全面从严治团”，切实增强政治性、先进性、群众性，坚持稳中求进工作总基调，树立新时代藁城共青团良好形象，为推进藁城“二次创业”，奋力开创“一极四城”新局面贡献青春力量。</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2"/>
      </w:pPr>
      <w:r>
        <w:t>1、组织建设和宣传教育</w:t>
      </w:r>
    </w:p>
    <w:p>
      <w:pPr>
        <w:pStyle w:val="22"/>
      </w:pPr>
      <w:r>
        <w:t>绩效目标：领导全区共青团工作，指导和管理全区少先队、青年志愿者和青年社会组织工作，促进各级基层团组织和青年组织建设进一步加强；对青年工作院校、青少年活动阵地和青少年服务机构的建设等进行规划和管理，促进活动阵地规范化建设；有效利用网络和新媒体加强对青年的宣传力度，加强网络和新媒体正面宣传。</w:t>
      </w:r>
    </w:p>
    <w:p>
      <w:pPr>
        <w:pStyle w:val="22"/>
      </w:pPr>
      <w:r>
        <w:t>绩效指标：服务青年阵地建设方面，青年中心服务青年效果增加明显，全区青年中心服务人次较去年增长20%，通过调查问卷的形式调查各级团组织对该项目实施的满意程度不低于90%；少工委组织引导方面，积极开展少先队活动80余次，参与人数5000人次，参与活动满意度对象占参加活动人数95%以上；开展“优秀青年个人和先进集体”选树活动，选树优秀典型500人以上；团干部教育和培训方面，开展2022年度团干部培训班，参加培训人数达到200人，培训对象覆盖率达到90%以上，培训合格的学员数量占培训总学员数量的比率均要达到90%以上；针对“智慧团建”系统管理员进行在线培训；到2022年，青春藁城公众号关注人数达到8000人，发布推文的数量100条。</w:t>
      </w:r>
    </w:p>
    <w:p>
      <w:pPr>
        <w:pStyle w:val="22"/>
      </w:pPr>
      <w:r>
        <w:t>2、服务、引导青少年工作</w:t>
      </w:r>
    </w:p>
    <w:p>
      <w:pPr>
        <w:pStyle w:val="22"/>
      </w:pPr>
      <w:r>
        <w:t>绩效目标：深入学习宣传习近平总书记系列重要讲话精神，推动党的创新理论在团员青年中落地生根；举办“培优工程”少先队辅导员骨干培训班，全方位提高讲师团成员宣讲能力和水平；围绕青年思想动态和青年工作现况，不断加强青少年社会主义核心价值观教育力度；着眼青少年中的突出需求和重点群体，着力提升服务工作实效。通过线上+线下模式，汇聚多方资源，持续推进全省青少年网络新媒体工作发展，通过互联网平台切实履行引领凝聚青年、组织动员青年、联系服务青年的职责使命。</w:t>
      </w:r>
    </w:p>
    <w:p>
      <w:pPr>
        <w:pStyle w:val="22"/>
      </w:pPr>
      <w:r>
        <w:t>绩效指标：持续推进青年志愿者行动，志愿者参与基层工作水平有效提升；此外通过开展系列青年志愿服务宣传引导工作，注册青年志愿者达到10万人；促进寸草心爱老敬老行动深入人心，建设寸草心示范点3个，建设小青星驿站5家；开展关心关爱留守儿童、慰问资助贫困学生活动；举办正确婚恋观培训、单身青年婚恋交友活动，培养青年正确婚恋观，举办七夕相亲联谊会；提升青年创新创业引导扶持能力，开展创新创业专题讲座不少于2期。</w:t>
      </w:r>
    </w:p>
    <w:p>
      <w:pPr>
        <w:pStyle w:val="22"/>
      </w:pPr>
      <w:r>
        <w:t>3、维护青少年权益工作</w:t>
      </w:r>
    </w:p>
    <w:p>
      <w:pPr>
        <w:pStyle w:val="22"/>
      </w:pPr>
      <w:r>
        <w:t>绩效目标：增强青少年学法、尊法、守法、用法意识，研究有关青少年发展问题，构建和完善维护青少年发展权益的机制化、社会化、专业化工作体系；加强青少年事务社会工作，加强法治宣传教育，促进青少年健康成长。</w:t>
      </w:r>
    </w:p>
    <w:p>
      <w:pPr>
        <w:pStyle w:val="22"/>
      </w:pPr>
      <w:r>
        <w:t>绩效指标：加强青少年法治宣传教育，预防青少年违法犯罪工作，全年组织开展青少年法制宣传活动达到10场，宣传覆盖人数达到5000人以上；项目预算数控制在1.5以内，参与活动青少年对活动组织、效果、形式的满意度加强；法治进校园进行普法教育人数不少于100人；开展青少年思想道德教育和法治宣传教育，组织青少年自护教育；开展共青团与人大代表、政协委员面对面活动1次。</w:t>
      </w:r>
    </w:p>
    <w:p>
      <w:pPr>
        <w:pStyle w:val="22"/>
      </w:pPr>
      <w:r>
        <w:t>4、团委事务管理</w:t>
      </w:r>
    </w:p>
    <w:p>
      <w:pPr>
        <w:pStyle w:val="22"/>
      </w:pPr>
      <w:r>
        <w:t>绩效目标：参与制定全区的青少年事业发展规划和青少年工作方针、政策;承担区委、区政府和上级团组织交办的有关事项。高质量完成全区青少年发展规划和方针政策的制定，圆满完成区委、区政府和上级团组织交办的各项任务。</w:t>
      </w:r>
    </w:p>
    <w:p>
      <w:pPr>
        <w:pStyle w:val="22"/>
      </w:pPr>
      <w:r>
        <w:t>绩效指标：发挥好青年联席会议制度的职能，召开青年联席会议1次，做好我区青年发展规划的制定，主动助力区委、区政府的各项重点工作和重点项目，圆满完成区委、区政府和上级团组织交办的各项工作任务。</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3"/>
      </w:pPr>
      <w:r>
        <w:t>1、加强组织建设，提高团组织在青年中的影响力和凝聚力</w:t>
      </w:r>
    </w:p>
    <w:p>
      <w:pPr>
        <w:pStyle w:val="23"/>
      </w:pPr>
      <w:r>
        <w:t>按照习近平总书记提出的“青年在哪里，团组织就建在哪里”的要求，我们大力加强团组织建设。加强基层团建工作，是巩固党的青年群众基础、为党赢得青年、赢得未来的必然要求，是新时期党建工作的内在需求。根据基层青年发展需要，在活动时间、活动内容上力争创新，以此增强团组织的凝聚力，开展具有影响力的活动，以点带面，力争让基层团的活动覆盖到更多的青年，实现基层共青团工作的整体活跃。</w:t>
      </w:r>
    </w:p>
    <w:p>
      <w:pPr>
        <w:pStyle w:val="23"/>
      </w:pPr>
      <w:r>
        <w:t>2、强化服务功能，维护青少年合法权益</w:t>
      </w:r>
    </w:p>
    <w:p>
      <w:pPr>
        <w:pStyle w:val="23"/>
      </w:pPr>
      <w:r>
        <w:t>围绕学业辅导、亲情陪伴、感受城市、自护教育、爱心捐助五项服务内容，在元旦、春节、6·1等节日期间，集中开展形式多样的活动，扩大关爱活动的社会影响力和美誉度。发挥好预防青少年违法犯罪办公室的作用，教育引导青少年牢固树立法律意识、增强法制观念，提高维护自身合法权益的能力，促进青少年健康成长。</w:t>
      </w:r>
    </w:p>
    <w:p>
      <w:pPr>
        <w:pStyle w:val="23"/>
      </w:pPr>
      <w:r>
        <w:t>3、整合多方资源，主动适应新时代青年发展</w:t>
      </w:r>
    </w:p>
    <w:p>
      <w:pPr>
        <w:pStyle w:val="23"/>
      </w:pPr>
      <w:r>
        <w:t>加强“青年中心”建设，主动适应新时代团员青年分布凝聚特点和青年工作组织形态多样化的需要，推进团的建设创新。建成共青团直接领导或主导的，依托各类实体空间和“青年中心”云平台，线上线下联系团员青年的公益性、专业化工作平台。</w:t>
      </w:r>
    </w:p>
    <w:p>
      <w:pPr>
        <w:pStyle w:val="24"/>
        <w:spacing w:before="0" w:after="0" w:line="240" w:lineRule="auto"/>
        <w:ind w:firstLine="640"/>
        <w:jc w:val="left"/>
        <w:outlineLvl w:val="9"/>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val="en-US" w:eastAsia="zh-CN"/>
        </w:rPr>
        <w:t>二</w:t>
      </w:r>
      <w:r>
        <w:rPr>
          <w:rFonts w:ascii="方正楷体_GBK" w:hAnsi="方正楷体_GBK" w:eastAsia="方正楷体_GBK" w:cs="方正楷体_GBK"/>
          <w:b/>
          <w:color w:val="000000"/>
          <w:sz w:val="32"/>
        </w:rPr>
        <w:t>部分  预算项目绩效目标</w:t>
      </w:r>
    </w:p>
    <w:p>
      <w:pPr>
        <w:pStyle w:val="24"/>
        <w:spacing w:before="0" w:after="0"/>
        <w:ind w:firstLine="560"/>
        <w:jc w:val="left"/>
        <w:outlineLvl w:val="9"/>
      </w:pPr>
      <w:r>
        <w:rPr>
          <w:rFonts w:ascii="方正仿宋_GBK" w:hAnsi="方正仿宋_GBK" w:eastAsia="方正仿宋_GBK" w:cs="方正仿宋_GBK"/>
          <w:b/>
          <w:color w:val="000000"/>
          <w:sz w:val="28"/>
        </w:rPr>
        <w:t>1、党建带团建工作经费绩效目标表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1.加强团的基层组织建设，按要求完成上级团组织的工作任务。</w:t>
            </w:r>
          </w:p>
          <w:p>
            <w:pPr>
              <w:pStyle w:val="26"/>
            </w:pPr>
            <w:r>
              <w:t>2.加强青少年思想引领，加强法制宣传力度，维护青少年合法权益。</w:t>
            </w:r>
          </w:p>
        </w:tc>
      </w:tr>
    </w:tbl>
    <w:p>
      <w:pPr>
        <w:pStyle w:val="24"/>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规范化团建设数</w:t>
            </w:r>
          </w:p>
        </w:tc>
        <w:tc>
          <w:tcPr>
            <w:tcW w:w="2835" w:type="dxa"/>
            <w:vAlign w:val="center"/>
          </w:tcPr>
          <w:p>
            <w:pPr>
              <w:pStyle w:val="26"/>
            </w:pPr>
            <w:r>
              <w:t>规范化组织建设或平台阵地建设数量</w:t>
            </w:r>
          </w:p>
        </w:tc>
        <w:tc>
          <w:tcPr>
            <w:tcW w:w="2551" w:type="dxa"/>
            <w:vAlign w:val="center"/>
          </w:tcPr>
          <w:p>
            <w:pPr>
              <w:pStyle w:val="26"/>
            </w:pPr>
            <w:r>
              <w:t>≥5规范化建设数</w:t>
            </w:r>
          </w:p>
        </w:tc>
        <w:tc>
          <w:tcPr>
            <w:tcW w:w="2268" w:type="dxa"/>
            <w:vAlign w:val="center"/>
          </w:tcPr>
          <w:p>
            <w:pPr>
              <w:pStyle w:val="26"/>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参加活动人数</w:t>
            </w:r>
          </w:p>
        </w:tc>
        <w:tc>
          <w:tcPr>
            <w:tcW w:w="2835" w:type="dxa"/>
            <w:vAlign w:val="center"/>
          </w:tcPr>
          <w:p>
            <w:pPr>
              <w:pStyle w:val="26"/>
            </w:pPr>
            <w:r>
              <w:t>参加各项青少年思想引领活动人数</w:t>
            </w:r>
          </w:p>
        </w:tc>
        <w:tc>
          <w:tcPr>
            <w:tcW w:w="2551" w:type="dxa"/>
            <w:vAlign w:val="center"/>
          </w:tcPr>
          <w:p>
            <w:pPr>
              <w:pStyle w:val="26"/>
            </w:pPr>
            <w:r>
              <w:t>≥10000年度活动参与人数</w:t>
            </w:r>
          </w:p>
        </w:tc>
        <w:tc>
          <w:tcPr>
            <w:tcW w:w="2268" w:type="dxa"/>
            <w:vAlign w:val="center"/>
          </w:tcPr>
          <w:p>
            <w:pPr>
              <w:pStyle w:val="26"/>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参与培训人数</w:t>
            </w:r>
          </w:p>
        </w:tc>
        <w:tc>
          <w:tcPr>
            <w:tcW w:w="2835" w:type="dxa"/>
            <w:vAlign w:val="center"/>
          </w:tcPr>
          <w:p>
            <w:pPr>
              <w:pStyle w:val="26"/>
            </w:pPr>
            <w:r>
              <w:t>参加法制宣传教育培训人数</w:t>
            </w:r>
          </w:p>
        </w:tc>
        <w:tc>
          <w:tcPr>
            <w:tcW w:w="2551" w:type="dxa"/>
            <w:vAlign w:val="center"/>
          </w:tcPr>
          <w:p>
            <w:pPr>
              <w:pStyle w:val="26"/>
            </w:pPr>
            <w:r>
              <w:t>≥5000年度活动参与人数</w:t>
            </w:r>
          </w:p>
        </w:tc>
        <w:tc>
          <w:tcPr>
            <w:tcW w:w="2268" w:type="dxa"/>
            <w:vAlign w:val="center"/>
          </w:tcPr>
          <w:p>
            <w:pPr>
              <w:pStyle w:val="26"/>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规范化团组织建设达标率</w:t>
            </w:r>
          </w:p>
        </w:tc>
        <w:tc>
          <w:tcPr>
            <w:tcW w:w="2835" w:type="dxa"/>
            <w:vAlign w:val="center"/>
          </w:tcPr>
          <w:p>
            <w:pPr>
              <w:pStyle w:val="26"/>
            </w:pPr>
            <w:r>
              <w:t>反映组织建设或平台建设阵地、人员、制度达标数占总数的比例</w:t>
            </w:r>
          </w:p>
        </w:tc>
        <w:tc>
          <w:tcPr>
            <w:tcW w:w="2551" w:type="dxa"/>
            <w:vAlign w:val="center"/>
          </w:tcPr>
          <w:p>
            <w:pPr>
              <w:pStyle w:val="26"/>
            </w:pPr>
            <w:r>
              <w:t>≥0.9规范化建设率</w:t>
            </w:r>
          </w:p>
        </w:tc>
        <w:tc>
          <w:tcPr>
            <w:tcW w:w="2268" w:type="dxa"/>
            <w:vAlign w:val="center"/>
          </w:tcPr>
          <w:p>
            <w:pPr>
              <w:pStyle w:val="26"/>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青少年参与活动和培训的比例</w:t>
            </w:r>
          </w:p>
        </w:tc>
        <w:tc>
          <w:tcPr>
            <w:tcW w:w="2835" w:type="dxa"/>
            <w:vAlign w:val="center"/>
          </w:tcPr>
          <w:p>
            <w:pPr>
              <w:pStyle w:val="26"/>
            </w:pPr>
            <w:r>
              <w:t>青少年参与活动与培训的人数达到目标的比例</w:t>
            </w:r>
          </w:p>
        </w:tc>
        <w:tc>
          <w:tcPr>
            <w:tcW w:w="2551" w:type="dxa"/>
            <w:vAlign w:val="center"/>
          </w:tcPr>
          <w:p>
            <w:pPr>
              <w:pStyle w:val="26"/>
            </w:pPr>
            <w:r>
              <w:t>≥0.9活动与培训参与率</w:t>
            </w:r>
          </w:p>
        </w:tc>
        <w:tc>
          <w:tcPr>
            <w:tcW w:w="2268" w:type="dxa"/>
            <w:vAlign w:val="center"/>
          </w:tcPr>
          <w:p>
            <w:pPr>
              <w:pStyle w:val="26"/>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按时间要求完成各项工作目标</w:t>
            </w:r>
          </w:p>
        </w:tc>
        <w:tc>
          <w:tcPr>
            <w:tcW w:w="2835" w:type="dxa"/>
            <w:vAlign w:val="center"/>
          </w:tcPr>
          <w:p>
            <w:pPr>
              <w:pStyle w:val="26"/>
            </w:pPr>
            <w:r>
              <w:t>按照时间节点，11月之前及时完成规范化团组织建设5家，青少年参与活动和培训人数15000人次。</w:t>
            </w:r>
          </w:p>
        </w:tc>
        <w:tc>
          <w:tcPr>
            <w:tcW w:w="2551" w:type="dxa"/>
            <w:vAlign w:val="center"/>
          </w:tcPr>
          <w:p>
            <w:pPr>
              <w:pStyle w:val="26"/>
            </w:pPr>
            <w:r>
              <w:t>≤11月</w:t>
            </w:r>
          </w:p>
        </w:tc>
        <w:tc>
          <w:tcPr>
            <w:tcW w:w="2268" w:type="dxa"/>
            <w:vAlign w:val="center"/>
          </w:tcPr>
          <w:p>
            <w:pPr>
              <w:pStyle w:val="26"/>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控制在预算成本之内</w:t>
            </w:r>
          </w:p>
        </w:tc>
        <w:tc>
          <w:tcPr>
            <w:tcW w:w="2835" w:type="dxa"/>
            <w:vAlign w:val="center"/>
          </w:tcPr>
          <w:p>
            <w:pPr>
              <w:pStyle w:val="26"/>
            </w:pPr>
            <w:r>
              <w:t>控制在预算成本之内</w:t>
            </w:r>
          </w:p>
        </w:tc>
        <w:tc>
          <w:tcPr>
            <w:tcW w:w="2551" w:type="dxa"/>
            <w:vAlign w:val="center"/>
          </w:tcPr>
          <w:p>
            <w:pPr>
              <w:pStyle w:val="26"/>
            </w:pPr>
            <w:r>
              <w:t>≥10万元</w:t>
            </w:r>
          </w:p>
        </w:tc>
        <w:tc>
          <w:tcPr>
            <w:tcW w:w="2268" w:type="dxa"/>
            <w:vAlign w:val="center"/>
          </w:tcPr>
          <w:p>
            <w:pPr>
              <w:pStyle w:val="26"/>
            </w:pPr>
            <w:r>
              <w:t>本级预算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团的基层组织建设工作进一步加强</w:t>
            </w:r>
          </w:p>
        </w:tc>
        <w:tc>
          <w:tcPr>
            <w:tcW w:w="2835" w:type="dxa"/>
            <w:vAlign w:val="center"/>
          </w:tcPr>
          <w:p>
            <w:pPr>
              <w:pStyle w:val="26"/>
            </w:pPr>
            <w:r>
              <w:t>团组织的覆盖面扩大、工作效能提升</w:t>
            </w:r>
          </w:p>
        </w:tc>
        <w:tc>
          <w:tcPr>
            <w:tcW w:w="2551" w:type="dxa"/>
            <w:vAlign w:val="center"/>
          </w:tcPr>
          <w:p>
            <w:pPr>
              <w:pStyle w:val="26"/>
            </w:pPr>
            <w:r>
              <w:t>≥5规范化建设数</w:t>
            </w:r>
          </w:p>
        </w:tc>
        <w:tc>
          <w:tcPr>
            <w:tcW w:w="2268" w:type="dxa"/>
            <w:vAlign w:val="center"/>
          </w:tcPr>
          <w:p>
            <w:pPr>
              <w:pStyle w:val="26"/>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青少年的思想道德建设工作进一步加强</w:t>
            </w:r>
          </w:p>
        </w:tc>
        <w:tc>
          <w:tcPr>
            <w:tcW w:w="2835" w:type="dxa"/>
            <w:vAlign w:val="center"/>
          </w:tcPr>
          <w:p>
            <w:pPr>
              <w:pStyle w:val="26"/>
            </w:pPr>
            <w:r>
              <w:t>青少年思想引领活动参与率</w:t>
            </w:r>
          </w:p>
        </w:tc>
        <w:tc>
          <w:tcPr>
            <w:tcW w:w="2551" w:type="dxa"/>
            <w:vAlign w:val="center"/>
          </w:tcPr>
          <w:p>
            <w:pPr>
              <w:pStyle w:val="26"/>
            </w:pPr>
            <w:r>
              <w:t>≥0.9活动参与率</w:t>
            </w:r>
          </w:p>
        </w:tc>
        <w:tc>
          <w:tcPr>
            <w:tcW w:w="2268" w:type="dxa"/>
            <w:vAlign w:val="center"/>
          </w:tcPr>
          <w:p>
            <w:pPr>
              <w:pStyle w:val="26"/>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青少年的权益工作进一步加强</w:t>
            </w:r>
          </w:p>
        </w:tc>
        <w:tc>
          <w:tcPr>
            <w:tcW w:w="2835" w:type="dxa"/>
            <w:vAlign w:val="center"/>
          </w:tcPr>
          <w:p>
            <w:pPr>
              <w:pStyle w:val="26"/>
            </w:pPr>
            <w:r>
              <w:t>青少年法制宣传活动参与率</w:t>
            </w:r>
          </w:p>
        </w:tc>
        <w:tc>
          <w:tcPr>
            <w:tcW w:w="2551" w:type="dxa"/>
            <w:vAlign w:val="center"/>
          </w:tcPr>
          <w:p>
            <w:pPr>
              <w:pStyle w:val="26"/>
            </w:pPr>
            <w:r>
              <w:t>≥0.9活动参与率</w:t>
            </w:r>
          </w:p>
        </w:tc>
        <w:tc>
          <w:tcPr>
            <w:tcW w:w="2268" w:type="dxa"/>
            <w:vAlign w:val="center"/>
          </w:tcPr>
          <w:p>
            <w:pPr>
              <w:pStyle w:val="26"/>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团员青年满意度</w:t>
            </w:r>
          </w:p>
        </w:tc>
        <w:tc>
          <w:tcPr>
            <w:tcW w:w="2835" w:type="dxa"/>
            <w:vAlign w:val="center"/>
          </w:tcPr>
          <w:p>
            <w:pPr>
              <w:pStyle w:val="26"/>
            </w:pPr>
            <w:r>
              <w:t>团员青年对团的组织建设、思想引领、法制宣传、维护青少年合法权益的满意度</w:t>
            </w:r>
          </w:p>
        </w:tc>
        <w:tc>
          <w:tcPr>
            <w:tcW w:w="2551" w:type="dxa"/>
            <w:vAlign w:val="center"/>
          </w:tcPr>
          <w:p>
            <w:pPr>
              <w:pStyle w:val="26"/>
            </w:pPr>
            <w:r>
              <w:t>≥0.9团员青年满意度</w:t>
            </w:r>
          </w:p>
        </w:tc>
        <w:tc>
          <w:tcPr>
            <w:tcW w:w="2268" w:type="dxa"/>
            <w:vAlign w:val="center"/>
          </w:tcPr>
          <w:p>
            <w:pPr>
              <w:pStyle w:val="26"/>
            </w:pPr>
            <w:r>
              <w:t>上级要求</w:t>
            </w:r>
          </w:p>
        </w:tc>
      </w:tr>
    </w:tbl>
    <w:p>
      <w:pPr>
        <w:pStyle w:val="24"/>
        <w:sectPr>
          <w:pgSz w:w="16840" w:h="11900" w:orient="landscape"/>
          <w:pgMar w:top="1361" w:right="1020" w:bottom="1361" w:left="1020" w:header="720" w:footer="720" w:gutter="0"/>
          <w:cols w:space="720" w:num="1"/>
        </w:sectPr>
      </w:pPr>
    </w:p>
    <w:p>
      <w:pPr>
        <w:spacing w:before="10" w:after="10" w:line="240" w:lineRule="auto"/>
        <w:ind w:firstLine="640"/>
        <w:jc w:val="left"/>
        <w:outlineLvl w:val="2"/>
      </w:pPr>
      <w:bookmarkStart w:id="14" w:name="_Toc4029"/>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2022年，中国共产主义青年团石家庄市藁城区委员会安排政府采购预算0.00万元。具体内容见下表。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712中国共产主义青年团石家庄市藁城区委员会</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0" w:type="dxa"/>
            <w:gridSpan w:val="8"/>
            <w:vAlign w:val="center"/>
          </w:tcPr>
          <w:p>
            <w:pPr>
              <w:pStyle w:val="10"/>
            </w:pPr>
            <w:r>
              <w:t>政府采购金额（当年部门预算安排资金）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3"/>
            </w:pPr>
          </w:p>
        </w:tc>
        <w:tc>
          <w:tcPr>
            <w:tcW w:w="1134" w:type="dxa"/>
            <w:vAlign w:val="center"/>
          </w:tcPr>
          <w:p>
            <w:pPr>
              <w:pStyle w:val="12"/>
            </w:pPr>
          </w:p>
        </w:tc>
        <w:tc>
          <w:tcPr>
            <w:tcW w:w="1134" w:type="dxa"/>
            <w:vAlign w:val="center"/>
          </w:tcPr>
          <w:p>
            <w:pPr>
              <w:pStyle w:val="12"/>
            </w:pPr>
          </w:p>
        </w:tc>
        <w:tc>
          <w:tcPr>
            <w:tcW w:w="709" w:type="dxa"/>
            <w:vAlign w:val="center"/>
          </w:tcPr>
          <w:p>
            <w:pPr>
              <w:pStyle w:val="11"/>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17542"/>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中国共产主义青年团石家庄市藁城区委员会（含所属单位）上年末固定资产金额为0.00万元（详见下表）。本年度拟购置固定资产总额为0.00万元，已按要求列入政府采购预算，详见政府采购预算表。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712中国共产主义青年团石家庄市藁城区委员会</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p>
        </w:tc>
        <w:tc>
          <w:tcPr>
            <w:tcW w:w="2835" w:type="dxa"/>
            <w:vAlign w:val="center"/>
          </w:tcPr>
          <w:p>
            <w:pPr>
              <w:pStyle w:val="11"/>
            </w:pPr>
          </w:p>
        </w:tc>
        <w:tc>
          <w:tcPr>
            <w:tcW w:w="2835"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2002"/>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区县级</w:t>
      </w:r>
      <w:r>
        <w:rPr>
          <w:rFonts w:ascii="Times New Roman" w:hAnsi="Times New Roman" w:eastAsia="方正仿宋_GBK" w:cs="Times New Roman"/>
          <w:b w:val="0"/>
          <w:color w:val="000000"/>
          <w:sz w:val="28"/>
        </w:rPr>
        <w:t>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区县级</w:t>
      </w:r>
      <w:r>
        <w:rPr>
          <w:rFonts w:ascii="Times New Roman" w:hAnsi="Times New Roman" w:eastAsia="方正仿宋_GBK" w:cs="Times New Roman"/>
          <w:b w:val="0"/>
          <w:color w:val="000000"/>
          <w:sz w:val="28"/>
        </w:rPr>
        <w:t>财政预算管理的“三公”经费，是指</w:t>
      </w:r>
      <w:r>
        <w:rPr>
          <w:rFonts w:hint="eastAsia" w:eastAsia="方正仿宋_GBK" w:cs="Times New Roman"/>
          <w:b w:val="0"/>
          <w:color w:val="000000"/>
          <w:sz w:val="28"/>
          <w:lang w:val="en-US" w:eastAsia="zh-CN"/>
        </w:rPr>
        <w:t>区县级</w:t>
      </w:r>
      <w:r>
        <w:rPr>
          <w:rFonts w:ascii="Times New Roman" w:hAnsi="Times New Roman" w:eastAsia="方正仿宋_GBK" w:cs="Times New Roman"/>
          <w:b w:val="0"/>
          <w:color w:val="000000"/>
          <w:sz w:val="28"/>
        </w:rPr>
        <w:t>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31974"/>
      <w:r>
        <w:rPr>
          <w:rFonts w:ascii="黑体" w:hAnsi="黑体" w:eastAsia="黑体" w:cs="黑体"/>
          <w:color w:val="000000"/>
          <w:sz w:val="32"/>
        </w:rPr>
        <w:t>九、其他需要说明的事项</w:t>
      </w:r>
      <w:bookmarkEnd w:id="17"/>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Segoe UI"/>
    <w:panose1 w:val="020F0502020204030204"/>
    <w:charset w:val="00"/>
    <w:family w:val="swiss"/>
    <w:pitch w:val="default"/>
    <w:sig w:usb0="00000000" w:usb1="00000000" w:usb2="00000001" w:usb3="00000000" w:csb0="0000019F" w:csb1="00000000"/>
  </w:font>
  <w:font w:name="Segoe UI">
    <w:panose1 w:val="020B0502040204020203"/>
    <w:charset w:val="00"/>
    <w:family w:val="auto"/>
    <w:pitch w:val="default"/>
    <w:sig w:usb0="E4002EFF" w:usb1="C000E47F"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mQxNGNjZjg5MmUyMTQ1ZmViOTU4Njg2MDU5YjljODgifQ=="/>
  </w:docVars>
  <w:rsids>
    <w:rsidRoot w:val="00000000"/>
    <w:rsid w:val="0A3B4B76"/>
    <w:rsid w:val="249B093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qFormat/>
    <w:uiPriority w:val="0"/>
  </w:style>
  <w:style w:type="table" w:default="1" w:styleId="5">
    <w:name w:val="Normal Table"/>
    <w:semiHidden/>
    <w:uiPriority w:val="0"/>
    <w:tblPr>
      <w:tblCellMar>
        <w:top w:w="0" w:type="dxa"/>
        <w:left w:w="108" w:type="dxa"/>
        <w:bottom w:w="0" w:type="dxa"/>
        <w:right w:w="108" w:type="dxa"/>
      </w:tblCellMar>
    </w:tblPr>
  </w:style>
  <w:style w:type="paragraph" w:styleId="2">
    <w:name w:val="toc 3"/>
    <w:basedOn w:val="1"/>
    <w:next w:val="1"/>
    <w:uiPriority w:val="0"/>
    <w:pPr>
      <w:ind w:left="840" w:leftChars="40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uiPriority w:val="0"/>
    <w:pPr>
      <w:ind w:left="420" w:leftChars="200"/>
    </w:pPr>
  </w:style>
  <w:style w:type="paragraph" w:customStyle="1" w:styleId="7">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Normal_dee5c5a9-a3c9-400f-a2a1-31ec59697261"/>
    <w:qFormat/>
    <w:uiPriority w:val="0"/>
    <w:rPr>
      <w:rFonts w:ascii="Times New Roman" w:hAnsi="Times New Roman" w:eastAsia="Times New Roman" w:cstheme="minorBidi"/>
      <w:sz w:val="24"/>
      <w:szCs w:val="24"/>
      <w:lang w:val="en-US" w:eastAsia="uk-UA" w:bidi="ar-SA"/>
    </w:rPr>
  </w:style>
  <w:style w:type="paragraph" w:customStyle="1" w:styleId="25">
    <w:name w:val="单元格样式1_5757af3c-a5c1-4d8b-b9d8-66a36fdc68bc"/>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6">
    <w:name w:val="单元格样式2_3fac0e58-8595-410c-9708-e62a3e4d3f5c"/>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27">
    <w:name w:val="单元格样式3_43474133-6e8a-4be2-bf95-df4d4c4aa505"/>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2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5</TotalTime>
  <ScaleCrop>false</ScaleCrop>
  <LinksUpToDate>false</LinksUpToDate>
  <CharactersWithSpaces>0</CharactersWithSpaces>
  <Application>WPS Office_12.1.0.15358_F1E327BC-269C-435d-A152-05C5408002CA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2023-09-05T06:26:42Z</dcterms:created>
  <dc:creator>Administrator</dc:creator>
  <cp:lastModifiedBy>Administrator</cp:lastModifiedBy>
  <dcterms:modified xsi:type="dcterms:W3CDTF">2023-09-05T06:44:23Z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2052-12.1.0.15358</vt:lpwstr>
  </property>
  <property fmtid="{D5CDD505-2E9C-101B-9397-08002B2CF9AE}" pid="3" name="ICV">
    <vt:lpwstr>8687AF77DF1D4951978F6928F2AC3E26_12</vt:lpwstr>
  </property>
</Properties>
</file>