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b/>
          <w:color w:val="000000"/>
          <w:sz w:val="44"/>
          <w:lang w:val="en-US" w:eastAsia="zh-CN"/>
        </w:rPr>
      </w:pPr>
      <w:r>
        <w:rPr>
          <w:rFonts w:hint="eastAsia" w:ascii="黑体" w:hAnsi="黑体" w:eastAsia="黑体" w:cs="黑体"/>
          <w:b/>
          <w:color w:val="000000"/>
          <w:sz w:val="44"/>
          <w:lang w:val="en-US" w:eastAsia="zh-CN"/>
        </w:rPr>
        <w:t>中国共产主义青年团石家庄市藁城区委员会</w:t>
      </w:r>
    </w:p>
    <w:p>
      <w:pPr>
        <w:jc w:val="center"/>
      </w:pPr>
      <w:r>
        <w:rPr>
          <w:rFonts w:hint="eastAsia" w:ascii="黑体" w:hAnsi="黑体" w:eastAsia="黑体" w:cs="黑体"/>
          <w:b/>
          <w:color w:val="000000"/>
          <w:sz w:val="44"/>
          <w:lang w:val="en-US" w:eastAsia="zh-CN"/>
        </w:rPr>
        <w:t>所属单位2022年度</w:t>
      </w:r>
      <w:r>
        <w:rPr>
          <w:rFonts w:ascii="黑体" w:hAnsi="黑体" w:eastAsia="黑体" w:cs="黑体"/>
          <w:b/>
          <w:color w:val="000000"/>
          <w:sz w:val="44"/>
        </w:rPr>
        <w:t>预算公开</w:t>
      </w:r>
    </w:p>
    <w:p>
      <w:pPr>
        <w:spacing w:before="0" w:after="0" w:line="240" w:lineRule="auto"/>
        <w:ind w:firstLine="0"/>
        <w:jc w:val="center"/>
        <w:outlineLvl w:val="9"/>
        <w:rPr>
          <w:rFonts w:ascii="黑体" w:hAnsi="黑体" w:eastAsia="黑体" w:cs="黑体"/>
          <w:b/>
          <w:color w:val="000000"/>
          <w:sz w:val="30"/>
        </w:rPr>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一、中国共产主义青年团石家庄市藁城区委员会本级收支预算</w:t>
      </w:r>
      <w:r>
        <w:tab/>
      </w:r>
      <w:r>
        <w:fldChar w:fldCharType="begin"/>
      </w:r>
      <w:r>
        <w:instrText xml:space="preserve">PAGEREF _Toc_4_4_0000000019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一、中国共产主义青年团石家庄市藁城区委员会本级收支预算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133.35</w:t>
            </w:r>
          </w:p>
        </w:tc>
        <w:tc>
          <w:tcPr>
            <w:tcW w:w="4535" w:type="dxa"/>
            <w:vAlign w:val="center"/>
          </w:tcPr>
          <w:p>
            <w:pPr>
              <w:pStyle w:val="14"/>
            </w:pPr>
            <w:r>
              <w:t>一、一般公共服务支出</w:t>
            </w:r>
          </w:p>
        </w:tc>
        <w:tc>
          <w:tcPr>
            <w:tcW w:w="2126" w:type="dxa"/>
            <w:vAlign w:val="center"/>
          </w:tcPr>
          <w:p>
            <w:pPr>
              <w:pStyle w:val="13"/>
            </w:pPr>
            <w:r>
              <w:t>133.35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133.35</w:t>
            </w:r>
          </w:p>
        </w:tc>
        <w:tc>
          <w:tcPr>
            <w:tcW w:w="4535" w:type="dxa"/>
            <w:vAlign w:val="center"/>
          </w:tcPr>
          <w:p>
            <w:pPr>
              <w:pStyle w:val="16"/>
            </w:pPr>
            <w:r>
              <w:t>本年支出合计</w:t>
            </w:r>
          </w:p>
        </w:tc>
        <w:tc>
          <w:tcPr>
            <w:tcW w:w="2126" w:type="dxa"/>
            <w:vAlign w:val="center"/>
          </w:tcPr>
          <w:p>
            <w:pPr>
              <w:pStyle w:val="17"/>
            </w:pPr>
            <w:r>
              <w:t>133.35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133.35</w:t>
            </w:r>
          </w:p>
        </w:tc>
        <w:tc>
          <w:tcPr>
            <w:tcW w:w="4535" w:type="dxa"/>
            <w:vAlign w:val="center"/>
          </w:tcPr>
          <w:p>
            <w:pPr>
              <w:pStyle w:val="16"/>
            </w:pPr>
            <w:r>
              <w:t>支出总计</w:t>
            </w:r>
          </w:p>
        </w:tc>
        <w:tc>
          <w:tcPr>
            <w:tcW w:w="2126" w:type="dxa"/>
            <w:vAlign w:val="center"/>
          </w:tcPr>
          <w:p>
            <w:pPr>
              <w:pStyle w:val="17"/>
            </w:pPr>
            <w:r>
              <w:t>133.35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133.35</w:t>
            </w:r>
          </w:p>
        </w:tc>
        <w:tc>
          <w:tcPr>
            <w:tcW w:w="1134" w:type="dxa"/>
            <w:vAlign w:val="center"/>
          </w:tcPr>
          <w:p>
            <w:pPr>
              <w:pStyle w:val="17"/>
            </w:pPr>
            <w:r>
              <w:t>133.35</w:t>
            </w:r>
          </w:p>
        </w:tc>
        <w:tc>
          <w:tcPr>
            <w:tcW w:w="1134" w:type="dxa"/>
            <w:vAlign w:val="center"/>
          </w:tcPr>
          <w:p>
            <w:pPr>
              <w:pStyle w:val="17"/>
            </w:pPr>
            <w:r>
              <w:t>133.35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133.35</w:t>
            </w:r>
          </w:p>
        </w:tc>
        <w:tc>
          <w:tcPr>
            <w:tcW w:w="1134" w:type="dxa"/>
            <w:vAlign w:val="center"/>
          </w:tcPr>
          <w:p>
            <w:pPr>
              <w:pStyle w:val="13"/>
            </w:pPr>
            <w:r>
              <w:t>133.35</w:t>
            </w:r>
          </w:p>
        </w:tc>
        <w:tc>
          <w:tcPr>
            <w:tcW w:w="1134" w:type="dxa"/>
            <w:vAlign w:val="center"/>
          </w:tcPr>
          <w:p>
            <w:pPr>
              <w:pStyle w:val="13"/>
            </w:pPr>
            <w:r>
              <w:t>133.35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123.35</w:t>
            </w:r>
          </w:p>
        </w:tc>
        <w:tc>
          <w:tcPr>
            <w:tcW w:w="1134" w:type="dxa"/>
            <w:vAlign w:val="center"/>
          </w:tcPr>
          <w:p>
            <w:pPr>
              <w:pStyle w:val="13"/>
            </w:pPr>
            <w:r>
              <w:t>123.35</w:t>
            </w:r>
          </w:p>
        </w:tc>
        <w:tc>
          <w:tcPr>
            <w:tcW w:w="1134" w:type="dxa"/>
            <w:vAlign w:val="center"/>
          </w:tcPr>
          <w:p>
            <w:pPr>
              <w:pStyle w:val="13"/>
            </w:pPr>
            <w:r>
              <w:t>123.35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123.35</w:t>
            </w:r>
          </w:p>
        </w:tc>
        <w:tc>
          <w:tcPr>
            <w:tcW w:w="1134" w:type="dxa"/>
            <w:vAlign w:val="center"/>
          </w:tcPr>
          <w:p>
            <w:pPr>
              <w:pStyle w:val="13"/>
            </w:pPr>
            <w:r>
              <w:t>123.35</w:t>
            </w:r>
          </w:p>
        </w:tc>
        <w:tc>
          <w:tcPr>
            <w:tcW w:w="1134" w:type="dxa"/>
            <w:vAlign w:val="center"/>
          </w:tcPr>
          <w:p>
            <w:pPr>
              <w:pStyle w:val="13"/>
            </w:pPr>
            <w:r>
              <w:t>123.35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2013602</w:t>
            </w:r>
          </w:p>
        </w:tc>
        <w:tc>
          <w:tcPr>
            <w:tcW w:w="1559" w:type="dxa"/>
            <w:vAlign w:val="center"/>
          </w:tcPr>
          <w:p>
            <w:pPr>
              <w:pStyle w:val="14"/>
            </w:pPr>
            <w:r>
              <w:t>一般行政管理事务</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133.35</w:t>
            </w:r>
          </w:p>
        </w:tc>
        <w:tc>
          <w:tcPr>
            <w:tcW w:w="1361" w:type="dxa"/>
            <w:vAlign w:val="center"/>
          </w:tcPr>
          <w:p>
            <w:pPr>
              <w:pStyle w:val="17"/>
            </w:pPr>
            <w:r>
              <w:t>123.35</w:t>
            </w:r>
          </w:p>
        </w:tc>
        <w:tc>
          <w:tcPr>
            <w:tcW w:w="1361" w:type="dxa"/>
            <w:vAlign w:val="center"/>
          </w:tcPr>
          <w:p>
            <w:pPr>
              <w:pStyle w:val="17"/>
            </w:pPr>
            <w:r>
              <w:t>10.00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133.35</w:t>
            </w:r>
          </w:p>
        </w:tc>
        <w:tc>
          <w:tcPr>
            <w:tcW w:w="1361" w:type="dxa"/>
            <w:vAlign w:val="center"/>
          </w:tcPr>
          <w:p>
            <w:pPr>
              <w:pStyle w:val="13"/>
            </w:pPr>
            <w:r>
              <w:t>123.35</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123.35</w:t>
            </w:r>
          </w:p>
        </w:tc>
        <w:tc>
          <w:tcPr>
            <w:tcW w:w="1361" w:type="dxa"/>
            <w:vAlign w:val="center"/>
          </w:tcPr>
          <w:p>
            <w:pPr>
              <w:pStyle w:val="13"/>
            </w:pPr>
            <w:r>
              <w:t>123.35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123.35</w:t>
            </w:r>
          </w:p>
        </w:tc>
        <w:tc>
          <w:tcPr>
            <w:tcW w:w="1361" w:type="dxa"/>
            <w:vAlign w:val="center"/>
          </w:tcPr>
          <w:p>
            <w:pPr>
              <w:pStyle w:val="13"/>
            </w:pPr>
            <w:r>
              <w:t>123.35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2013602</w:t>
            </w:r>
          </w:p>
        </w:tc>
        <w:tc>
          <w:tcPr>
            <w:tcW w:w="4535" w:type="dxa"/>
            <w:vAlign w:val="center"/>
          </w:tcPr>
          <w:p>
            <w:pPr>
              <w:pStyle w:val="14"/>
            </w:pPr>
            <w:r>
              <w:t>一般行政管理事务</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133.35</w:t>
            </w:r>
          </w:p>
        </w:tc>
        <w:tc>
          <w:tcPr>
            <w:tcW w:w="3402" w:type="dxa"/>
            <w:vAlign w:val="center"/>
          </w:tcPr>
          <w:p>
            <w:pPr>
              <w:pStyle w:val="14"/>
            </w:pPr>
            <w:r>
              <w:t>一、一般公共服务支出</w:t>
            </w:r>
          </w:p>
        </w:tc>
        <w:tc>
          <w:tcPr>
            <w:tcW w:w="1474" w:type="dxa"/>
            <w:vAlign w:val="center"/>
          </w:tcPr>
          <w:p>
            <w:pPr>
              <w:pStyle w:val="13"/>
            </w:pPr>
            <w:r>
              <w:t>133.35</w:t>
            </w:r>
          </w:p>
        </w:tc>
        <w:tc>
          <w:tcPr>
            <w:tcW w:w="1474" w:type="dxa"/>
            <w:vAlign w:val="center"/>
          </w:tcPr>
          <w:p>
            <w:pPr>
              <w:pStyle w:val="13"/>
            </w:pPr>
            <w:r>
              <w:t>133.35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133.35</w:t>
            </w:r>
          </w:p>
        </w:tc>
        <w:tc>
          <w:tcPr>
            <w:tcW w:w="3402" w:type="dxa"/>
            <w:vAlign w:val="center"/>
          </w:tcPr>
          <w:p>
            <w:pPr>
              <w:pStyle w:val="16"/>
            </w:pPr>
            <w:r>
              <w:t>本年支出合计</w:t>
            </w:r>
          </w:p>
        </w:tc>
        <w:tc>
          <w:tcPr>
            <w:tcW w:w="1474" w:type="dxa"/>
            <w:vAlign w:val="center"/>
          </w:tcPr>
          <w:p>
            <w:pPr>
              <w:pStyle w:val="17"/>
            </w:pPr>
            <w:r>
              <w:t>133.35</w:t>
            </w:r>
          </w:p>
        </w:tc>
        <w:tc>
          <w:tcPr>
            <w:tcW w:w="1474" w:type="dxa"/>
            <w:vAlign w:val="center"/>
          </w:tcPr>
          <w:p>
            <w:pPr>
              <w:pStyle w:val="17"/>
            </w:pPr>
            <w:r>
              <w:t>133.35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133.35</w:t>
            </w:r>
          </w:p>
        </w:tc>
        <w:tc>
          <w:tcPr>
            <w:tcW w:w="3402" w:type="dxa"/>
            <w:vAlign w:val="center"/>
          </w:tcPr>
          <w:p>
            <w:pPr>
              <w:pStyle w:val="16"/>
            </w:pPr>
            <w:r>
              <w:t>支出总计</w:t>
            </w:r>
          </w:p>
        </w:tc>
        <w:tc>
          <w:tcPr>
            <w:tcW w:w="1474" w:type="dxa"/>
            <w:vAlign w:val="center"/>
          </w:tcPr>
          <w:p>
            <w:pPr>
              <w:pStyle w:val="17"/>
            </w:pPr>
            <w:r>
              <w:t>133.35</w:t>
            </w:r>
          </w:p>
        </w:tc>
        <w:tc>
          <w:tcPr>
            <w:tcW w:w="1474" w:type="dxa"/>
            <w:vAlign w:val="center"/>
          </w:tcPr>
          <w:p>
            <w:pPr>
              <w:pStyle w:val="17"/>
            </w:pPr>
            <w:r>
              <w:t>133.35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133.35</w:t>
            </w:r>
          </w:p>
        </w:tc>
        <w:tc>
          <w:tcPr>
            <w:tcW w:w="2551" w:type="dxa"/>
            <w:vAlign w:val="center"/>
          </w:tcPr>
          <w:p>
            <w:pPr>
              <w:pStyle w:val="17"/>
            </w:pPr>
            <w:r>
              <w:t>123.35</w:t>
            </w: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133.35</w:t>
            </w:r>
          </w:p>
        </w:tc>
        <w:tc>
          <w:tcPr>
            <w:tcW w:w="2551" w:type="dxa"/>
            <w:vAlign w:val="center"/>
          </w:tcPr>
          <w:p>
            <w:pPr>
              <w:pStyle w:val="13"/>
            </w:pPr>
            <w:r>
              <w:t>123.35</w:t>
            </w: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123.35</w:t>
            </w:r>
          </w:p>
        </w:tc>
        <w:tc>
          <w:tcPr>
            <w:tcW w:w="2551" w:type="dxa"/>
            <w:vAlign w:val="center"/>
          </w:tcPr>
          <w:p>
            <w:pPr>
              <w:pStyle w:val="13"/>
            </w:pPr>
            <w:r>
              <w:t>123.35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123.35</w:t>
            </w:r>
          </w:p>
        </w:tc>
        <w:tc>
          <w:tcPr>
            <w:tcW w:w="2551" w:type="dxa"/>
            <w:vAlign w:val="center"/>
          </w:tcPr>
          <w:p>
            <w:pPr>
              <w:pStyle w:val="13"/>
            </w:pPr>
            <w:r>
              <w:t>123.35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2013602</w:t>
            </w:r>
          </w:p>
        </w:tc>
        <w:tc>
          <w:tcPr>
            <w:tcW w:w="4535" w:type="dxa"/>
            <w:vAlign w:val="center"/>
          </w:tcPr>
          <w:p>
            <w:pPr>
              <w:pStyle w:val="14"/>
            </w:pPr>
            <w:r>
              <w:t>一般行政管理事务</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123.35</w:t>
            </w:r>
          </w:p>
        </w:tc>
        <w:tc>
          <w:tcPr>
            <w:tcW w:w="2551" w:type="dxa"/>
            <w:vAlign w:val="center"/>
          </w:tcPr>
          <w:p>
            <w:pPr>
              <w:pStyle w:val="17"/>
            </w:pPr>
            <w:r>
              <w:t>111.14</w:t>
            </w:r>
          </w:p>
        </w:tc>
        <w:tc>
          <w:tcPr>
            <w:tcW w:w="2551" w:type="dxa"/>
            <w:vAlign w:val="center"/>
          </w:tcPr>
          <w:p>
            <w:pPr>
              <w:pStyle w:val="17"/>
            </w:pPr>
            <w:r>
              <w:t>12.21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111.14</w:t>
            </w:r>
          </w:p>
        </w:tc>
        <w:tc>
          <w:tcPr>
            <w:tcW w:w="2551" w:type="dxa"/>
            <w:vAlign w:val="center"/>
          </w:tcPr>
          <w:p>
            <w:pPr>
              <w:pStyle w:val="13"/>
            </w:pPr>
            <w:r>
              <w:t>111.14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23.63</w:t>
            </w:r>
          </w:p>
        </w:tc>
        <w:tc>
          <w:tcPr>
            <w:tcW w:w="2551" w:type="dxa"/>
            <w:vAlign w:val="center"/>
          </w:tcPr>
          <w:p>
            <w:pPr>
              <w:pStyle w:val="13"/>
            </w:pPr>
            <w:r>
              <w:t>23.63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53.50</w:t>
            </w:r>
          </w:p>
        </w:tc>
        <w:tc>
          <w:tcPr>
            <w:tcW w:w="2551" w:type="dxa"/>
            <w:vAlign w:val="center"/>
          </w:tcPr>
          <w:p>
            <w:pPr>
              <w:pStyle w:val="13"/>
            </w:pPr>
            <w:r>
              <w:t>53.50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1.97</w:t>
            </w:r>
          </w:p>
        </w:tc>
        <w:tc>
          <w:tcPr>
            <w:tcW w:w="2551" w:type="dxa"/>
            <w:vAlign w:val="center"/>
          </w:tcPr>
          <w:p>
            <w:pPr>
              <w:pStyle w:val="13"/>
            </w:pPr>
            <w:r>
              <w:t>1.97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9.07</w:t>
            </w:r>
          </w:p>
        </w:tc>
        <w:tc>
          <w:tcPr>
            <w:tcW w:w="2551" w:type="dxa"/>
            <w:vAlign w:val="center"/>
          </w:tcPr>
          <w:p>
            <w:pPr>
              <w:pStyle w:val="13"/>
            </w:pPr>
            <w:r>
              <w:t>9.07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5.93</w:t>
            </w:r>
          </w:p>
        </w:tc>
        <w:tc>
          <w:tcPr>
            <w:tcW w:w="2551" w:type="dxa"/>
            <w:vAlign w:val="center"/>
          </w:tcPr>
          <w:p>
            <w:pPr>
              <w:pStyle w:val="13"/>
            </w:pPr>
            <w:r>
              <w:t>5.93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2.52</w:t>
            </w:r>
          </w:p>
        </w:tc>
        <w:tc>
          <w:tcPr>
            <w:tcW w:w="2551" w:type="dxa"/>
            <w:vAlign w:val="center"/>
          </w:tcPr>
          <w:p>
            <w:pPr>
              <w:pStyle w:val="13"/>
            </w:pPr>
            <w:r>
              <w:t>2.52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6.68</w:t>
            </w:r>
          </w:p>
        </w:tc>
        <w:tc>
          <w:tcPr>
            <w:tcW w:w="2551" w:type="dxa"/>
            <w:vAlign w:val="center"/>
          </w:tcPr>
          <w:p>
            <w:pPr>
              <w:pStyle w:val="13"/>
            </w:pPr>
            <w:r>
              <w:t>6.68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7.84</w:t>
            </w:r>
          </w:p>
        </w:tc>
        <w:tc>
          <w:tcPr>
            <w:tcW w:w="2551" w:type="dxa"/>
            <w:vAlign w:val="center"/>
          </w:tcPr>
          <w:p>
            <w:pPr>
              <w:pStyle w:val="13"/>
            </w:pPr>
            <w:r>
              <w:t>7.84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12.21</w:t>
            </w:r>
          </w:p>
        </w:tc>
        <w:tc>
          <w:tcPr>
            <w:tcW w:w="2551" w:type="dxa"/>
            <w:vAlign w:val="center"/>
          </w:tcPr>
          <w:p>
            <w:pPr>
              <w:pStyle w:val="13"/>
            </w:pPr>
          </w:p>
        </w:tc>
        <w:tc>
          <w:tcPr>
            <w:tcW w:w="2551" w:type="dxa"/>
            <w:vAlign w:val="center"/>
          </w:tcPr>
          <w:p>
            <w:pPr>
              <w:pStyle w:val="13"/>
            </w:pPr>
            <w:r>
              <w:t>12.21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2.40</w:t>
            </w:r>
          </w:p>
        </w:tc>
        <w:tc>
          <w:tcPr>
            <w:tcW w:w="2551" w:type="dxa"/>
            <w:vAlign w:val="center"/>
          </w:tcPr>
          <w:p>
            <w:pPr>
              <w:pStyle w:val="13"/>
            </w:pP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4.08</w:t>
            </w:r>
          </w:p>
        </w:tc>
        <w:tc>
          <w:tcPr>
            <w:tcW w:w="2551" w:type="dxa"/>
            <w:vAlign w:val="center"/>
          </w:tcPr>
          <w:p>
            <w:pPr>
              <w:pStyle w:val="13"/>
            </w:pPr>
          </w:p>
        </w:tc>
        <w:tc>
          <w:tcPr>
            <w:tcW w:w="2551" w:type="dxa"/>
            <w:vAlign w:val="center"/>
          </w:tcPr>
          <w:p>
            <w:pPr>
              <w:pStyle w:val="13"/>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0.57</w:t>
            </w:r>
          </w:p>
        </w:tc>
        <w:tc>
          <w:tcPr>
            <w:tcW w:w="2551" w:type="dxa"/>
            <w:vAlign w:val="center"/>
          </w:tcPr>
          <w:p>
            <w:pPr>
              <w:pStyle w:val="13"/>
            </w:pPr>
          </w:p>
        </w:tc>
        <w:tc>
          <w:tcPr>
            <w:tcW w:w="2551"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0.59</w:t>
            </w:r>
          </w:p>
        </w:tc>
        <w:tc>
          <w:tcPr>
            <w:tcW w:w="2551" w:type="dxa"/>
            <w:vAlign w:val="center"/>
          </w:tcPr>
          <w:p>
            <w:pPr>
              <w:pStyle w:val="13"/>
            </w:pPr>
          </w:p>
        </w:tc>
        <w:tc>
          <w:tcPr>
            <w:tcW w:w="2551" w:type="dxa"/>
            <w:vAlign w:val="center"/>
          </w:tcPr>
          <w:p>
            <w:pPr>
              <w:pStyle w:val="13"/>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0.07</w:t>
            </w:r>
          </w:p>
        </w:tc>
        <w:tc>
          <w:tcPr>
            <w:tcW w:w="2551" w:type="dxa"/>
            <w:vAlign w:val="center"/>
          </w:tcPr>
          <w:p>
            <w:pPr>
              <w:pStyle w:val="13"/>
            </w:pPr>
          </w:p>
        </w:tc>
        <w:tc>
          <w:tcPr>
            <w:tcW w:w="2551" w:type="dxa"/>
            <w:vAlign w:val="center"/>
          </w:tcPr>
          <w:p>
            <w:pPr>
              <w:pStyle w:val="13"/>
            </w:pPr>
            <w:r>
              <w:t>0.07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中国共产主义青年团石家庄市藁城区委员会本级2022年单位预算信息公开情况说明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按照《预算法》、《地方预决算公开操作规程》和《关于进一步推进预算公开工作的实施意见》规定，现将中国共产主义青年团石家庄市藁城区委员会本级2022年单位预算公开如下：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根据《中国共产主义青年团藁城区委员会职能配置、内设机构和人员编制规定》， 中国共产主义青年团藁城区委员会的主要职责是：</w:t>
      </w:r>
    </w:p>
    <w:p>
      <w:pPr>
        <w:pStyle w:val="19"/>
      </w:pPr>
      <w:r>
        <w:t>（一）行使共青团藁城区委赋予的领导全区共青团工作、指导全区少先队工作的职权，对全区青年社团组织进行指导和管理。</w:t>
      </w:r>
    </w:p>
    <w:p>
      <w:pPr>
        <w:pStyle w:val="19"/>
      </w:pPr>
      <w:r>
        <w:t>（二）加强团的基层组织建设，扩大团组织的覆盖面，加强青年中心、非公经济团组织、自组织等外围组织建设。</w:t>
      </w:r>
    </w:p>
    <w:p>
      <w:pPr>
        <w:pStyle w:val="19"/>
      </w:pPr>
      <w:r>
        <w:t>（三）参与本区的有关青少年事务的法律、地方性法规的制定和实施，协助区委和区政府处理、协调与青少年利益相关的事务。</w:t>
      </w:r>
    </w:p>
    <w:p>
      <w:pPr>
        <w:pStyle w:val="19"/>
      </w:pPr>
      <w:r>
        <w:t>（四）调查青年思想动态和青年工作状况，研究青少年运动、青少年工作理论和思想教育问题，提出相应对策，开展各种活动；对全区团员青年进行团员意识教育，教育和带领团员青年坚定理想信念，继承和发扬党的优良传统，积极践行社会主义核心价值观，从小树立远大理想，为实现“中国梦”而奋斗。</w:t>
      </w:r>
    </w:p>
    <w:p>
      <w:pPr>
        <w:pStyle w:val="19"/>
      </w:pPr>
      <w:r>
        <w:t>（五）协助区政府教育部门做好大、中、小学生的教育管理工作，维护学校稳定和社会安定团结。</w:t>
      </w:r>
    </w:p>
    <w:p>
      <w:pPr>
        <w:pStyle w:val="19"/>
      </w:pPr>
      <w:r>
        <w:t>（六）在全区经济建设中，组织和带领青年发挥生力军和突击队作用。</w:t>
      </w:r>
    </w:p>
    <w:p>
      <w:pPr>
        <w:pStyle w:val="19"/>
      </w:pPr>
      <w:r>
        <w:t>（七）通过全面推进改革举措落地，力争让机构设置更合理、让团干队伍更优化、让基层力量更充实、让基层组织覆盖更广、让团与青年走得更近、让青年工作保障更强。</w:t>
      </w:r>
    </w:p>
    <w:p>
      <w:pPr>
        <w:pStyle w:val="19"/>
      </w:pPr>
      <w:r>
        <w:t>（八）承担区委、区政府和团市委交办的有关事项。</w:t>
      </w:r>
    </w:p>
    <w:p>
      <w:pPr>
        <w:pStyle w:val="19"/>
      </w:pPr>
      <w:r>
        <w:t>（九）会同有关部门做好未成年人保护工作。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中国共产主义青年团石家庄市藁城区委员会本级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133.35</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133.35</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133.35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123.35</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111.14</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12.21</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万元，主要</w:t>
      </w:r>
      <w:r>
        <w:rPr>
          <w:rFonts w:hint="eastAsia" w:eastAsia="仿宋" w:cs="Times New Roman"/>
          <w:sz w:val="32"/>
          <w:szCs w:val="32"/>
          <w:lang w:val="en-US" w:eastAsia="zh-CN"/>
        </w:rPr>
        <w:t>党建带团建工作经费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firstLineChars="200"/>
        <w:rPr>
          <w:rFonts w:hint="eastAsia" w:ascii="仿宋" w:hAnsi="仿宋" w:eastAsia="仿宋"/>
          <w:sz w:val="32"/>
          <w:szCs w:val="32"/>
          <w:lang w:eastAsia="zh-CN"/>
        </w:rPr>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133.35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29.76</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增加26.06</w:t>
      </w:r>
      <w:r>
        <w:rPr>
          <w:rFonts w:hint="eastAsia" w:ascii="Times New Roman" w:hAnsi="Times New Roman" w:eastAsia="仿宋" w:cs="Times New Roman"/>
          <w:sz w:val="32"/>
          <w:szCs w:val="32"/>
        </w:rPr>
        <w:t>万元，主要是人员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3.7</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党建带团建工作经费</w:t>
      </w:r>
      <w:r>
        <w:rPr>
          <w:rFonts w:hint="eastAsia" w:ascii="Times New Roman" w:hAnsi="Times New Roman" w:eastAsia="仿宋" w:cs="Times New Roman"/>
          <w:sz w:val="32"/>
          <w:szCs w:val="32"/>
        </w:rPr>
        <w:t>；其他支出无增减变化</w:t>
      </w:r>
      <w:r>
        <w:rPr>
          <w:rFonts w:hint="eastAsia" w:eastAsia="仿宋" w:cs="Times New Roman"/>
          <w:sz w:val="32"/>
          <w:szCs w:val="32"/>
          <w:lang w:eastAsia="zh-CN"/>
        </w:rPr>
        <w:t>。</w:t>
      </w:r>
    </w:p>
    <w:p>
      <w:pPr>
        <w:pStyle w:val="32"/>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12.21</w:t>
      </w:r>
      <w:r>
        <w:rPr>
          <w:rFonts w:hint="eastAsia" w:ascii="Times New Roman" w:hAnsi="Times New Roman" w:eastAsia="仿宋" w:cs="Times New Roman"/>
          <w:sz w:val="32"/>
          <w:szCs w:val="32"/>
        </w:rPr>
        <w:t>万元，主要用于保证机关正常运转的办公及印刷费、邮电费、差旅费、福利费、日常维修费等支出。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4"/>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1、党建带团建工作经费绩效目标表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1.加强团的基层组织建设，按要求完成上级团组织的工作任务。</w:t>
            </w:r>
          </w:p>
          <w:p>
            <w:pPr>
              <w:pStyle w:val="28"/>
            </w:pPr>
            <w:r>
              <w:t>2.加强青少年思想引领，加强法制宣传力度，维护青少年合法权益。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规范化团建设数</w:t>
            </w:r>
          </w:p>
        </w:tc>
        <w:tc>
          <w:tcPr>
            <w:tcW w:w="2835" w:type="dxa"/>
            <w:vAlign w:val="center"/>
          </w:tcPr>
          <w:p>
            <w:pPr>
              <w:pStyle w:val="28"/>
            </w:pPr>
            <w:r>
              <w:t>规范化组织建设或平台阵地建设数量</w:t>
            </w:r>
          </w:p>
        </w:tc>
        <w:tc>
          <w:tcPr>
            <w:tcW w:w="2551" w:type="dxa"/>
            <w:vAlign w:val="center"/>
          </w:tcPr>
          <w:p>
            <w:pPr>
              <w:pStyle w:val="28"/>
            </w:pPr>
            <w:r>
              <w:t>≥5规范化建设数</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参加活动人数</w:t>
            </w:r>
          </w:p>
        </w:tc>
        <w:tc>
          <w:tcPr>
            <w:tcW w:w="2835" w:type="dxa"/>
            <w:vAlign w:val="center"/>
          </w:tcPr>
          <w:p>
            <w:pPr>
              <w:pStyle w:val="28"/>
            </w:pPr>
            <w:r>
              <w:t>参加各项青少年思想引领活动人数</w:t>
            </w:r>
          </w:p>
        </w:tc>
        <w:tc>
          <w:tcPr>
            <w:tcW w:w="2551" w:type="dxa"/>
            <w:vAlign w:val="center"/>
          </w:tcPr>
          <w:p>
            <w:pPr>
              <w:pStyle w:val="28"/>
            </w:pPr>
            <w:r>
              <w:t>≥10000年度活动参与人数</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参与培训人数</w:t>
            </w:r>
          </w:p>
        </w:tc>
        <w:tc>
          <w:tcPr>
            <w:tcW w:w="2835" w:type="dxa"/>
            <w:vAlign w:val="center"/>
          </w:tcPr>
          <w:p>
            <w:pPr>
              <w:pStyle w:val="28"/>
            </w:pPr>
            <w:r>
              <w:t>参加法制宣传教育培训人数</w:t>
            </w:r>
          </w:p>
        </w:tc>
        <w:tc>
          <w:tcPr>
            <w:tcW w:w="2551" w:type="dxa"/>
            <w:vAlign w:val="center"/>
          </w:tcPr>
          <w:p>
            <w:pPr>
              <w:pStyle w:val="28"/>
            </w:pPr>
            <w:r>
              <w:t>≥5000年度活动参与人数</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规范化团组织建设达标率</w:t>
            </w:r>
          </w:p>
        </w:tc>
        <w:tc>
          <w:tcPr>
            <w:tcW w:w="2835" w:type="dxa"/>
            <w:vAlign w:val="center"/>
          </w:tcPr>
          <w:p>
            <w:pPr>
              <w:pStyle w:val="28"/>
            </w:pPr>
            <w:r>
              <w:t>反映组织建设或平台建设阵地、人员、制度达标数占总数的比例</w:t>
            </w:r>
          </w:p>
        </w:tc>
        <w:tc>
          <w:tcPr>
            <w:tcW w:w="2551" w:type="dxa"/>
            <w:vAlign w:val="center"/>
          </w:tcPr>
          <w:p>
            <w:pPr>
              <w:pStyle w:val="28"/>
            </w:pPr>
            <w:r>
              <w:t>≥0.9规范化建设率</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青少年参与活动和培训的比例</w:t>
            </w:r>
          </w:p>
        </w:tc>
        <w:tc>
          <w:tcPr>
            <w:tcW w:w="2835" w:type="dxa"/>
            <w:vAlign w:val="center"/>
          </w:tcPr>
          <w:p>
            <w:pPr>
              <w:pStyle w:val="28"/>
            </w:pPr>
            <w:r>
              <w:t>青少年参与活动与培训的人数达到目标的比例</w:t>
            </w:r>
          </w:p>
        </w:tc>
        <w:tc>
          <w:tcPr>
            <w:tcW w:w="2551" w:type="dxa"/>
            <w:vAlign w:val="center"/>
          </w:tcPr>
          <w:p>
            <w:pPr>
              <w:pStyle w:val="28"/>
            </w:pPr>
            <w:r>
              <w:t>≥0.9活动与培训参与率</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按时间要求完成各项工作目标</w:t>
            </w:r>
          </w:p>
        </w:tc>
        <w:tc>
          <w:tcPr>
            <w:tcW w:w="2835" w:type="dxa"/>
            <w:vAlign w:val="center"/>
          </w:tcPr>
          <w:p>
            <w:pPr>
              <w:pStyle w:val="28"/>
            </w:pPr>
            <w:r>
              <w:t>按照时间节点，11月之前及时完成规范化团组织建设5家，青少年参与活动和培训人数15000人次。</w:t>
            </w:r>
          </w:p>
        </w:tc>
        <w:tc>
          <w:tcPr>
            <w:tcW w:w="2551" w:type="dxa"/>
            <w:vAlign w:val="center"/>
          </w:tcPr>
          <w:p>
            <w:pPr>
              <w:pStyle w:val="28"/>
            </w:pPr>
            <w:r>
              <w:t>≤11月</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控制在预算成本之内</w:t>
            </w:r>
          </w:p>
        </w:tc>
        <w:tc>
          <w:tcPr>
            <w:tcW w:w="2835" w:type="dxa"/>
            <w:vAlign w:val="center"/>
          </w:tcPr>
          <w:p>
            <w:pPr>
              <w:pStyle w:val="28"/>
            </w:pPr>
            <w:r>
              <w:t>控制在预算成本之内</w:t>
            </w:r>
          </w:p>
        </w:tc>
        <w:tc>
          <w:tcPr>
            <w:tcW w:w="2551" w:type="dxa"/>
            <w:vAlign w:val="center"/>
          </w:tcPr>
          <w:p>
            <w:pPr>
              <w:pStyle w:val="28"/>
            </w:pPr>
            <w:r>
              <w:t>≥10万元</w:t>
            </w:r>
          </w:p>
        </w:tc>
        <w:tc>
          <w:tcPr>
            <w:tcW w:w="2268" w:type="dxa"/>
            <w:vAlign w:val="center"/>
          </w:tcPr>
          <w:p>
            <w:pPr>
              <w:pStyle w:val="28"/>
            </w:pPr>
            <w:r>
              <w:t>本级预算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团的基层组织建设工作进一步加强</w:t>
            </w:r>
          </w:p>
        </w:tc>
        <w:tc>
          <w:tcPr>
            <w:tcW w:w="2835" w:type="dxa"/>
            <w:vAlign w:val="center"/>
          </w:tcPr>
          <w:p>
            <w:pPr>
              <w:pStyle w:val="28"/>
            </w:pPr>
            <w:r>
              <w:t>团组织的覆盖面扩大、工作效能提升</w:t>
            </w:r>
          </w:p>
        </w:tc>
        <w:tc>
          <w:tcPr>
            <w:tcW w:w="2551" w:type="dxa"/>
            <w:vAlign w:val="center"/>
          </w:tcPr>
          <w:p>
            <w:pPr>
              <w:pStyle w:val="28"/>
            </w:pPr>
            <w:r>
              <w:t>≥5规范化建设数</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青少年的思想道德建设工作进一步加强</w:t>
            </w:r>
          </w:p>
        </w:tc>
        <w:tc>
          <w:tcPr>
            <w:tcW w:w="2835" w:type="dxa"/>
            <w:vAlign w:val="center"/>
          </w:tcPr>
          <w:p>
            <w:pPr>
              <w:pStyle w:val="28"/>
            </w:pPr>
            <w:r>
              <w:t>青少年思想引领活动参与率</w:t>
            </w:r>
          </w:p>
        </w:tc>
        <w:tc>
          <w:tcPr>
            <w:tcW w:w="2551" w:type="dxa"/>
            <w:vAlign w:val="center"/>
          </w:tcPr>
          <w:p>
            <w:pPr>
              <w:pStyle w:val="28"/>
            </w:pPr>
            <w:r>
              <w:t>≥0.9活动参与率</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青少年的权益工作进一步加强</w:t>
            </w:r>
          </w:p>
        </w:tc>
        <w:tc>
          <w:tcPr>
            <w:tcW w:w="2835" w:type="dxa"/>
            <w:vAlign w:val="center"/>
          </w:tcPr>
          <w:p>
            <w:pPr>
              <w:pStyle w:val="28"/>
            </w:pPr>
            <w:r>
              <w:t>青少年法制宣传活动参与率</w:t>
            </w:r>
          </w:p>
        </w:tc>
        <w:tc>
          <w:tcPr>
            <w:tcW w:w="2551" w:type="dxa"/>
            <w:vAlign w:val="center"/>
          </w:tcPr>
          <w:p>
            <w:pPr>
              <w:pStyle w:val="28"/>
            </w:pPr>
            <w:r>
              <w:t>≥0.9活动参与率</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团员青年满意度</w:t>
            </w:r>
          </w:p>
        </w:tc>
        <w:tc>
          <w:tcPr>
            <w:tcW w:w="2835" w:type="dxa"/>
            <w:vAlign w:val="center"/>
          </w:tcPr>
          <w:p>
            <w:pPr>
              <w:pStyle w:val="28"/>
            </w:pPr>
            <w:r>
              <w:t>团员青年对团的组织建设、思想引领、法制宣传、维护青少年合法权益的满意度</w:t>
            </w:r>
          </w:p>
        </w:tc>
        <w:tc>
          <w:tcPr>
            <w:tcW w:w="2551" w:type="dxa"/>
            <w:vAlign w:val="center"/>
          </w:tcPr>
          <w:p>
            <w:pPr>
              <w:pStyle w:val="28"/>
            </w:pPr>
            <w:r>
              <w:t>≥0.9团员青年满意度</w:t>
            </w:r>
          </w:p>
        </w:tc>
        <w:tc>
          <w:tcPr>
            <w:tcW w:w="2268" w:type="dxa"/>
            <w:vAlign w:val="center"/>
          </w:tcPr>
          <w:p>
            <w:pPr>
              <w:pStyle w:val="28"/>
            </w:pPr>
            <w:r>
              <w:t>上级要求</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2022年，中国共产主义青年团石家庄市藁城区委员会本级安排政府采购预算0.00万元。具体内容见下表。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中国共产主义青年团石家庄市藁城区委员会本级上年末固定资产金额为0.00万元（详见下表）。本年度拟购置固定资产总额为0.00万元，已按要求列入政府采购预算，详见政府采购预算表。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712001中国共产主义青年团石家庄市藁城区委员会本级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QxNGNjZjg5MmUyMTQ1ZmViOTU4Njg2MDU5YjljODgifQ=="/>
  </w:docVars>
  <w:rsids>
    <w:rsidRoot w:val="00000000"/>
    <w:rsid w:val="49405570"/>
    <w:rsid w:val="722729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dee5c5a9-a3c9-400f-a2a1-31ec59697261"/>
    <w:qFormat/>
    <w:uiPriority w:val="0"/>
    <w:rPr>
      <w:rFonts w:ascii="Times New Roman" w:hAnsi="Times New Roman" w:eastAsia="Times New Roman" w:cstheme="minorBidi"/>
      <w:sz w:val="24"/>
      <w:szCs w:val="24"/>
      <w:lang w:val="en-US" w:eastAsia="uk-UA" w:bidi="ar-SA"/>
    </w:rPr>
  </w:style>
  <w:style w:type="paragraph" w:customStyle="1" w:styleId="27">
    <w:name w:val="单元格样式1_5757af3c-a5c1-4d8b-b9d8-66a36fdc68b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3fac0e58-8595-410c-9708-e62a3e4d3f5c"/>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43474133-6e8a-4be2-bf95-df4d4c4aa505"/>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2022-02-14T17:47:37Z</dcterms:created>
  <dcterms:modified xsi:type="dcterms:W3CDTF">2022-02-14T09:47:37Z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2022-02-14T17:47:31Z</dcterms:created>
  <dcterms:modified xsi:type="dcterms:W3CDTF">2022-02-14T09:47:31Z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2022-02-14T17:47:32Z</dcterms:created>
  <dcterms:modified xsi:type="dcterms:W3CDTF">2022-02-14T09:47:32Z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2022-02-14T17:47:36Z</dcterms:created>
  <dcterms:modified xsi:type="dcterms:W3CDTF">2022-02-14T09:47:36Z</dcterms:modified>
</cp:coreProperties>
</file>

<file path=customXml/itemProps1.xml><?xml version="1.0" encoding="utf-8"?>
<ds:datastoreItem xmlns:ds="http://schemas.openxmlformats.org/officeDocument/2006/customXml" ds:itemID="{26e77752-f4d5-4534-b1ea-d0f4e607cee1}">
  <ds:schemaRefs/>
</ds:datastoreItem>
</file>

<file path=customXml/itemProps2.xml><?xml version="1.0" encoding="utf-8"?>
<ds:datastoreItem xmlns:ds="http://schemas.openxmlformats.org/officeDocument/2006/customXml" ds:itemID="{ba5dd187-e86f-4395-bc4f-158b007e5849}">
  <ds:schemaRefs/>
</ds:datastoreItem>
</file>

<file path=customXml/itemProps3.xml><?xml version="1.0" encoding="utf-8"?>
<ds:datastoreItem xmlns:ds="http://schemas.openxmlformats.org/officeDocument/2006/customXml" ds:itemID="{69a60e2b-050e-406e-842b-6386202e6a16}">
  <ds:schemaRefs/>
</ds:datastoreItem>
</file>

<file path=customXml/itemProps4.xml><?xml version="1.0" encoding="utf-8"?>
<ds:datastoreItem xmlns:ds="http://schemas.openxmlformats.org/officeDocument/2006/customXml" ds:itemID="{4672bb29-5bcf-48f2-a945-5436238d769b}">
  <ds:schemaRefs/>
</ds:datastoreItem>
</file>

<file path=customXml/itemProps5.xml><?xml version="1.0" encoding="utf-8"?>
<ds:datastoreItem xmlns:ds="http://schemas.openxmlformats.org/officeDocument/2006/customXml" ds:itemID="{6ee2d7d1-f7d5-4fe4-9eef-1d9cae6de394}">
  <ds:schemaRefs/>
</ds:datastoreItem>
</file>

<file path=customXml/itemProps6.xml><?xml version="1.0" encoding="utf-8"?>
<ds:datastoreItem xmlns:ds="http://schemas.openxmlformats.org/officeDocument/2006/customXml" ds:itemID="{82a148d9-63ba-49ef-9991-e54d8db00ffb}">
  <ds:schemaRefs/>
</ds:datastoreItem>
</file>

<file path=customXml/itemProps7.xml><?xml version="1.0" encoding="utf-8"?>
<ds:datastoreItem xmlns:ds="http://schemas.openxmlformats.org/officeDocument/2006/customXml" ds:itemID="{0cd5dc07-ae8d-4025-a2d2-f0d4b6c385c4}">
  <ds:schemaRefs/>
</ds:datastoreItem>
</file>

<file path=customXml/itemProps8.xml><?xml version="1.0" encoding="utf-8"?>
<ds:datastoreItem xmlns:ds="http://schemas.openxmlformats.org/officeDocument/2006/customXml" ds:itemID="{9e1a8098-422a-4d1b-ae90-e34914d18374}">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Office_12.1.0.15358_F1E327BC-269C-435d-A152-05C5408002CA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2022-02-14T17:47:00Z</dcterms:created>
  <dc:creator>001</dc:creator>
  <cp:lastModifiedBy>Administrator</cp:lastModifiedBy>
  <dcterms:modified xsi:type="dcterms:W3CDTF">2023-09-05T06:40:15Z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E577017A998A43D48825A1A0C7A3F7BB_12</vt:lpwstr>
  </property>
</Properties>
</file>