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2</w:t>
      </w:r>
    </w:p>
    <w:p>
      <w:r>
        <w:fldChar w:fldCharType="end"/>
      </w:r>
    </w:p>
    <w:p>
      <w:pPr>
        <w:sectPr>
          <w:footerReference r:id="rId3" w:type="default"/>
          <w:footerReference r:id="rId4" w:type="even"/>
          <w:pgSz w:w="16840" w:h="11900" w:orient="landscape"/>
          <w:pgMar w:top="1587" w:right="1134" w:bottom="1361" w:left="1134" w:header="720" w:footer="720" w:gutter="0"/>
          <w:pgNumType w:start="1"/>
        </w:sectPr>
      </w:pPr>
      <w:bookmarkStart w:id="18" w:name="_GoBack"/>
      <w:bookmarkEnd w:id="18"/>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pPr>
            <w:r>
              <w:t>3252.13</w:t>
            </w:r>
          </w:p>
        </w:tc>
        <w:tc>
          <w:tcPr>
            <w:tcW w:w="1971"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r>
              <w:t>1140.95</w:t>
            </w: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r>
              <w:t>2383.04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8"/>
            </w:pPr>
            <w:r>
              <w:t>本年收入合计</w:t>
            </w:r>
          </w:p>
        </w:tc>
        <w:tc>
          <w:tcPr>
            <w:tcW w:w="1971" w:type="dxa"/>
            <w:vAlign w:val="center"/>
          </w:tcPr>
          <w:p>
            <w:pPr>
              <w:pStyle w:val="19"/>
            </w:pPr>
            <w:r>
              <w:t>4393.08</w:t>
            </w:r>
          </w:p>
        </w:tc>
        <w:tc>
          <w:tcPr>
            <w:tcW w:w="1971" w:type="dxa"/>
            <w:vAlign w:val="center"/>
          </w:tcPr>
          <w:p>
            <w:pPr>
              <w:pStyle w:val="18"/>
            </w:pPr>
            <w:r>
              <w:t>本年支出合计</w:t>
            </w:r>
          </w:p>
        </w:tc>
        <w:tc>
          <w:tcPr>
            <w:tcW w:w="1971" w:type="dxa"/>
            <w:vAlign w:val="center"/>
          </w:tcPr>
          <w:p>
            <w:pPr>
              <w:pStyle w:val="19"/>
            </w:pPr>
            <w:r>
              <w:t>4584.49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6"/>
            </w:pPr>
            <w:r>
              <w:t>上年结转结余</w:t>
            </w:r>
          </w:p>
        </w:tc>
        <w:tc>
          <w:tcPr>
            <w:tcW w:w="1971" w:type="dxa"/>
            <w:vAlign w:val="center"/>
          </w:tcPr>
          <w:p>
            <w:pPr>
              <w:pStyle w:val="15"/>
            </w:pPr>
            <w:r>
              <w:t>191.41</w:t>
            </w: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8"/>
            </w:pPr>
            <w:r>
              <w:t>收入总计</w:t>
            </w:r>
          </w:p>
        </w:tc>
        <w:tc>
          <w:tcPr>
            <w:tcW w:w="1971" w:type="dxa"/>
            <w:vAlign w:val="center"/>
          </w:tcPr>
          <w:p>
            <w:pPr>
              <w:pStyle w:val="19"/>
            </w:pPr>
            <w:r>
              <w:t>4584.49</w:t>
            </w:r>
          </w:p>
        </w:tc>
        <w:tc>
          <w:tcPr>
            <w:tcW w:w="1971" w:type="dxa"/>
            <w:vAlign w:val="center"/>
          </w:tcPr>
          <w:p>
            <w:pPr>
              <w:pStyle w:val="18"/>
            </w:pPr>
            <w:r>
              <w:t>支出总计</w:t>
            </w:r>
          </w:p>
        </w:tc>
        <w:tc>
          <w:tcPr>
            <w:tcW w:w="1971" w:type="dxa"/>
            <w:vAlign w:val="center"/>
          </w:tcPr>
          <w:p>
            <w:pPr>
              <w:pStyle w:val="19"/>
            </w:pPr>
            <w:r>
              <w:t>4584.49</w:t>
            </w:r>
          </w:p>
        </w:tc>
      </w:tr>
    </w:tbl>
    <w:p>
      <w:pPr>
        <w:sectPr>
          <w:footerReference r:id="rId5" w:type="default"/>
          <w:footerReference r:id="rId6"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4584.49</w:t>
            </w:r>
          </w:p>
        </w:tc>
        <w:tc>
          <w:tcPr>
            <w:tcW w:w="758" w:type="dxa"/>
            <w:vAlign w:val="center"/>
          </w:tcPr>
          <w:p>
            <w:pPr>
              <w:pStyle w:val="19"/>
            </w:pPr>
            <w:r>
              <w:t>4393.08</w:t>
            </w:r>
          </w:p>
        </w:tc>
        <w:tc>
          <w:tcPr>
            <w:tcW w:w="758" w:type="dxa"/>
            <w:vAlign w:val="center"/>
          </w:tcPr>
          <w:p>
            <w:pPr>
              <w:pStyle w:val="19"/>
            </w:pPr>
            <w:r>
              <w:t>4393.08</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191.41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1215.45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1215.45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2120804</w:t>
            </w:r>
          </w:p>
        </w:tc>
        <w:tc>
          <w:tcPr>
            <w:tcW w:w="758" w:type="dxa"/>
            <w:vAlign w:val="center"/>
          </w:tcPr>
          <w:p>
            <w:pPr>
              <w:pStyle w:val="16"/>
            </w:pPr>
            <w:r>
              <w:t>农村基础设施建设支出</w:t>
            </w:r>
          </w:p>
        </w:tc>
        <w:tc>
          <w:tcPr>
            <w:tcW w:w="758" w:type="dxa"/>
            <w:vAlign w:val="center"/>
          </w:tcPr>
          <w:p>
            <w:pPr>
              <w:pStyle w:val="15"/>
            </w:pPr>
            <w:r>
              <w:t>74.50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2120816</w:t>
            </w:r>
          </w:p>
        </w:tc>
        <w:tc>
          <w:tcPr>
            <w:tcW w:w="758" w:type="dxa"/>
            <w:vAlign w:val="center"/>
          </w:tcPr>
          <w:p>
            <w:pPr>
              <w:pStyle w:val="16"/>
            </w:pPr>
            <w:r>
              <w:t>农业农村生态环境支出</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2383.04</w:t>
            </w:r>
          </w:p>
        </w:tc>
        <w:tc>
          <w:tcPr>
            <w:tcW w:w="758" w:type="dxa"/>
            <w:vAlign w:val="center"/>
          </w:tcPr>
          <w:p>
            <w:pPr>
              <w:pStyle w:val="15"/>
            </w:pPr>
            <w:r>
              <w:t>2266.13</w:t>
            </w:r>
          </w:p>
        </w:tc>
        <w:tc>
          <w:tcPr>
            <w:tcW w:w="758" w:type="dxa"/>
            <w:vAlign w:val="center"/>
          </w:tcPr>
          <w:p>
            <w:pPr>
              <w:pStyle w:val="15"/>
            </w:pPr>
            <w:r>
              <w:t>2266.13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2383.04</w:t>
            </w:r>
          </w:p>
        </w:tc>
        <w:tc>
          <w:tcPr>
            <w:tcW w:w="758" w:type="dxa"/>
            <w:vAlign w:val="center"/>
          </w:tcPr>
          <w:p>
            <w:pPr>
              <w:pStyle w:val="15"/>
            </w:pPr>
            <w:r>
              <w:t>2266.13</w:t>
            </w:r>
          </w:p>
        </w:tc>
        <w:tc>
          <w:tcPr>
            <w:tcW w:w="758" w:type="dxa"/>
            <w:vAlign w:val="center"/>
          </w:tcPr>
          <w:p>
            <w:pPr>
              <w:pStyle w:val="15"/>
            </w:pPr>
            <w:r>
              <w:t>2266.13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2130108</w:t>
            </w:r>
          </w:p>
        </w:tc>
        <w:tc>
          <w:tcPr>
            <w:tcW w:w="758" w:type="dxa"/>
            <w:vAlign w:val="center"/>
          </w:tcPr>
          <w:p>
            <w:pPr>
              <w:pStyle w:val="16"/>
            </w:pPr>
            <w:r>
              <w:t>病虫害控制</w:t>
            </w:r>
          </w:p>
        </w:tc>
        <w:tc>
          <w:tcPr>
            <w:tcW w:w="758" w:type="dxa"/>
            <w:vAlign w:val="center"/>
          </w:tcPr>
          <w:p>
            <w:pPr>
              <w:pStyle w:val="15"/>
            </w:pPr>
            <w:r>
              <w:t>1969.49</w:t>
            </w:r>
          </w:p>
        </w:tc>
        <w:tc>
          <w:tcPr>
            <w:tcW w:w="758" w:type="dxa"/>
            <w:vAlign w:val="center"/>
          </w:tcPr>
          <w:p>
            <w:pPr>
              <w:pStyle w:val="15"/>
            </w:pPr>
            <w:r>
              <w:t>1915.00</w:t>
            </w:r>
          </w:p>
        </w:tc>
        <w:tc>
          <w:tcPr>
            <w:tcW w:w="758" w:type="dxa"/>
            <w:vAlign w:val="center"/>
          </w:tcPr>
          <w:p>
            <w:pPr>
              <w:pStyle w:val="15"/>
            </w:pPr>
            <w:r>
              <w:t>1915.00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2130109</w:t>
            </w:r>
          </w:p>
        </w:tc>
        <w:tc>
          <w:tcPr>
            <w:tcW w:w="758" w:type="dxa"/>
            <w:vAlign w:val="center"/>
          </w:tcPr>
          <w:p>
            <w:pPr>
              <w:pStyle w:val="16"/>
            </w:pPr>
            <w:r>
              <w:t>农产品质量安全</w:t>
            </w:r>
          </w:p>
        </w:tc>
        <w:tc>
          <w:tcPr>
            <w:tcW w:w="758" w:type="dxa"/>
            <w:vAlign w:val="center"/>
          </w:tcPr>
          <w:p>
            <w:pPr>
              <w:pStyle w:val="15"/>
            </w:pPr>
            <w:r>
              <w:t>5.28</w:t>
            </w:r>
          </w:p>
        </w:tc>
        <w:tc>
          <w:tcPr>
            <w:tcW w:w="758" w:type="dxa"/>
            <w:vAlign w:val="center"/>
          </w:tcPr>
          <w:p>
            <w:pPr>
              <w:pStyle w:val="15"/>
            </w:pPr>
            <w:r>
              <w:t>1.85</w:t>
            </w:r>
          </w:p>
        </w:tc>
        <w:tc>
          <w:tcPr>
            <w:tcW w:w="758" w:type="dxa"/>
            <w:vAlign w:val="center"/>
          </w:tcPr>
          <w:p>
            <w:pPr>
              <w:pStyle w:val="15"/>
            </w:pPr>
            <w:r>
              <w:t>1.85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2130122</w:t>
            </w:r>
          </w:p>
        </w:tc>
        <w:tc>
          <w:tcPr>
            <w:tcW w:w="758" w:type="dxa"/>
            <w:vAlign w:val="center"/>
          </w:tcPr>
          <w:p>
            <w:pPr>
              <w:pStyle w:val="16"/>
            </w:pPr>
            <w:r>
              <w:t>农业生产发展</w:t>
            </w:r>
          </w:p>
        </w:tc>
        <w:tc>
          <w:tcPr>
            <w:tcW w:w="758" w:type="dxa"/>
            <w:vAlign w:val="center"/>
          </w:tcPr>
          <w:p>
            <w:pPr>
              <w:pStyle w:val="15"/>
            </w:pPr>
            <w:r>
              <w:t>408.28</w:t>
            </w:r>
          </w:p>
        </w:tc>
        <w:tc>
          <w:tcPr>
            <w:tcW w:w="758" w:type="dxa"/>
            <w:vAlign w:val="center"/>
          </w:tcPr>
          <w:p>
            <w:pPr>
              <w:pStyle w:val="15"/>
            </w:pPr>
            <w:r>
              <w:t>349.28</w:t>
            </w:r>
          </w:p>
        </w:tc>
        <w:tc>
          <w:tcPr>
            <w:tcW w:w="758" w:type="dxa"/>
            <w:vAlign w:val="center"/>
          </w:tcPr>
          <w:p>
            <w:pPr>
              <w:pStyle w:val="15"/>
            </w:pPr>
            <w:r>
              <w:t>349.28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216</w:t>
            </w:r>
          </w:p>
        </w:tc>
        <w:tc>
          <w:tcPr>
            <w:tcW w:w="758" w:type="dxa"/>
            <w:vAlign w:val="center"/>
          </w:tcPr>
          <w:p>
            <w:pPr>
              <w:pStyle w:val="16"/>
            </w:pPr>
            <w:r>
              <w:t>商业服务业等支出</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21602</w:t>
            </w:r>
          </w:p>
        </w:tc>
        <w:tc>
          <w:tcPr>
            <w:tcW w:w="758" w:type="dxa"/>
            <w:vAlign w:val="center"/>
          </w:tcPr>
          <w:p>
            <w:pPr>
              <w:pStyle w:val="16"/>
            </w:pPr>
            <w:r>
              <w:t>商业流通事务</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2160299</w:t>
            </w:r>
          </w:p>
        </w:tc>
        <w:tc>
          <w:tcPr>
            <w:tcW w:w="758" w:type="dxa"/>
            <w:vAlign w:val="center"/>
          </w:tcPr>
          <w:p>
            <w:pPr>
              <w:pStyle w:val="16"/>
            </w:pPr>
            <w:r>
              <w:t>其他商业流通事务支出</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4584.49</w:t>
            </w:r>
          </w:p>
        </w:tc>
        <w:tc>
          <w:tcPr>
            <w:tcW w:w="1095" w:type="dxa"/>
            <w:vAlign w:val="center"/>
          </w:tcPr>
          <w:p>
            <w:pPr>
              <w:pStyle w:val="19"/>
            </w:pPr>
            <w:r>
              <w:t>533.71</w:t>
            </w:r>
          </w:p>
        </w:tc>
        <w:tc>
          <w:tcPr>
            <w:tcW w:w="1095" w:type="dxa"/>
            <w:vAlign w:val="center"/>
          </w:tcPr>
          <w:p>
            <w:pPr>
              <w:pStyle w:val="19"/>
            </w:pPr>
            <w:r>
              <w:t>4050.78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2120804</w:t>
            </w:r>
          </w:p>
        </w:tc>
        <w:tc>
          <w:tcPr>
            <w:tcW w:w="1095" w:type="dxa"/>
            <w:vAlign w:val="center"/>
          </w:tcPr>
          <w:p>
            <w:pPr>
              <w:pStyle w:val="16"/>
            </w:pPr>
            <w:r>
              <w:t>农村基础设施建设支出</w:t>
            </w:r>
          </w:p>
        </w:tc>
        <w:tc>
          <w:tcPr>
            <w:tcW w:w="1095" w:type="dxa"/>
            <w:vAlign w:val="center"/>
          </w:tcPr>
          <w:p>
            <w:pPr>
              <w:pStyle w:val="15"/>
            </w:pPr>
            <w:r>
              <w:t>74.50</w:t>
            </w:r>
          </w:p>
        </w:tc>
        <w:tc>
          <w:tcPr>
            <w:tcW w:w="1095" w:type="dxa"/>
            <w:vAlign w:val="center"/>
          </w:tcPr>
          <w:p>
            <w:pPr>
              <w:pStyle w:val="15"/>
            </w:pPr>
          </w:p>
        </w:tc>
        <w:tc>
          <w:tcPr>
            <w:tcW w:w="1095" w:type="dxa"/>
            <w:vAlign w:val="center"/>
          </w:tcPr>
          <w:p>
            <w:pPr>
              <w:pStyle w:val="15"/>
            </w:pPr>
            <w:r>
              <w:t>74.50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2120816</w:t>
            </w:r>
          </w:p>
        </w:tc>
        <w:tc>
          <w:tcPr>
            <w:tcW w:w="1095" w:type="dxa"/>
            <w:vAlign w:val="center"/>
          </w:tcPr>
          <w:p>
            <w:pPr>
              <w:pStyle w:val="16"/>
            </w:pPr>
            <w:r>
              <w:t>农业农村生态环境支出</w:t>
            </w:r>
          </w:p>
        </w:tc>
        <w:tc>
          <w:tcPr>
            <w:tcW w:w="1095" w:type="dxa"/>
            <w:vAlign w:val="center"/>
          </w:tcPr>
          <w:p>
            <w:pPr>
              <w:pStyle w:val="15"/>
            </w:pPr>
            <w:r>
              <w:t>1140.95</w:t>
            </w:r>
          </w:p>
        </w:tc>
        <w:tc>
          <w:tcPr>
            <w:tcW w:w="1095" w:type="dxa"/>
            <w:vAlign w:val="center"/>
          </w:tcPr>
          <w:p>
            <w:pPr>
              <w:pStyle w:val="15"/>
            </w:pPr>
          </w:p>
        </w:tc>
        <w:tc>
          <w:tcPr>
            <w:tcW w:w="1095" w:type="dxa"/>
            <w:vAlign w:val="center"/>
          </w:tcPr>
          <w:p>
            <w:pPr>
              <w:pStyle w:val="15"/>
            </w:pPr>
            <w:r>
              <w:t>1140.95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2383.04</w:t>
            </w:r>
          </w:p>
        </w:tc>
        <w:tc>
          <w:tcPr>
            <w:tcW w:w="1095" w:type="dxa"/>
            <w:vAlign w:val="center"/>
          </w:tcPr>
          <w:p>
            <w:pPr>
              <w:pStyle w:val="15"/>
            </w:pPr>
            <w:r>
              <w:t>533.71</w:t>
            </w:r>
          </w:p>
        </w:tc>
        <w:tc>
          <w:tcPr>
            <w:tcW w:w="1095" w:type="dxa"/>
            <w:vAlign w:val="center"/>
          </w:tcPr>
          <w:p>
            <w:pPr>
              <w:pStyle w:val="15"/>
            </w:pPr>
            <w:r>
              <w:t>1849.33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21301</w:t>
            </w:r>
          </w:p>
        </w:tc>
        <w:tc>
          <w:tcPr>
            <w:tcW w:w="1095" w:type="dxa"/>
            <w:vAlign w:val="center"/>
          </w:tcPr>
          <w:p>
            <w:pPr>
              <w:pStyle w:val="16"/>
            </w:pPr>
            <w:r>
              <w:t>农业农村</w:t>
            </w:r>
          </w:p>
        </w:tc>
        <w:tc>
          <w:tcPr>
            <w:tcW w:w="1095" w:type="dxa"/>
            <w:vAlign w:val="center"/>
          </w:tcPr>
          <w:p>
            <w:pPr>
              <w:pStyle w:val="15"/>
            </w:pPr>
            <w:r>
              <w:t>2383.04</w:t>
            </w:r>
          </w:p>
        </w:tc>
        <w:tc>
          <w:tcPr>
            <w:tcW w:w="1095" w:type="dxa"/>
            <w:vAlign w:val="center"/>
          </w:tcPr>
          <w:p>
            <w:pPr>
              <w:pStyle w:val="15"/>
            </w:pPr>
            <w:r>
              <w:t>533.71</w:t>
            </w:r>
          </w:p>
        </w:tc>
        <w:tc>
          <w:tcPr>
            <w:tcW w:w="1095" w:type="dxa"/>
            <w:vAlign w:val="center"/>
          </w:tcPr>
          <w:p>
            <w:pPr>
              <w:pStyle w:val="15"/>
            </w:pPr>
            <w:r>
              <w:t>1849.33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2130108</w:t>
            </w:r>
          </w:p>
        </w:tc>
        <w:tc>
          <w:tcPr>
            <w:tcW w:w="1095" w:type="dxa"/>
            <w:vAlign w:val="center"/>
          </w:tcPr>
          <w:p>
            <w:pPr>
              <w:pStyle w:val="16"/>
            </w:pPr>
            <w:r>
              <w:t>病虫害控制</w:t>
            </w:r>
          </w:p>
        </w:tc>
        <w:tc>
          <w:tcPr>
            <w:tcW w:w="1095" w:type="dxa"/>
            <w:vAlign w:val="center"/>
          </w:tcPr>
          <w:p>
            <w:pPr>
              <w:pStyle w:val="15"/>
            </w:pPr>
            <w:r>
              <w:t>1969.49</w:t>
            </w:r>
          </w:p>
        </w:tc>
        <w:tc>
          <w:tcPr>
            <w:tcW w:w="1095" w:type="dxa"/>
            <w:vAlign w:val="center"/>
          </w:tcPr>
          <w:p>
            <w:pPr>
              <w:pStyle w:val="15"/>
            </w:pPr>
            <w:r>
              <w:t>533.71</w:t>
            </w:r>
          </w:p>
        </w:tc>
        <w:tc>
          <w:tcPr>
            <w:tcW w:w="1095" w:type="dxa"/>
            <w:vAlign w:val="center"/>
          </w:tcPr>
          <w:p>
            <w:pPr>
              <w:pStyle w:val="15"/>
            </w:pPr>
            <w:r>
              <w:t>1435.78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2130109</w:t>
            </w:r>
          </w:p>
        </w:tc>
        <w:tc>
          <w:tcPr>
            <w:tcW w:w="1095" w:type="dxa"/>
            <w:vAlign w:val="center"/>
          </w:tcPr>
          <w:p>
            <w:pPr>
              <w:pStyle w:val="16"/>
            </w:pPr>
            <w:r>
              <w:t>农产品质量安全</w:t>
            </w:r>
          </w:p>
        </w:tc>
        <w:tc>
          <w:tcPr>
            <w:tcW w:w="1095" w:type="dxa"/>
            <w:vAlign w:val="center"/>
          </w:tcPr>
          <w:p>
            <w:pPr>
              <w:pStyle w:val="15"/>
            </w:pPr>
            <w:r>
              <w:t>5.28</w:t>
            </w:r>
          </w:p>
        </w:tc>
        <w:tc>
          <w:tcPr>
            <w:tcW w:w="1095" w:type="dxa"/>
            <w:vAlign w:val="center"/>
          </w:tcPr>
          <w:p>
            <w:pPr>
              <w:pStyle w:val="15"/>
            </w:pPr>
          </w:p>
        </w:tc>
        <w:tc>
          <w:tcPr>
            <w:tcW w:w="1095" w:type="dxa"/>
            <w:vAlign w:val="center"/>
          </w:tcPr>
          <w:p>
            <w:pPr>
              <w:pStyle w:val="15"/>
            </w:pPr>
            <w:r>
              <w:t>5.28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2130122</w:t>
            </w:r>
          </w:p>
        </w:tc>
        <w:tc>
          <w:tcPr>
            <w:tcW w:w="1095" w:type="dxa"/>
            <w:vAlign w:val="center"/>
          </w:tcPr>
          <w:p>
            <w:pPr>
              <w:pStyle w:val="16"/>
            </w:pPr>
            <w:r>
              <w:t>农业生产发展</w:t>
            </w:r>
          </w:p>
        </w:tc>
        <w:tc>
          <w:tcPr>
            <w:tcW w:w="1095" w:type="dxa"/>
            <w:vAlign w:val="center"/>
          </w:tcPr>
          <w:p>
            <w:pPr>
              <w:pStyle w:val="15"/>
            </w:pPr>
            <w:r>
              <w:t>408.28</w:t>
            </w:r>
          </w:p>
        </w:tc>
        <w:tc>
          <w:tcPr>
            <w:tcW w:w="1095" w:type="dxa"/>
            <w:vAlign w:val="center"/>
          </w:tcPr>
          <w:p>
            <w:pPr>
              <w:pStyle w:val="15"/>
            </w:pPr>
          </w:p>
        </w:tc>
        <w:tc>
          <w:tcPr>
            <w:tcW w:w="1095" w:type="dxa"/>
            <w:vAlign w:val="center"/>
          </w:tcPr>
          <w:p>
            <w:pPr>
              <w:pStyle w:val="15"/>
            </w:pPr>
            <w:r>
              <w:t>408.28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216</w:t>
            </w:r>
          </w:p>
        </w:tc>
        <w:tc>
          <w:tcPr>
            <w:tcW w:w="1095" w:type="dxa"/>
            <w:vAlign w:val="center"/>
          </w:tcPr>
          <w:p>
            <w:pPr>
              <w:pStyle w:val="16"/>
            </w:pPr>
            <w:r>
              <w:t>商业服务业等支出</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21602</w:t>
            </w:r>
          </w:p>
        </w:tc>
        <w:tc>
          <w:tcPr>
            <w:tcW w:w="1095" w:type="dxa"/>
            <w:vAlign w:val="center"/>
          </w:tcPr>
          <w:p>
            <w:pPr>
              <w:pStyle w:val="16"/>
            </w:pPr>
            <w:r>
              <w:t>商业流通事务</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2160299</w:t>
            </w:r>
          </w:p>
        </w:tc>
        <w:tc>
          <w:tcPr>
            <w:tcW w:w="1095" w:type="dxa"/>
            <w:vAlign w:val="center"/>
          </w:tcPr>
          <w:p>
            <w:pPr>
              <w:pStyle w:val="16"/>
            </w:pPr>
            <w:r>
              <w:t>其他商业流通事务支出</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3252.13</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1140.95</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1215.45</w:t>
            </w:r>
          </w:p>
        </w:tc>
        <w:tc>
          <w:tcPr>
            <w:tcW w:w="1232" w:type="dxa"/>
            <w:vAlign w:val="center"/>
          </w:tcPr>
          <w:p>
            <w:pPr>
              <w:pStyle w:val="15"/>
            </w:pPr>
          </w:p>
        </w:tc>
        <w:tc>
          <w:tcPr>
            <w:tcW w:w="1232" w:type="dxa"/>
            <w:vAlign w:val="center"/>
          </w:tcPr>
          <w:p>
            <w:pPr>
              <w:pStyle w:val="15"/>
            </w:pPr>
            <w:r>
              <w:t>1215.45</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2383.04</w:t>
            </w:r>
          </w:p>
        </w:tc>
        <w:tc>
          <w:tcPr>
            <w:tcW w:w="1232" w:type="dxa"/>
            <w:vAlign w:val="center"/>
          </w:tcPr>
          <w:p>
            <w:pPr>
              <w:pStyle w:val="15"/>
            </w:pPr>
            <w:r>
              <w:t>2383.04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r>
              <w:t>986.00</w:t>
            </w:r>
          </w:p>
        </w:tc>
        <w:tc>
          <w:tcPr>
            <w:tcW w:w="1232" w:type="dxa"/>
            <w:vAlign w:val="center"/>
          </w:tcPr>
          <w:p>
            <w:pPr>
              <w:pStyle w:val="15"/>
            </w:pPr>
            <w:r>
              <w:t>986.00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4393.08</w:t>
            </w:r>
          </w:p>
        </w:tc>
        <w:tc>
          <w:tcPr>
            <w:tcW w:w="1232" w:type="dxa"/>
            <w:vAlign w:val="center"/>
          </w:tcPr>
          <w:p>
            <w:pPr>
              <w:pStyle w:val="18"/>
            </w:pPr>
            <w:r>
              <w:t>本年支出合计</w:t>
            </w:r>
          </w:p>
        </w:tc>
        <w:tc>
          <w:tcPr>
            <w:tcW w:w="1232" w:type="dxa"/>
            <w:vAlign w:val="center"/>
          </w:tcPr>
          <w:p>
            <w:pPr>
              <w:pStyle w:val="19"/>
            </w:pPr>
            <w:r>
              <w:t>4584.49</w:t>
            </w:r>
          </w:p>
        </w:tc>
        <w:tc>
          <w:tcPr>
            <w:tcW w:w="1232" w:type="dxa"/>
            <w:vAlign w:val="center"/>
          </w:tcPr>
          <w:p>
            <w:pPr>
              <w:pStyle w:val="19"/>
            </w:pPr>
            <w:r>
              <w:t>3369.04</w:t>
            </w:r>
          </w:p>
        </w:tc>
        <w:tc>
          <w:tcPr>
            <w:tcW w:w="1232" w:type="dxa"/>
            <w:vAlign w:val="center"/>
          </w:tcPr>
          <w:p>
            <w:pPr>
              <w:pStyle w:val="19"/>
            </w:pPr>
            <w:r>
              <w:t>1215.45</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t>191.41</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116.91</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r>
              <w:t>74.50</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4584.49</w:t>
            </w:r>
          </w:p>
        </w:tc>
        <w:tc>
          <w:tcPr>
            <w:tcW w:w="1232" w:type="dxa"/>
            <w:vAlign w:val="center"/>
          </w:tcPr>
          <w:p>
            <w:pPr>
              <w:pStyle w:val="18"/>
            </w:pPr>
            <w:r>
              <w:t>支出总计</w:t>
            </w:r>
          </w:p>
        </w:tc>
        <w:tc>
          <w:tcPr>
            <w:tcW w:w="1232" w:type="dxa"/>
            <w:vAlign w:val="center"/>
          </w:tcPr>
          <w:p>
            <w:pPr>
              <w:pStyle w:val="19"/>
            </w:pPr>
            <w:r>
              <w:t>4584.49</w:t>
            </w:r>
          </w:p>
        </w:tc>
        <w:tc>
          <w:tcPr>
            <w:tcW w:w="1232" w:type="dxa"/>
            <w:vAlign w:val="center"/>
          </w:tcPr>
          <w:p>
            <w:pPr>
              <w:pStyle w:val="19"/>
            </w:pPr>
            <w:r>
              <w:t>3369.04</w:t>
            </w:r>
          </w:p>
        </w:tc>
        <w:tc>
          <w:tcPr>
            <w:tcW w:w="1232" w:type="dxa"/>
            <w:vAlign w:val="center"/>
          </w:tcPr>
          <w:p>
            <w:pPr>
              <w:pStyle w:val="19"/>
            </w:pPr>
            <w:r>
              <w:t>1215.45</w:t>
            </w: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3369.04</w:t>
            </w:r>
          </w:p>
        </w:tc>
        <w:tc>
          <w:tcPr>
            <w:tcW w:w="1643" w:type="dxa"/>
            <w:vAlign w:val="center"/>
          </w:tcPr>
          <w:p>
            <w:pPr>
              <w:pStyle w:val="19"/>
            </w:pPr>
            <w:r>
              <w:t>533.71</w:t>
            </w:r>
          </w:p>
        </w:tc>
        <w:tc>
          <w:tcPr>
            <w:tcW w:w="1643" w:type="dxa"/>
            <w:vAlign w:val="center"/>
          </w:tcPr>
          <w:p>
            <w:pPr>
              <w:pStyle w:val="19"/>
            </w:pPr>
            <w:r>
              <w:t>2835.33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2383.04</w:t>
            </w:r>
          </w:p>
        </w:tc>
        <w:tc>
          <w:tcPr>
            <w:tcW w:w="1643" w:type="dxa"/>
            <w:vAlign w:val="center"/>
          </w:tcPr>
          <w:p>
            <w:pPr>
              <w:pStyle w:val="15"/>
            </w:pPr>
            <w:r>
              <w:t>533.71</w:t>
            </w:r>
          </w:p>
        </w:tc>
        <w:tc>
          <w:tcPr>
            <w:tcW w:w="1643" w:type="dxa"/>
            <w:vAlign w:val="center"/>
          </w:tcPr>
          <w:p>
            <w:pPr>
              <w:pStyle w:val="15"/>
            </w:pPr>
            <w:r>
              <w:t>1849.33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2383.04</w:t>
            </w:r>
          </w:p>
        </w:tc>
        <w:tc>
          <w:tcPr>
            <w:tcW w:w="1643" w:type="dxa"/>
            <w:vAlign w:val="center"/>
          </w:tcPr>
          <w:p>
            <w:pPr>
              <w:pStyle w:val="15"/>
            </w:pPr>
            <w:r>
              <w:t>533.71</w:t>
            </w:r>
          </w:p>
        </w:tc>
        <w:tc>
          <w:tcPr>
            <w:tcW w:w="1643" w:type="dxa"/>
            <w:vAlign w:val="center"/>
          </w:tcPr>
          <w:p>
            <w:pPr>
              <w:pStyle w:val="15"/>
            </w:pPr>
            <w:r>
              <w:t>1849.33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2130108</w:t>
            </w:r>
          </w:p>
        </w:tc>
        <w:tc>
          <w:tcPr>
            <w:tcW w:w="1643" w:type="dxa"/>
            <w:vAlign w:val="center"/>
          </w:tcPr>
          <w:p>
            <w:pPr>
              <w:pStyle w:val="16"/>
            </w:pPr>
            <w:r>
              <w:t>病虫害控制</w:t>
            </w:r>
          </w:p>
        </w:tc>
        <w:tc>
          <w:tcPr>
            <w:tcW w:w="1643" w:type="dxa"/>
            <w:vAlign w:val="center"/>
          </w:tcPr>
          <w:p>
            <w:pPr>
              <w:pStyle w:val="15"/>
            </w:pPr>
            <w:r>
              <w:t>1969.49</w:t>
            </w:r>
          </w:p>
        </w:tc>
        <w:tc>
          <w:tcPr>
            <w:tcW w:w="1643" w:type="dxa"/>
            <w:vAlign w:val="center"/>
          </w:tcPr>
          <w:p>
            <w:pPr>
              <w:pStyle w:val="15"/>
            </w:pPr>
            <w:r>
              <w:t>533.71</w:t>
            </w:r>
          </w:p>
        </w:tc>
        <w:tc>
          <w:tcPr>
            <w:tcW w:w="1643" w:type="dxa"/>
            <w:vAlign w:val="center"/>
          </w:tcPr>
          <w:p>
            <w:pPr>
              <w:pStyle w:val="15"/>
            </w:pPr>
            <w:r>
              <w:t>1435.78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2130109</w:t>
            </w:r>
          </w:p>
        </w:tc>
        <w:tc>
          <w:tcPr>
            <w:tcW w:w="1643" w:type="dxa"/>
            <w:vAlign w:val="center"/>
          </w:tcPr>
          <w:p>
            <w:pPr>
              <w:pStyle w:val="16"/>
            </w:pPr>
            <w:r>
              <w:t>农产品质量安全</w:t>
            </w:r>
          </w:p>
        </w:tc>
        <w:tc>
          <w:tcPr>
            <w:tcW w:w="1643" w:type="dxa"/>
            <w:vAlign w:val="center"/>
          </w:tcPr>
          <w:p>
            <w:pPr>
              <w:pStyle w:val="15"/>
            </w:pPr>
            <w:r>
              <w:t>5.28</w:t>
            </w:r>
          </w:p>
        </w:tc>
        <w:tc>
          <w:tcPr>
            <w:tcW w:w="1643" w:type="dxa"/>
            <w:vAlign w:val="center"/>
          </w:tcPr>
          <w:p>
            <w:pPr>
              <w:pStyle w:val="15"/>
            </w:pPr>
          </w:p>
        </w:tc>
        <w:tc>
          <w:tcPr>
            <w:tcW w:w="1643" w:type="dxa"/>
            <w:vAlign w:val="center"/>
          </w:tcPr>
          <w:p>
            <w:pPr>
              <w:pStyle w:val="15"/>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2130122</w:t>
            </w:r>
          </w:p>
        </w:tc>
        <w:tc>
          <w:tcPr>
            <w:tcW w:w="1643" w:type="dxa"/>
            <w:vAlign w:val="center"/>
          </w:tcPr>
          <w:p>
            <w:pPr>
              <w:pStyle w:val="16"/>
            </w:pPr>
            <w:r>
              <w:t>农业生产发展</w:t>
            </w:r>
          </w:p>
        </w:tc>
        <w:tc>
          <w:tcPr>
            <w:tcW w:w="1643" w:type="dxa"/>
            <w:vAlign w:val="center"/>
          </w:tcPr>
          <w:p>
            <w:pPr>
              <w:pStyle w:val="15"/>
            </w:pPr>
            <w:r>
              <w:t>408.28</w:t>
            </w:r>
          </w:p>
        </w:tc>
        <w:tc>
          <w:tcPr>
            <w:tcW w:w="1643" w:type="dxa"/>
            <w:vAlign w:val="center"/>
          </w:tcPr>
          <w:p>
            <w:pPr>
              <w:pStyle w:val="15"/>
            </w:pPr>
          </w:p>
        </w:tc>
        <w:tc>
          <w:tcPr>
            <w:tcW w:w="1643" w:type="dxa"/>
            <w:vAlign w:val="center"/>
          </w:tcPr>
          <w:p>
            <w:pPr>
              <w:pStyle w:val="15"/>
            </w:pPr>
            <w:r>
              <w:t>408.28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216</w:t>
            </w:r>
          </w:p>
        </w:tc>
        <w:tc>
          <w:tcPr>
            <w:tcW w:w="1643" w:type="dxa"/>
            <w:vAlign w:val="center"/>
          </w:tcPr>
          <w:p>
            <w:pPr>
              <w:pStyle w:val="16"/>
            </w:pPr>
            <w:r>
              <w:t>商业服务业等支出</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21602</w:t>
            </w:r>
          </w:p>
        </w:tc>
        <w:tc>
          <w:tcPr>
            <w:tcW w:w="1643" w:type="dxa"/>
            <w:vAlign w:val="center"/>
          </w:tcPr>
          <w:p>
            <w:pPr>
              <w:pStyle w:val="16"/>
            </w:pPr>
            <w:r>
              <w:t>商业流通事务</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2160299</w:t>
            </w:r>
          </w:p>
        </w:tc>
        <w:tc>
          <w:tcPr>
            <w:tcW w:w="1643" w:type="dxa"/>
            <w:vAlign w:val="center"/>
          </w:tcPr>
          <w:p>
            <w:pPr>
              <w:pStyle w:val="16"/>
            </w:pPr>
            <w:r>
              <w:t>其他商业流通事务支出</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533.71</w:t>
            </w:r>
          </w:p>
        </w:tc>
        <w:tc>
          <w:tcPr>
            <w:tcW w:w="1643" w:type="dxa"/>
            <w:vAlign w:val="center"/>
          </w:tcPr>
          <w:p>
            <w:pPr>
              <w:pStyle w:val="19"/>
            </w:pPr>
            <w:r>
              <w:t>499.05</w:t>
            </w:r>
          </w:p>
        </w:tc>
        <w:tc>
          <w:tcPr>
            <w:tcW w:w="1643" w:type="dxa"/>
            <w:vAlign w:val="center"/>
          </w:tcPr>
          <w:p>
            <w:pPr>
              <w:pStyle w:val="19"/>
            </w:pPr>
            <w:r>
              <w:t>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498.13</w:t>
            </w:r>
          </w:p>
        </w:tc>
        <w:tc>
          <w:tcPr>
            <w:tcW w:w="1643" w:type="dxa"/>
            <w:vAlign w:val="center"/>
          </w:tcPr>
          <w:p>
            <w:pPr>
              <w:pStyle w:val="15"/>
            </w:pPr>
            <w:r>
              <w:t>498.13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120.09</w:t>
            </w:r>
          </w:p>
        </w:tc>
        <w:tc>
          <w:tcPr>
            <w:tcW w:w="1643" w:type="dxa"/>
            <w:vAlign w:val="center"/>
          </w:tcPr>
          <w:p>
            <w:pPr>
              <w:pStyle w:val="15"/>
            </w:pPr>
            <w:r>
              <w:t>120.09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118.79</w:t>
            </w:r>
          </w:p>
        </w:tc>
        <w:tc>
          <w:tcPr>
            <w:tcW w:w="1643" w:type="dxa"/>
            <w:vAlign w:val="center"/>
          </w:tcPr>
          <w:p>
            <w:pPr>
              <w:pStyle w:val="15"/>
            </w:pPr>
            <w:r>
              <w:t>118.79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95.77</w:t>
            </w:r>
          </w:p>
        </w:tc>
        <w:tc>
          <w:tcPr>
            <w:tcW w:w="1643" w:type="dxa"/>
            <w:vAlign w:val="center"/>
          </w:tcPr>
          <w:p>
            <w:pPr>
              <w:pStyle w:val="15"/>
            </w:pPr>
            <w:r>
              <w:t>95.77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44.54</w:t>
            </w:r>
          </w:p>
        </w:tc>
        <w:tc>
          <w:tcPr>
            <w:tcW w:w="1643" w:type="dxa"/>
            <w:vAlign w:val="center"/>
          </w:tcPr>
          <w:p>
            <w:pPr>
              <w:pStyle w:val="15"/>
            </w:pPr>
            <w:r>
              <w:t>44.54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23.38</w:t>
            </w:r>
          </w:p>
        </w:tc>
        <w:tc>
          <w:tcPr>
            <w:tcW w:w="1643" w:type="dxa"/>
            <w:vAlign w:val="center"/>
          </w:tcPr>
          <w:p>
            <w:pPr>
              <w:pStyle w:val="15"/>
            </w:pPr>
            <w:r>
              <w:t>23.38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18.09</w:t>
            </w:r>
          </w:p>
        </w:tc>
        <w:tc>
          <w:tcPr>
            <w:tcW w:w="1643" w:type="dxa"/>
            <w:vAlign w:val="center"/>
          </w:tcPr>
          <w:p>
            <w:pPr>
              <w:pStyle w:val="15"/>
            </w:pPr>
            <w:r>
              <w:t>18.09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40.54</w:t>
            </w:r>
          </w:p>
        </w:tc>
        <w:tc>
          <w:tcPr>
            <w:tcW w:w="1643" w:type="dxa"/>
            <w:vAlign w:val="center"/>
          </w:tcPr>
          <w:p>
            <w:pPr>
              <w:pStyle w:val="15"/>
            </w:pPr>
            <w:r>
              <w:t>40.54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36.92</w:t>
            </w:r>
          </w:p>
        </w:tc>
        <w:tc>
          <w:tcPr>
            <w:tcW w:w="1643" w:type="dxa"/>
            <w:vAlign w:val="center"/>
          </w:tcPr>
          <w:p>
            <w:pPr>
              <w:pStyle w:val="15"/>
            </w:pPr>
            <w:r>
              <w:t>36.92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34.66</w:t>
            </w:r>
          </w:p>
        </w:tc>
        <w:tc>
          <w:tcPr>
            <w:tcW w:w="1643" w:type="dxa"/>
            <w:vAlign w:val="center"/>
          </w:tcPr>
          <w:p>
            <w:pPr>
              <w:pStyle w:val="15"/>
            </w:pPr>
          </w:p>
        </w:tc>
        <w:tc>
          <w:tcPr>
            <w:tcW w:w="1643" w:type="dxa"/>
            <w:vAlign w:val="center"/>
          </w:tcPr>
          <w:p>
            <w:pPr>
              <w:pStyle w:val="15"/>
            </w:pPr>
            <w:r>
              <w:t>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2.59</w:t>
            </w:r>
          </w:p>
        </w:tc>
        <w:tc>
          <w:tcPr>
            <w:tcW w:w="1643" w:type="dxa"/>
            <w:vAlign w:val="center"/>
          </w:tcPr>
          <w:p>
            <w:pPr>
              <w:pStyle w:val="15"/>
            </w:pPr>
          </w:p>
        </w:tc>
        <w:tc>
          <w:tcPr>
            <w:tcW w:w="1643" w:type="dxa"/>
            <w:vAlign w:val="center"/>
          </w:tcPr>
          <w:p>
            <w:pPr>
              <w:pStyle w:val="15"/>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11.76</w:t>
            </w:r>
          </w:p>
        </w:tc>
        <w:tc>
          <w:tcPr>
            <w:tcW w:w="1643" w:type="dxa"/>
            <w:vAlign w:val="center"/>
          </w:tcPr>
          <w:p>
            <w:pPr>
              <w:pStyle w:val="15"/>
            </w:pPr>
          </w:p>
        </w:tc>
        <w:tc>
          <w:tcPr>
            <w:tcW w:w="1643" w:type="dxa"/>
            <w:vAlign w:val="center"/>
          </w:tcPr>
          <w:p>
            <w:pPr>
              <w:pStyle w:val="15"/>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1.41</w:t>
            </w:r>
          </w:p>
        </w:tc>
        <w:tc>
          <w:tcPr>
            <w:tcW w:w="1643" w:type="dxa"/>
            <w:vAlign w:val="center"/>
          </w:tcPr>
          <w:p>
            <w:pPr>
              <w:pStyle w:val="15"/>
            </w:pPr>
          </w:p>
        </w:tc>
        <w:tc>
          <w:tcPr>
            <w:tcW w:w="1643" w:type="dxa"/>
            <w:vAlign w:val="center"/>
          </w:tcPr>
          <w:p>
            <w:pPr>
              <w:pStyle w:val="15"/>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1215.45</w:t>
            </w:r>
          </w:p>
        </w:tc>
        <w:tc>
          <w:tcPr>
            <w:tcW w:w="1643" w:type="dxa"/>
            <w:vAlign w:val="center"/>
          </w:tcPr>
          <w:p>
            <w:pPr>
              <w:pStyle w:val="19"/>
            </w:pPr>
          </w:p>
        </w:tc>
        <w:tc>
          <w:tcPr>
            <w:tcW w:w="1643" w:type="dxa"/>
            <w:vAlign w:val="center"/>
          </w:tcPr>
          <w:p>
            <w:pPr>
              <w:pStyle w:val="19"/>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1215.45</w:t>
            </w:r>
          </w:p>
        </w:tc>
        <w:tc>
          <w:tcPr>
            <w:tcW w:w="1643" w:type="dxa"/>
            <w:vAlign w:val="center"/>
          </w:tcPr>
          <w:p>
            <w:pPr>
              <w:pStyle w:val="15"/>
            </w:pPr>
          </w:p>
        </w:tc>
        <w:tc>
          <w:tcPr>
            <w:tcW w:w="1643"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1215.45</w:t>
            </w:r>
          </w:p>
        </w:tc>
        <w:tc>
          <w:tcPr>
            <w:tcW w:w="1643" w:type="dxa"/>
            <w:vAlign w:val="center"/>
          </w:tcPr>
          <w:p>
            <w:pPr>
              <w:pStyle w:val="15"/>
            </w:pPr>
          </w:p>
        </w:tc>
        <w:tc>
          <w:tcPr>
            <w:tcW w:w="1643"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2120804</w:t>
            </w:r>
          </w:p>
        </w:tc>
        <w:tc>
          <w:tcPr>
            <w:tcW w:w="1643" w:type="dxa"/>
            <w:vAlign w:val="center"/>
          </w:tcPr>
          <w:p>
            <w:pPr>
              <w:pStyle w:val="16"/>
            </w:pPr>
            <w:r>
              <w:t>农村基础设施建设支出</w:t>
            </w:r>
          </w:p>
        </w:tc>
        <w:tc>
          <w:tcPr>
            <w:tcW w:w="1643" w:type="dxa"/>
            <w:vAlign w:val="center"/>
          </w:tcPr>
          <w:p>
            <w:pPr>
              <w:pStyle w:val="15"/>
            </w:pPr>
            <w:r>
              <w:t>74.50</w:t>
            </w:r>
          </w:p>
        </w:tc>
        <w:tc>
          <w:tcPr>
            <w:tcW w:w="1643" w:type="dxa"/>
            <w:vAlign w:val="center"/>
          </w:tcPr>
          <w:p>
            <w:pPr>
              <w:pStyle w:val="15"/>
            </w:pPr>
          </w:p>
        </w:tc>
        <w:tc>
          <w:tcPr>
            <w:tcW w:w="1643"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2120816</w:t>
            </w:r>
          </w:p>
        </w:tc>
        <w:tc>
          <w:tcPr>
            <w:tcW w:w="1643" w:type="dxa"/>
            <w:vAlign w:val="center"/>
          </w:tcPr>
          <w:p>
            <w:pPr>
              <w:pStyle w:val="16"/>
            </w:pPr>
            <w:r>
              <w:t>农业农村生态环境支出</w:t>
            </w:r>
          </w:p>
        </w:tc>
        <w:tc>
          <w:tcPr>
            <w:tcW w:w="1643" w:type="dxa"/>
            <w:vAlign w:val="center"/>
          </w:tcPr>
          <w:p>
            <w:pPr>
              <w:pStyle w:val="15"/>
            </w:pPr>
            <w:r>
              <w:t>1140.95</w:t>
            </w:r>
          </w:p>
        </w:tc>
        <w:tc>
          <w:tcPr>
            <w:tcW w:w="1643" w:type="dxa"/>
            <w:vAlign w:val="center"/>
          </w:tcPr>
          <w:p>
            <w:pPr>
              <w:pStyle w:val="15"/>
            </w:pPr>
          </w:p>
        </w:tc>
        <w:tc>
          <w:tcPr>
            <w:tcW w:w="1643" w:type="dxa"/>
            <w:vAlign w:val="center"/>
          </w:tcPr>
          <w:p>
            <w:pPr>
              <w:pStyle w:val="15"/>
            </w:pPr>
            <w:r>
              <w:t>1140.95</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6.60</w:t>
            </w:r>
          </w:p>
        </w:tc>
        <w:tc>
          <w:tcPr>
            <w:tcW w:w="1643" w:type="dxa"/>
            <w:vAlign w:val="center"/>
          </w:tcPr>
          <w:p>
            <w:pPr>
              <w:pStyle w:val="19"/>
              <w:rPr>
                <w:rFonts w:hint="default" w:eastAsia="方正书宋_GBK"/>
                <w:lang w:val="en-US" w:eastAsia="zh-CN"/>
              </w:rPr>
            </w:pPr>
            <w:r>
              <w:rPr>
                <w:rFonts w:hint="eastAsia"/>
                <w:lang w:val="en-US" w:eastAsia="zh-CN"/>
              </w:rPr>
              <w:t>6.60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6.60</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FFFFFF"/>
          <w:sz w:val="21"/>
        </w:rPr>
        <w:t>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石家庄市藁城区畜牧工作总站2022年部门预算信息公开情况说明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按照《预算法》、《地方预决算公开操作规程》和《关于进一步推进预算公开工作的实施意见》规定，现将石家庄市藁城区畜牧工作总站2022年部门预算公开如下：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w:t>
      </w:r>
      <w:r>
        <w:tab/>
      </w:r>
      <w:r>
        <w:t>扶持畜牧业发展</w:t>
      </w:r>
      <w:r>
        <w:tab/>
      </w:r>
      <w:r>
        <w:t>对养殖场、养殖户采取补贴的办法，支持推广优良品种和先进技术，实施科学管理，提升畜牧业综合生产能力。提高畜产品产量和质量，优化产业结构，落实各项补贴，提高经济效益，增加农民收入。</w:t>
      </w:r>
    </w:p>
    <w:p>
      <w:pPr>
        <w:pStyle w:val="21"/>
      </w:pPr>
      <w:r>
        <w:t>(二)</w:t>
      </w:r>
      <w:r>
        <w:tab/>
      </w:r>
      <w:r>
        <w:t>农业资源保护和生态建设</w:t>
      </w:r>
      <w:r>
        <w:tab/>
      </w:r>
      <w:r>
        <w:t>按照可持续发展和畜禽粪污资源化利用的要求，保护农业资源，改善和保护农村环境。实现畜牧业可持续发展。</w:t>
      </w:r>
    </w:p>
    <w:p>
      <w:pPr>
        <w:pStyle w:val="21"/>
      </w:pPr>
      <w:r>
        <w:t>(三)</w:t>
      </w:r>
      <w:r>
        <w:tab/>
      </w:r>
      <w:r>
        <w:t>农业科技支撑和公共服务</w:t>
      </w:r>
      <w:r>
        <w:tab/>
      </w:r>
      <w:r>
        <w:t>建立健全畜牧业业科技服务和动物疫情防控体系，提高畜牧业发展水平，推动畜牧业生产向现代农业发展。</w:t>
      </w:r>
      <w:r>
        <w:tab/>
      </w:r>
    </w:p>
    <w:p>
      <w:pPr>
        <w:pStyle w:val="21"/>
      </w:pPr>
      <w:r>
        <w:t>(四)</w:t>
      </w:r>
      <w:r>
        <w:tab/>
      </w:r>
      <w:r>
        <w:t>农业综合执法</w:t>
      </w:r>
      <w:r>
        <w:tab/>
      </w:r>
      <w:r>
        <w:t>指导畜牧业行政执法体系建设和法制宣传教育，搞好畜产品投入品执法监督管理，确保畜产品安全。健全执法体系，提升执法素质，提高执法效能。</w:t>
      </w:r>
    </w:p>
    <w:p>
      <w:pPr>
        <w:pStyle w:val="21"/>
      </w:pPr>
      <w:r>
        <w:t>(五)</w:t>
      </w:r>
      <w:r>
        <w:tab/>
      </w:r>
      <w:r>
        <w:t>畜牧业政务管理</w:t>
      </w:r>
      <w:r>
        <w:tab/>
      </w:r>
      <w:r>
        <w:t>开展畜牧政策宣传，推动各项政策落实。保障畜牧业信息网络和各项政党工作的开展，履行机关日常管理工作。保障各项工作的正常运行</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石家庄市藁城区畜牧工作总站本级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按照预算管理有关规定，目前我省部门预算的编制实行综合预算管理，即全部收入和支出都反映在预算中。石家庄市藁城区畜牧工作总站机关及所属事业单位的收支包含在部门预算中。</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w:t>
      </w:r>
      <w:r>
        <w:rPr>
          <w:rFonts w:ascii="Times New Roman" w:hAnsi="Times New Roman" w:eastAsia="方正仿宋_GBK" w:cs="Times New Roman"/>
          <w:color w:val="000000"/>
          <w:sz w:val="28"/>
        </w:rPr>
        <w:t>收入说明</w:t>
      </w:r>
    </w:p>
    <w:p>
      <w:pPr>
        <w:spacing w:before="0" w:after="0" w:line="500" w:lineRule="exact"/>
        <w:ind w:firstLine="560"/>
        <w:jc w:val="left"/>
        <w:outlineLvl w:val="9"/>
        <w:rPr>
          <w:rFonts w:hint="default" w:ascii="Times New Roman" w:hAnsi="Times New Roman" w:eastAsia="方正仿宋_GBK" w:cs="Times New Roman"/>
          <w:color w:val="000000"/>
          <w:sz w:val="28"/>
          <w:lang w:val="en-US"/>
        </w:rPr>
      </w:pP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反映本部门当年全部收入。</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4584.49</w:t>
      </w:r>
      <w:r>
        <w:rPr>
          <w:rFonts w:hint="eastAsia" w:ascii="Times New Roman" w:hAnsi="Times New Roman" w:eastAsia="方正仿宋_GBK" w:cs="Times New Roman"/>
          <w:color w:val="000000"/>
          <w:sz w:val="28"/>
        </w:rPr>
        <w:t>万元，其中：一般公共预算</w:t>
      </w:r>
      <w:r>
        <w:rPr>
          <w:rFonts w:hint="eastAsia" w:ascii="Times New Roman" w:hAnsi="Times New Roman" w:eastAsia="方正仿宋_GBK" w:cs="Times New Roman"/>
          <w:color w:val="000000"/>
          <w:sz w:val="28"/>
          <w:lang w:eastAsia="zh-CN"/>
        </w:rPr>
        <w:t>收入</w:t>
      </w:r>
      <w:r>
        <w:rPr>
          <w:rFonts w:hint="eastAsia" w:ascii="Times New Roman" w:hAnsi="Times New Roman" w:eastAsia="方正仿宋_GBK" w:cs="Times New Roman"/>
          <w:color w:val="000000"/>
          <w:sz w:val="28"/>
          <w:lang w:val="en-US" w:eastAsia="zh-CN"/>
        </w:rPr>
        <w:t>3252.13</w:t>
      </w:r>
      <w:r>
        <w:rPr>
          <w:rFonts w:hint="eastAsia" w:ascii="Times New Roman" w:hAnsi="Times New Roman" w:eastAsia="方正仿宋_GBK" w:cs="Times New Roman"/>
          <w:color w:val="000000"/>
          <w:sz w:val="28"/>
        </w:rPr>
        <w:t>万元，基金预算</w:t>
      </w:r>
      <w:r>
        <w:rPr>
          <w:rFonts w:hint="eastAsia" w:ascii="Times New Roman" w:hAnsi="Times New Roman" w:eastAsia="方正仿宋_GBK" w:cs="Times New Roman"/>
          <w:color w:val="000000"/>
          <w:sz w:val="28"/>
          <w:lang w:eastAsia="zh-CN"/>
        </w:rPr>
        <w:t>收入</w:t>
      </w:r>
      <w:r>
        <w:rPr>
          <w:rFonts w:hint="eastAsia" w:ascii="Times New Roman" w:hAnsi="Times New Roman" w:eastAsia="方正仿宋_GBK" w:cs="Times New Roman"/>
          <w:color w:val="000000"/>
          <w:sz w:val="28"/>
          <w:lang w:val="en-US" w:eastAsia="zh-CN"/>
        </w:rPr>
        <w:t>1140.95</w:t>
      </w:r>
      <w:r>
        <w:rPr>
          <w:rFonts w:hint="eastAsia" w:ascii="Times New Roman" w:hAnsi="Times New Roman" w:eastAsia="方正仿宋_GBK" w:cs="Times New Roman"/>
          <w:color w:val="000000"/>
          <w:sz w:val="28"/>
        </w:rPr>
        <w:t>万元，财政专户核拨</w:t>
      </w:r>
      <w:r>
        <w:rPr>
          <w:rFonts w:hint="eastAsia" w:ascii="Times New Roman" w:hAnsi="Times New Roman" w:eastAsia="方正仿宋_GBK" w:cs="Times New Roman"/>
          <w:color w:val="000000"/>
          <w:sz w:val="28"/>
          <w:lang w:eastAsia="zh-CN"/>
        </w:rPr>
        <w:t>收入</w:t>
      </w:r>
      <w:r>
        <w:rPr>
          <w:rFonts w:hint="eastAsia" w:ascii="Times New Roman" w:hAnsi="Times New Roman" w:eastAsia="方正仿宋_GBK" w:cs="Times New Roman"/>
          <w:color w:val="000000"/>
          <w:sz w:val="28"/>
        </w:rPr>
        <w:t>0万元，其他来源收入0万元</w:t>
      </w:r>
      <w:r>
        <w:rPr>
          <w:rFonts w:hint="eastAsia" w:ascii="Times New Roman" w:hAnsi="Times New Roman" w:eastAsia="方正仿宋_GBK" w:cs="Times New Roman"/>
          <w:color w:val="000000"/>
          <w:sz w:val="28"/>
          <w:lang w:eastAsia="zh-CN"/>
        </w:rPr>
        <w:t>，财政拨款结转</w:t>
      </w:r>
      <w:r>
        <w:rPr>
          <w:rFonts w:hint="eastAsia" w:ascii="Times New Roman" w:hAnsi="Times New Roman" w:eastAsia="方正仿宋_GBK" w:cs="Times New Roman"/>
          <w:color w:val="000000"/>
          <w:sz w:val="28"/>
          <w:lang w:val="en-US" w:eastAsia="zh-CN"/>
        </w:rPr>
        <w:t>191.41万元。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w:t>
      </w:r>
      <w:r>
        <w:rPr>
          <w:rFonts w:hint="eastAsia" w:ascii="Times New Roman" w:hAnsi="Times New Roman" w:eastAsia="方正仿宋_GBK" w:cs="Times New Roman"/>
          <w:color w:val="000000"/>
          <w:sz w:val="28"/>
          <w:lang w:eastAsia="zh-CN"/>
        </w:rPr>
        <w:t>本部门</w:t>
      </w:r>
      <w:r>
        <w:rPr>
          <w:rFonts w:hint="eastAsia" w:ascii="Times New Roman" w:hAnsi="Times New Roman" w:eastAsia="方正仿宋_GBK" w:cs="Times New Roman"/>
          <w:color w:val="000000"/>
          <w:sz w:val="28"/>
        </w:rPr>
        <w:t>预算中支出预算的总体情况。</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年部门支出预算为</w:t>
      </w:r>
      <w:r>
        <w:rPr>
          <w:rFonts w:hint="eastAsia" w:ascii="Times New Roman" w:hAnsi="Times New Roman" w:eastAsia="方正仿宋_GBK" w:cs="Times New Roman"/>
          <w:color w:val="000000"/>
          <w:sz w:val="28"/>
          <w:lang w:val="en-US" w:eastAsia="zh-CN"/>
        </w:rPr>
        <w:t>4584.49</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533.71</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499.05</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34.66</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4050.78</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val="en-US" w:eastAsia="zh-CN"/>
        </w:rPr>
        <w:t>动物卫生监督所经费746万元，农产品质量安全及疫病防治专项资金61.19万元，病死畜禽集中无害化处理补助资金41万元，2018-2019年畜禽粪污资源化利用资金1440.95万元，2019、2020年生猪调出大县奖励资金580万元，2022年中央动物防疫补助经费144.27万元，2022年生猪调出大县奖励资金406万元，2022年省级农产品质量安全及疫病防治资金64.72万元，2022年省级农业生产发展资金349.28万元。</w:t>
      </w:r>
      <w:r>
        <w:rPr>
          <w:rFonts w:hint="eastAsia" w:ascii="Times New Roman" w:hAnsi="Times New Roman" w:eastAsia="方正仿宋_GBK" w:cs="Times New Roman"/>
          <w:color w:val="000000"/>
          <w:sz w:val="28"/>
        </w:rPr>
        <w:t>其他支出0万元。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pPr>
        <w:keepNext w:val="0"/>
        <w:keepLines w:val="0"/>
        <w:pageBreakBefore w:val="0"/>
        <w:widowControl/>
        <w:kinsoku/>
        <w:wordWrap/>
        <w:overflowPunct/>
        <w:topLinePunct w:val="0"/>
        <w:autoSpaceDE/>
        <w:autoSpaceDN/>
        <w:bidi w:val="0"/>
        <w:adjustRightInd/>
        <w:snapToGrid/>
        <w:spacing w:line="500" w:lineRule="exact"/>
        <w:ind w:firstLine="641"/>
        <w:textAlignment w:val="auto"/>
        <w:rPr>
          <w:rFonts w:hint="default" w:ascii="Times New Roman" w:hAnsi="Times New Roman" w:eastAsia="仿宋" w:cs="Times New Roman"/>
          <w:sz w:val="32"/>
          <w:szCs w:val="32"/>
          <w:lang w:val="en-US" w:eastAsia="zh-CN"/>
        </w:rPr>
      </w:pPr>
      <w:r>
        <w:rPr>
          <w:rFonts w:hint="eastAsia" w:ascii="Times New Roman" w:hAnsi="Times New Roman" w:eastAsia="方正仿宋_GBK" w:cs="Times New Roman"/>
          <w:sz w:val="28"/>
          <w:szCs w:val="24"/>
          <w:lang w:val="en-US" w:eastAsia="zh-CN" w:bidi="ar-SA"/>
        </w:rPr>
        <w:t>2022</w:t>
      </w:r>
      <w:r>
        <w:rPr>
          <w:rFonts w:hint="eastAsia" w:ascii="Times New Roman" w:hAnsi="Times New Roman" w:eastAsia="方正仿宋_GBK" w:cs="Times New Roman"/>
          <w:sz w:val="28"/>
          <w:szCs w:val="24"/>
          <w:lang w:val="en-US" w:eastAsia="uk-UA" w:bidi="ar-SA"/>
        </w:rPr>
        <w:t>年部门预算收支安排</w:t>
      </w:r>
      <w:r>
        <w:rPr>
          <w:rFonts w:hint="eastAsia" w:ascii="Times New Roman" w:hAnsi="Times New Roman" w:eastAsia="方正仿宋_GBK" w:cs="Times New Roman"/>
          <w:sz w:val="28"/>
          <w:szCs w:val="24"/>
          <w:lang w:val="en-US" w:eastAsia="zh-CN" w:bidi="ar-SA"/>
        </w:rPr>
        <w:t>4584.49</w:t>
      </w:r>
      <w:r>
        <w:rPr>
          <w:rFonts w:hint="eastAsia" w:ascii="Times New Roman" w:hAnsi="Times New Roman" w:eastAsia="方正仿宋_GBK" w:cs="Times New Roman"/>
          <w:sz w:val="28"/>
          <w:szCs w:val="24"/>
          <w:lang w:val="en-US" w:eastAsia="uk-UA" w:bidi="ar-SA"/>
        </w:rPr>
        <w:t>万元，较</w:t>
      </w:r>
      <w:r>
        <w:rPr>
          <w:rFonts w:hint="eastAsia" w:ascii="Times New Roman" w:hAnsi="Times New Roman" w:eastAsia="方正仿宋_GBK" w:cs="Times New Roman"/>
          <w:sz w:val="28"/>
          <w:szCs w:val="24"/>
          <w:lang w:val="en-US" w:eastAsia="zh-CN" w:bidi="ar-SA"/>
        </w:rPr>
        <w:t>2021</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增加1682.65</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增加64.43</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增加，相应增加</w:t>
      </w:r>
      <w:r>
        <w:rPr>
          <w:rFonts w:hint="eastAsia" w:ascii="Times New Roman" w:hAnsi="Times New Roman" w:eastAsia="方正仿宋_GBK" w:cs="Times New Roman"/>
          <w:sz w:val="28"/>
          <w:szCs w:val="24"/>
          <w:lang w:val="en-US" w:eastAsia="uk-UA" w:bidi="ar-SA"/>
        </w:rPr>
        <w:t>人员经费</w:t>
      </w:r>
      <w:r>
        <w:rPr>
          <w:rFonts w:hint="eastAsia" w:ascii="Times New Roman" w:hAnsi="Times New Roman" w:eastAsia="方正仿宋_GBK" w:cs="Times New Roman"/>
          <w:sz w:val="28"/>
          <w:szCs w:val="24"/>
          <w:lang w:val="en-US" w:eastAsia="zh-CN" w:bidi="ar-SA"/>
        </w:rPr>
        <w:t>和日常公用经费</w:t>
      </w:r>
      <w:r>
        <w:rPr>
          <w:rFonts w:hint="eastAsia" w:ascii="Times New Roman" w:hAnsi="Times New Roman" w:eastAsia="方正仿宋_GBK" w:cs="Times New Roman"/>
          <w:sz w:val="28"/>
          <w:szCs w:val="24"/>
          <w:lang w:val="en-US" w:eastAsia="uk-UA" w:bidi="ar-SA"/>
        </w:rPr>
        <w:t>；项目支出</w:t>
      </w:r>
      <w:r>
        <w:rPr>
          <w:rFonts w:hint="eastAsia" w:ascii="Times New Roman" w:hAnsi="Times New Roman" w:eastAsia="方正仿宋_GBK" w:cs="Times New Roman"/>
          <w:sz w:val="28"/>
          <w:szCs w:val="24"/>
          <w:lang w:val="en-US" w:eastAsia="zh-CN" w:bidi="ar-SA"/>
        </w:rPr>
        <w:t>增加1618.22</w:t>
      </w:r>
      <w:r>
        <w:rPr>
          <w:rFonts w:hint="eastAsia" w:ascii="Times New Roman" w:hAnsi="Times New Roman" w:eastAsia="方正仿宋_GBK" w:cs="Times New Roman"/>
          <w:sz w:val="28"/>
          <w:szCs w:val="24"/>
          <w:lang w:val="en-US" w:eastAsia="uk-UA" w:bidi="ar-SA"/>
        </w:rPr>
        <w:t>万元，主要是</w:t>
      </w:r>
      <w:r>
        <w:rPr>
          <w:rFonts w:hint="eastAsia" w:ascii="Times New Roman" w:hAnsi="Times New Roman" w:eastAsia="方正仿宋_GBK" w:cs="Times New Roman"/>
          <w:sz w:val="28"/>
          <w:szCs w:val="24"/>
          <w:lang w:val="en-US" w:eastAsia="zh-CN" w:bidi="ar-SA"/>
        </w:rPr>
        <w:t>2022年本级畜禽粪污资源化利用资金增加1240.95万元、2019年生猪调出大县奖励资金400万元、财政拨款结转资金列入本年预算</w:t>
      </w:r>
      <w:r>
        <w:rPr>
          <w:rFonts w:hint="eastAsia" w:ascii="Times New Roman" w:hAnsi="Times New Roman" w:eastAsia="方正仿宋_GBK" w:cs="Times New Roman"/>
          <w:sz w:val="28"/>
          <w:szCs w:val="24"/>
          <w:lang w:val="en-US" w:eastAsia="uk-UA" w:bidi="ar-SA"/>
        </w:rPr>
        <w:t>；其他支出无增减变化。</w:t>
      </w:r>
    </w:p>
    <w:p>
      <w:pPr>
        <w:keepNext w:val="0"/>
        <w:keepLines w:val="0"/>
        <w:pageBreakBefore w:val="0"/>
        <w:widowControl/>
        <w:kinsoku/>
        <w:wordWrap/>
        <w:overflowPunct/>
        <w:topLinePunct w:val="0"/>
        <w:bidi w:val="0"/>
        <w:snapToGrid/>
        <w:spacing w:before="10" w:after="10"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keepNext w:val="0"/>
        <w:keepLines w:val="0"/>
        <w:pageBreakBefore w:val="0"/>
        <w:widowControl/>
        <w:kinsoku/>
        <w:wordWrap/>
        <w:overflowPunct/>
        <w:topLinePunct w:val="0"/>
        <w:autoSpaceDE/>
        <w:autoSpaceDN/>
        <w:bidi w:val="0"/>
        <w:adjustRightInd/>
        <w:snapToGrid/>
        <w:ind w:firstLine="560" w:firstLineChars="200"/>
        <w:jc w:val="left"/>
        <w:textAlignment w:val="auto"/>
        <w:rPr>
          <w:rFonts w:hint="eastAsia" w:ascii="Times New Roman" w:hAnsi="Times New Roman" w:eastAsia="方正仿宋_GBK" w:cs="Times New Roman"/>
          <w:sz w:val="28"/>
          <w:szCs w:val="28"/>
          <w:lang w:val="en-US" w:eastAsia="uk-UA" w:bidi="ar-SA"/>
        </w:rPr>
      </w:pPr>
      <w:r>
        <w:rPr>
          <w:rFonts w:hint="eastAsia" w:ascii="Times New Roman" w:hAnsi="Times New Roman" w:eastAsia="方正仿宋_GBK" w:cs="Times New Roman"/>
          <w:sz w:val="28"/>
          <w:szCs w:val="28"/>
          <w:lang w:val="en-US" w:eastAsia="zh-CN" w:bidi="ar-SA"/>
        </w:rPr>
        <w:t>2022</w:t>
      </w:r>
      <w:r>
        <w:rPr>
          <w:rFonts w:hint="eastAsia" w:ascii="Times New Roman" w:hAnsi="Times New Roman" w:eastAsia="方正仿宋_GBK" w:cs="Times New Roman"/>
          <w:sz w:val="28"/>
          <w:szCs w:val="28"/>
          <w:lang w:val="en-US" w:eastAsia="uk-UA" w:bidi="ar-SA"/>
        </w:rPr>
        <w:t>年，</w:t>
      </w:r>
      <w:r>
        <w:rPr>
          <w:rFonts w:hint="eastAsia" w:ascii="Times New Roman" w:hAnsi="Times New Roman" w:eastAsia="方正仿宋_GBK" w:cs="Times New Roman"/>
          <w:sz w:val="28"/>
          <w:szCs w:val="28"/>
          <w:lang w:val="en-US" w:eastAsia="zh-CN" w:bidi="ar-SA"/>
        </w:rPr>
        <w:t>我部门机关运行经</w:t>
      </w:r>
      <w:r>
        <w:rPr>
          <w:rFonts w:hint="eastAsia" w:asciiTheme="minorEastAsia" w:hAnsiTheme="minorEastAsia" w:eastAsiaTheme="minorEastAsia" w:cstheme="minorEastAsia"/>
          <w:sz w:val="28"/>
          <w:szCs w:val="28"/>
        </w:rPr>
        <w:t>费共</w:t>
      </w:r>
      <w:r>
        <w:rPr>
          <w:rFonts w:hint="eastAsia" w:ascii="Times New Roman" w:hAnsi="Times New Roman" w:eastAsia="方正仿宋_GBK" w:cs="Times New Roman"/>
          <w:sz w:val="28"/>
          <w:szCs w:val="28"/>
          <w:lang w:val="en-US" w:eastAsia="zh-CN" w:bidi="ar-SA"/>
        </w:rPr>
        <w:t>计安排</w:t>
      </w:r>
      <w:r>
        <w:rPr>
          <w:rFonts w:hint="eastAsia" w:eastAsia="方正仿宋_GBK" w:cs="Times New Roman"/>
          <w:sz w:val="28"/>
          <w:szCs w:val="28"/>
          <w:lang w:val="en-US" w:eastAsia="zh-CN" w:bidi="ar-SA"/>
        </w:rPr>
        <w:t>34.66</w:t>
      </w:r>
      <w:r>
        <w:rPr>
          <w:rFonts w:hint="eastAsia" w:ascii="Times New Roman" w:hAnsi="Times New Roman" w:eastAsia="方正仿宋_GBK" w:cs="Times New Roman"/>
          <w:sz w:val="28"/>
          <w:szCs w:val="28"/>
          <w:lang w:val="en-US" w:eastAsia="zh-CN" w:bidi="ar-SA"/>
        </w:rPr>
        <w:t>万元，主要用于保证机关正常运转的办公及印刷费、邮电费、差旅费、维修费、工会费、福利费、办公设备购置等支出。</w:t>
      </w:r>
    </w:p>
    <w:p>
      <w:pPr>
        <w:keepNext w:val="0"/>
        <w:keepLines w:val="0"/>
        <w:pageBreakBefore w:val="0"/>
        <w:widowControl/>
        <w:kinsoku/>
        <w:wordWrap/>
        <w:overflowPunct/>
        <w:topLinePunct w:val="0"/>
        <w:bidi w:val="0"/>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val="0"/>
        <w:autoSpaceDN w:val="0"/>
        <w:bidi w:val="0"/>
        <w:adjustRightInd w:val="0"/>
        <w:snapToGrid/>
        <w:spacing w:line="500" w:lineRule="exact"/>
        <w:ind w:left="198" w:firstLine="560" w:firstLineChars="200"/>
        <w:jc w:val="left"/>
        <w:textAlignment w:val="auto"/>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2022</w:t>
      </w:r>
      <w:r>
        <w:rPr>
          <w:rFonts w:hint="eastAsia" w:ascii="Times New Roman" w:hAnsi="Times New Roman" w:eastAsia="方正仿宋_GBK" w:cs="Times New Roman"/>
          <w:sz w:val="28"/>
          <w:szCs w:val="24"/>
          <w:lang w:val="en-US" w:eastAsia="uk-UA" w:bidi="ar-SA"/>
        </w:rPr>
        <w:t>年，我部门财政拨款“三公”经费预算安排</w:t>
      </w:r>
      <w:r>
        <w:rPr>
          <w:rFonts w:hint="eastAsia" w:ascii="Times New Roman" w:hAnsi="Times New Roman" w:eastAsia="方正仿宋_GBK" w:cs="Times New Roman"/>
          <w:sz w:val="28"/>
          <w:szCs w:val="24"/>
          <w:lang w:val="en-US" w:eastAsia="zh-CN" w:bidi="ar-SA"/>
        </w:rPr>
        <w:t>6.6</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6.6</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6.6</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万元。“三公”经费</w:t>
      </w:r>
      <w:r>
        <w:rPr>
          <w:rFonts w:hint="eastAsia" w:ascii="Times New Roman" w:hAnsi="Times New Roman" w:eastAsia="方正仿宋_GBK" w:cs="Times New Roman"/>
          <w:sz w:val="28"/>
          <w:szCs w:val="24"/>
          <w:lang w:val="en-US" w:eastAsia="zh-CN" w:bidi="ar-SA"/>
        </w:rPr>
        <w:t>与上年持平，</w:t>
      </w:r>
      <w:r>
        <w:rPr>
          <w:rFonts w:hint="eastAsia" w:ascii="Times New Roman" w:hAnsi="Times New Roman" w:eastAsia="方正仿宋_GBK" w:cs="Times New Roman"/>
          <w:sz w:val="28"/>
          <w:szCs w:val="24"/>
          <w:lang w:val="en-US" w:eastAsia="uk-UA" w:bidi="ar-SA"/>
        </w:rPr>
        <w:t>无增减变化</w:t>
      </w:r>
      <w:r>
        <w:rPr>
          <w:rFonts w:hint="eastAsia" w:ascii="Times New Roman" w:hAnsi="Times New Roman" w:eastAsia="方正仿宋_GBK" w:cs="Times New Roman"/>
          <w:sz w:val="28"/>
          <w:szCs w:val="24"/>
          <w:lang w:val="en-US" w:eastAsia="zh-CN" w:bidi="ar-S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keepNext w:val="0"/>
        <w:keepLines w:val="0"/>
        <w:pageBreakBefore w:val="0"/>
        <w:widowControl/>
        <w:kinsoku/>
        <w:wordWrap/>
        <w:overflowPunct/>
        <w:topLinePunct w:val="0"/>
        <w:autoSpaceDE/>
        <w:autoSpaceDN/>
        <w:bidi w:val="0"/>
        <w:adjustRightInd/>
        <w:snapToGrid/>
        <w:ind w:firstLine="561"/>
        <w:textAlignment w:val="auto"/>
      </w:pPr>
      <w:r>
        <w:t>坚持以习近平新时代中国特色社会主义思想为指导，全面贯彻落实中央和省、市“三农”工作决策部署，突出讲政治、谋发展、促和谐，以实施乡村振兴战略为抓手，推进畜牧业供给侧结构性改革，以实现畜牧业现代化为目标，着力在实施畜牧产业集群发展、畜牧业资源化利用和绿色生产发展、建立健全畜牧业科技服务、畜牧业投入品监督管理等四项重点工作上求突破，实施科学管理,促进畜牧业资源化利用，提升畜牧业综合生产能力和动物疫病防控水平，发展生态畜牧业，确保畜产品安全，打造可持续发展和绿色畜牧业强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1、着力推进畜牧优势产业发展。</w:t>
      </w:r>
    </w:p>
    <w:p>
      <w:pPr>
        <w:pStyle w:val="26"/>
      </w:pPr>
      <w:r>
        <w:t>绩效目标：抓好标准化规模养殖场建设，做好奶业、生猪、蛋鸡三大优势产业发展，</w:t>
      </w:r>
      <w:r>
        <w:tab/>
      </w:r>
      <w:r>
        <w:t>保障畜产品市场供应。</w:t>
      </w:r>
    </w:p>
    <w:p>
      <w:pPr>
        <w:pStyle w:val="26"/>
      </w:pPr>
      <w:r>
        <w:t>绩效指标：到2022年底，肉蛋奶总产达到23.5万吨以上。</w:t>
      </w:r>
    </w:p>
    <w:p>
      <w:pPr>
        <w:pStyle w:val="26"/>
      </w:pPr>
      <w:r>
        <w:t>2、做好动物卫生监管和检疫工作。</w:t>
      </w:r>
    </w:p>
    <w:p>
      <w:pPr>
        <w:pStyle w:val="26"/>
      </w:pPr>
      <w:r>
        <w:t>绩效目标：严格规范开展各项检疫工作，加强养殖与屠宰环节的监管、做好病死畜禽集中无害化处理监管工作</w:t>
      </w:r>
    </w:p>
    <w:p>
      <w:pPr>
        <w:pStyle w:val="26"/>
      </w:pPr>
      <w:r>
        <w:t>绩效指标：申报检疫率达到100%；养殖与屠宰环节集中收集的病死畜禽无害化处理率达到100%</w:t>
      </w:r>
    </w:p>
    <w:p>
      <w:pPr>
        <w:pStyle w:val="26"/>
      </w:pPr>
      <w:r>
        <w:t>3、做好重大动物疫病防控</w:t>
      </w:r>
    </w:p>
    <w:p>
      <w:pPr>
        <w:pStyle w:val="26"/>
      </w:pPr>
      <w:r>
        <w:t>绩效目标：一做好全区春、秋季重大动物疫病防控工作。二扎实做好主要动物疫病监测和流行病学调查工作。三抓实抓细防控非洲猪瘟关键措施。四是扎实推进政府购买动物防疫社会化服务，提升重大动物疫病防控工作能力和水平。</w:t>
      </w:r>
    </w:p>
    <w:p>
      <w:pPr>
        <w:pStyle w:val="26"/>
      </w:pPr>
      <w:r>
        <w:t>绩效指标：免疫抗体合格率70%以上，检测试剂使用率达到100%，监测不合格养殖场补免率达到百分之百 ，辖区重大动物疫情情况稳定。</w:t>
      </w:r>
    </w:p>
    <w:p>
      <w:pPr>
        <w:pStyle w:val="26"/>
      </w:pPr>
      <w:r>
        <w:t>4、加强畜牧业质量安全监督管理</w:t>
      </w:r>
    </w:p>
    <w:p>
      <w:pPr>
        <w:pStyle w:val="26"/>
      </w:pPr>
      <w:r>
        <w:t>绩效目标：开展畜产品质量安全监管工作，加大对生鲜乳、饲料、兽药、鸡蛋等监测力度，保障全区主要畜产品质量安全。</w:t>
      </w:r>
    </w:p>
    <w:p>
      <w:pPr>
        <w:pStyle w:val="26"/>
      </w:pPr>
      <w:r>
        <w:t>绩效指标：对牧渔产品及投入品进行检测的检测试剂使用率达到100%，牧渔产品质量检测准确率达到100%，提高“瘦肉精”监管水平，保证畜产品质量安全。</w:t>
      </w:r>
    </w:p>
    <w:p>
      <w:pPr>
        <w:pStyle w:val="26"/>
      </w:pPr>
      <w:r>
        <w:t>5、做好项目争引、实施及监督管理工作</w:t>
      </w:r>
    </w:p>
    <w:p>
      <w:pPr>
        <w:pStyle w:val="26"/>
      </w:pPr>
      <w:r>
        <w:t>绩效目标：落实生猪、奶牛、蛋鸡产业发展、畜禽良补、畜禽粪污资源化利用等项目。</w:t>
      </w:r>
    </w:p>
    <w:p>
      <w:pPr>
        <w:pStyle w:val="26"/>
      </w:pPr>
      <w:r>
        <w:t>绩效指标：支持新建、扩建生猪规模养殖场2个，支持规模奶牛场扩建3个以上，蛋鸡集群项目规模化养殖场提高养殖量3%，建设畜禽粪污资源化利用示范养殖场2个。</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1、提高站位，加强党的领导，增强发展意识，聚焦重点工作任务，确保圆满完成年度工作目标。</w:t>
      </w:r>
    </w:p>
    <w:p>
      <w:pPr>
        <w:pStyle w:val="27"/>
      </w:pPr>
      <w:r>
        <w:t>2、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pPr>
        <w:pStyle w:val="27"/>
      </w:pPr>
      <w:r>
        <w:t>3、加强支出管理。按照“谁花钱、谁负责、谁举证”的原则，明确各科室预算项目管理职责，按规定及时支付资金，确保支出进度达标。</w:t>
      </w:r>
    </w:p>
    <w:p>
      <w:pPr>
        <w:pStyle w:val="27"/>
      </w:pPr>
      <w:r>
        <w:t>4、加强绩效监控。按要求开展绩效运行监控，全程跟踪预算执行进度，对执行过程中发现的问题及时反馈，制定切实可行举措，保障绩效目标按期高质量完成。</w:t>
      </w:r>
    </w:p>
    <w:p>
      <w:pPr>
        <w:pStyle w:val="27"/>
      </w:pPr>
      <w:r>
        <w:t>5、做好绩效自评。按要求开展上年度部门预算绩效自评和重点评价工作，对评价中发现的问题及时整改，调整优化支出结构，提高财政资金使用效益。</w:t>
      </w:r>
    </w:p>
    <w:p>
      <w:pPr>
        <w:pStyle w:val="27"/>
      </w:pPr>
      <w:r>
        <w:t>6、规范财务资产管理。加强完善财务管理制度，严格审批程序，加强固定资产登记、使用和报废处置管理，做到物尽其用。</w:t>
      </w:r>
    </w:p>
    <w:p>
      <w:pPr>
        <w:pStyle w:val="27"/>
      </w:pPr>
      <w:r>
        <w:t>7、加强内部监督。加强内部监督制度建设，对绩效运行情况、重大支出决策、对外投资、资产处置及其他重要经济业务事项的决策和执行进行督导，对会计资料进行内部审计，并配合做好审计，确保财政资金使用效益，确保财政资金安全有效。</w:t>
      </w:r>
    </w:p>
    <w:p>
      <w:pPr>
        <w:pStyle w:val="27"/>
      </w:pPr>
      <w:r>
        <w:t>8、加强宣传培训。加强畜牧业专业人员业务技能培训工作，提高干部队伍专业素质。加大宣传力度，强化各科室预算绩效管理意识，促进预算绩效管理水平进一步提升。</w:t>
      </w:r>
    </w:p>
    <w:p>
      <w:pPr>
        <w:pStyle w:val="28"/>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8"/>
        <w:spacing w:before="0" w:after="0"/>
        <w:ind w:firstLine="560"/>
        <w:jc w:val="left"/>
        <w:outlineLvl w:val="9"/>
      </w:pPr>
      <w:r>
        <w:rPr>
          <w:rFonts w:ascii="方正仿宋_GBK" w:hAnsi="方正仿宋_GBK" w:eastAsia="方正仿宋_GBK" w:cs="方正仿宋_GBK"/>
          <w:b/>
          <w:color w:val="000000"/>
          <w:sz w:val="28"/>
        </w:rPr>
        <w:t>1、动物卫生监督所人员工资及补助经费绩效目标表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1.保障人员工资福利等支出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保障人数</w:t>
            </w:r>
          </w:p>
        </w:tc>
        <w:tc>
          <w:tcPr>
            <w:tcW w:w="2466" w:type="dxa"/>
            <w:vAlign w:val="center"/>
          </w:tcPr>
          <w:p>
            <w:pPr>
              <w:pStyle w:val="30"/>
            </w:pPr>
            <w:r>
              <w:t>保障人数</w:t>
            </w:r>
          </w:p>
        </w:tc>
        <w:tc>
          <w:tcPr>
            <w:tcW w:w="2466" w:type="dxa"/>
            <w:vAlign w:val="center"/>
          </w:tcPr>
          <w:p>
            <w:pPr>
              <w:pStyle w:val="30"/>
            </w:pPr>
            <w:r>
              <w:t>56人</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工资（福利）等发放精准性</w:t>
            </w:r>
          </w:p>
        </w:tc>
        <w:tc>
          <w:tcPr>
            <w:tcW w:w="2466" w:type="dxa"/>
            <w:vAlign w:val="center"/>
          </w:tcPr>
          <w:p>
            <w:pPr>
              <w:pStyle w:val="30"/>
            </w:pPr>
            <w:r>
              <w:t>工资福利等发放人员范围的精准性和发放数据的准确性</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≤746万元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任务完成及时率</w:t>
            </w:r>
          </w:p>
        </w:tc>
        <w:tc>
          <w:tcPr>
            <w:tcW w:w="2466" w:type="dxa"/>
            <w:vAlign w:val="center"/>
          </w:tcPr>
          <w:p>
            <w:pPr>
              <w:pStyle w:val="30"/>
            </w:pPr>
            <w:r>
              <w:t>任务完成及时</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加强工作人员归属感保持干部稳定</w:t>
            </w:r>
          </w:p>
        </w:tc>
        <w:tc>
          <w:tcPr>
            <w:tcW w:w="2466" w:type="dxa"/>
            <w:vAlign w:val="center"/>
          </w:tcPr>
          <w:p>
            <w:pPr>
              <w:pStyle w:val="30"/>
            </w:pPr>
            <w:r>
              <w:t>通过按时按标准发放工资福利等，进一步增强干部职工得归属感，保持干部队伍相对稳定，保障办公正常运转</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单位人员满意度</w:t>
            </w:r>
          </w:p>
        </w:tc>
        <w:tc>
          <w:tcPr>
            <w:tcW w:w="2466" w:type="dxa"/>
            <w:vAlign w:val="center"/>
          </w:tcPr>
          <w:p>
            <w:pPr>
              <w:pStyle w:val="30"/>
            </w:pPr>
            <w:r>
              <w:t>单位人员对工资福利等发放工作的满意程度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2、畜牧综合事务管理绩效目标表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1.及时收取租金后按预算支出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收入金额</w:t>
            </w:r>
          </w:p>
        </w:tc>
        <w:tc>
          <w:tcPr>
            <w:tcW w:w="2466" w:type="dxa"/>
            <w:vAlign w:val="center"/>
          </w:tcPr>
          <w:p>
            <w:pPr>
              <w:pStyle w:val="30"/>
            </w:pPr>
            <w:r>
              <w:t>租金收到的实际金额</w:t>
            </w:r>
          </w:p>
        </w:tc>
        <w:tc>
          <w:tcPr>
            <w:tcW w:w="2466" w:type="dxa"/>
            <w:vAlign w:val="center"/>
          </w:tcPr>
          <w:p>
            <w:pPr>
              <w:pStyle w:val="30"/>
            </w:pPr>
            <w:r>
              <w:t>≤17万元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合同履行率</w:t>
            </w:r>
          </w:p>
        </w:tc>
        <w:tc>
          <w:tcPr>
            <w:tcW w:w="2466" w:type="dxa"/>
            <w:vAlign w:val="center"/>
          </w:tcPr>
          <w:p>
            <w:pPr>
              <w:pStyle w:val="30"/>
            </w:pPr>
            <w:r>
              <w:t>租赁合同的条款全部履行</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任务完成及时率</w:t>
            </w:r>
          </w:p>
        </w:tc>
        <w:tc>
          <w:tcPr>
            <w:tcW w:w="2466" w:type="dxa"/>
            <w:vAlign w:val="center"/>
          </w:tcPr>
          <w:p>
            <w:pPr>
              <w:pStyle w:val="30"/>
            </w:pPr>
            <w:r>
              <w:t>工作目标完成及时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公共服务水平提升情况</w:t>
            </w:r>
          </w:p>
        </w:tc>
        <w:tc>
          <w:tcPr>
            <w:tcW w:w="2466" w:type="dxa"/>
            <w:vAlign w:val="center"/>
          </w:tcPr>
          <w:p>
            <w:pPr>
              <w:pStyle w:val="30"/>
            </w:pPr>
            <w:r>
              <w:t>公共服务水平的提升情况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资金使用涉及的服务对象满意度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3、2018-2019年畜禽粪污资源化利用资金绩效目标表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1.支持不超过19家养殖场建设粪污设施，规模养殖场粪污处理设施配建率100%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项目养殖场完成数</w:t>
            </w:r>
          </w:p>
        </w:tc>
        <w:tc>
          <w:tcPr>
            <w:tcW w:w="2466" w:type="dxa"/>
            <w:vAlign w:val="center"/>
          </w:tcPr>
          <w:p>
            <w:pPr>
              <w:pStyle w:val="30"/>
            </w:pPr>
            <w:r>
              <w:t>粪污处理利用设施建设养殖场数量</w:t>
            </w:r>
          </w:p>
        </w:tc>
        <w:tc>
          <w:tcPr>
            <w:tcW w:w="2466" w:type="dxa"/>
            <w:vAlign w:val="center"/>
          </w:tcPr>
          <w:p>
            <w:pPr>
              <w:pStyle w:val="30"/>
            </w:pPr>
            <w:r>
              <w:t>≤19个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项目控制数</w:t>
            </w:r>
          </w:p>
        </w:tc>
        <w:tc>
          <w:tcPr>
            <w:tcW w:w="2466" w:type="dxa"/>
            <w:vAlign w:val="center"/>
          </w:tcPr>
          <w:p>
            <w:pPr>
              <w:pStyle w:val="30"/>
            </w:pPr>
            <w:r>
              <w:t>≤300万元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生态效益指标</w:t>
            </w:r>
          </w:p>
        </w:tc>
        <w:tc>
          <w:tcPr>
            <w:tcW w:w="2466" w:type="dxa"/>
            <w:vAlign w:val="center"/>
          </w:tcPr>
          <w:p>
            <w:pPr>
              <w:pStyle w:val="30"/>
            </w:pPr>
            <w:r>
              <w:t>基本解决畜禽规模养殖污染</w:t>
            </w:r>
          </w:p>
        </w:tc>
        <w:tc>
          <w:tcPr>
            <w:tcW w:w="2466" w:type="dxa"/>
            <w:vAlign w:val="center"/>
          </w:tcPr>
          <w:p>
            <w:pPr>
              <w:pStyle w:val="30"/>
            </w:pPr>
            <w:r>
              <w:t>有效解决实施项目的规模养殖场环境污染</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受益企业满意度</w:t>
            </w:r>
          </w:p>
        </w:tc>
        <w:tc>
          <w:tcPr>
            <w:tcW w:w="2466" w:type="dxa"/>
            <w:vAlign w:val="center"/>
          </w:tcPr>
          <w:p>
            <w:pPr>
              <w:pStyle w:val="30"/>
            </w:pPr>
            <w:r>
              <w:t>受益养殖场、企业满意度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4、2018-2019年畜禽粪污资源化利用资金（基金）绩效目标表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1.支持不超过22家养殖场建设粪污设施，规模养殖场粪污处理设施配建率100%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项目养殖场完成数</w:t>
            </w:r>
          </w:p>
        </w:tc>
        <w:tc>
          <w:tcPr>
            <w:tcW w:w="2466" w:type="dxa"/>
            <w:vAlign w:val="center"/>
          </w:tcPr>
          <w:p>
            <w:pPr>
              <w:pStyle w:val="30"/>
            </w:pPr>
            <w:r>
              <w:t>粪污处理利用设施建设养殖场数量</w:t>
            </w:r>
          </w:p>
        </w:tc>
        <w:tc>
          <w:tcPr>
            <w:tcW w:w="2466" w:type="dxa"/>
            <w:vAlign w:val="center"/>
          </w:tcPr>
          <w:p>
            <w:pPr>
              <w:pStyle w:val="30"/>
            </w:pPr>
            <w:r>
              <w:t>≤22个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项目资金支付率</w:t>
            </w:r>
          </w:p>
        </w:tc>
        <w:tc>
          <w:tcPr>
            <w:tcW w:w="2466" w:type="dxa"/>
            <w:vAlign w:val="center"/>
          </w:tcPr>
          <w:p>
            <w:pPr>
              <w:pStyle w:val="30"/>
            </w:pPr>
            <w:r>
              <w:t>实际支付资金占项目资金比例</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≤1140.95万元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生态效益指标</w:t>
            </w:r>
          </w:p>
        </w:tc>
        <w:tc>
          <w:tcPr>
            <w:tcW w:w="2466" w:type="dxa"/>
            <w:vAlign w:val="center"/>
          </w:tcPr>
          <w:p>
            <w:pPr>
              <w:pStyle w:val="30"/>
            </w:pPr>
            <w:r>
              <w:t>基本解决畜禽规模养殖污染</w:t>
            </w:r>
          </w:p>
        </w:tc>
        <w:tc>
          <w:tcPr>
            <w:tcW w:w="2466" w:type="dxa"/>
            <w:vAlign w:val="center"/>
          </w:tcPr>
          <w:p>
            <w:pPr>
              <w:pStyle w:val="30"/>
            </w:pPr>
            <w:r>
              <w:t>有效解决实施项目的规模养殖场环境污染</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受益企业满意度</w:t>
            </w:r>
          </w:p>
        </w:tc>
        <w:tc>
          <w:tcPr>
            <w:tcW w:w="2466" w:type="dxa"/>
            <w:vAlign w:val="center"/>
          </w:tcPr>
          <w:p>
            <w:pPr>
              <w:pStyle w:val="30"/>
            </w:pPr>
            <w:r>
              <w:t>受益养殖场、企业满意度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5、2019年生猪调出大县奖励资金绩效目标表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5个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通过项目补贴,建设成本减低</w:t>
            </w:r>
          </w:p>
        </w:tc>
        <w:tc>
          <w:tcPr>
            <w:tcW w:w="2466" w:type="dxa"/>
            <w:vAlign w:val="center"/>
          </w:tcPr>
          <w:p>
            <w:pPr>
              <w:pStyle w:val="30"/>
            </w:pPr>
            <w:r>
              <w:t>≤400万元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6、2020年生猪调出大县奖励资金绩效目标表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≤180万元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7、病死畜禽集中无害化处理补助资金绩效目标表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1.收集的病死猪无害化处理率≥90%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资金按季度准时发放</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≤41万元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规范病死畜禽及产品无害化处理，杜绝病死畜禽及产品原因造成疫情传播</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8、基层体系建设资金（动物防疫补助经费）绩效目标表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1.强制免疫应免畜禽免疫密度100%。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资金到位及时率</w:t>
            </w:r>
          </w:p>
        </w:tc>
        <w:tc>
          <w:tcPr>
            <w:tcW w:w="2466" w:type="dxa"/>
            <w:vAlign w:val="center"/>
          </w:tcPr>
          <w:p>
            <w:pPr>
              <w:pStyle w:val="30"/>
            </w:pPr>
            <w:r>
              <w:t>项目经费拨付及时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≤15.96万元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受益动物防疫人员满意度</w:t>
            </w:r>
          </w:p>
        </w:tc>
        <w:tc>
          <w:tcPr>
            <w:tcW w:w="2466" w:type="dxa"/>
            <w:vAlign w:val="center"/>
          </w:tcPr>
          <w:p>
            <w:pPr>
              <w:pStyle w:val="30"/>
            </w:pPr>
            <w:r>
              <w:t>受益动物防疫人员满意情况</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9、农产品安全及疫病防治专项资金绩效目标表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1.及时发放强制疫苗、强制免疫密度90%以上、按照定点屠宰检疫记录，确定牛屠宰头数，发放补贴</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牛屠宰补贴发放率</w:t>
            </w:r>
          </w:p>
        </w:tc>
        <w:tc>
          <w:tcPr>
            <w:tcW w:w="2466" w:type="dxa"/>
            <w:vAlign w:val="center"/>
          </w:tcPr>
          <w:p>
            <w:pPr>
              <w:pStyle w:val="30"/>
            </w:pPr>
            <w:r>
              <w:t>财政拨付的补贴资金按照屠宰头数发放到位</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购置验收合格率</w:t>
            </w:r>
          </w:p>
        </w:tc>
        <w:tc>
          <w:tcPr>
            <w:tcW w:w="2466" w:type="dxa"/>
            <w:vAlign w:val="center"/>
          </w:tcPr>
          <w:p>
            <w:pPr>
              <w:pStyle w:val="30"/>
            </w:pPr>
            <w:r>
              <w:t>通过验收的购置数量占购置总数量的比率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资金到位及时率</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≤61.19万元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辖区重大动物疫情情况</w:t>
            </w:r>
          </w:p>
        </w:tc>
        <w:tc>
          <w:tcPr>
            <w:tcW w:w="2466" w:type="dxa"/>
            <w:vAlign w:val="center"/>
          </w:tcPr>
          <w:p>
            <w:pPr>
              <w:pStyle w:val="30"/>
            </w:pPr>
            <w:r>
              <w:t>未发生重大动物疫病为优，发生重大动物疫病为差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疫病发病率</w:t>
            </w:r>
          </w:p>
        </w:tc>
        <w:tc>
          <w:tcPr>
            <w:tcW w:w="2466" w:type="dxa"/>
            <w:vAlign w:val="center"/>
          </w:tcPr>
          <w:p>
            <w:pPr>
              <w:pStyle w:val="30"/>
            </w:pPr>
            <w:r>
              <w:t>疫病发病率下降</w:t>
            </w:r>
          </w:p>
        </w:tc>
        <w:tc>
          <w:tcPr>
            <w:tcW w:w="2466" w:type="dxa"/>
            <w:vAlign w:val="center"/>
          </w:tcPr>
          <w:p>
            <w:pPr>
              <w:pStyle w:val="30"/>
            </w:pPr>
            <w:r>
              <w:t>显著下降为优，下降为良，没有下降为差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服务对象满意度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10、石财建[2021]66号提前下达2022年生猪调出大县奖励资金（非省统筹部分）绩效目标表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≤406万元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11、石财农[2020]108号关于提前下达2021年中央农业生产发展资金的通知(特聘动物防疫专员补助资金)绩效目标表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1.培养热爱动物防疫工作、解决动物防疫难题，保障养殖业健康发展的服务力量</w:t>
            </w:r>
          </w:p>
          <w:p>
            <w:pPr>
              <w:pStyle w:val="30"/>
            </w:pPr>
            <w:r>
              <w:t>2.为有效防控非洲猪瘟等重大动物疫病提供有力支撑</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特聘动物防疫专员数量</w:t>
            </w:r>
          </w:p>
        </w:tc>
        <w:tc>
          <w:tcPr>
            <w:tcW w:w="2466" w:type="dxa"/>
            <w:vAlign w:val="center"/>
          </w:tcPr>
          <w:p>
            <w:pPr>
              <w:pStyle w:val="30"/>
            </w:pPr>
            <w:r>
              <w:t>按项目要求人数招聘动物防疫专员</w:t>
            </w:r>
          </w:p>
        </w:tc>
        <w:tc>
          <w:tcPr>
            <w:tcW w:w="2466" w:type="dxa"/>
            <w:vAlign w:val="center"/>
          </w:tcPr>
          <w:p>
            <w:pPr>
              <w:pStyle w:val="30"/>
            </w:pPr>
            <w:r>
              <w:t>20人</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补助资金发放率</w:t>
            </w:r>
          </w:p>
        </w:tc>
        <w:tc>
          <w:tcPr>
            <w:tcW w:w="2466" w:type="dxa"/>
            <w:vAlign w:val="center"/>
          </w:tcPr>
          <w:p>
            <w:pPr>
              <w:pStyle w:val="30"/>
            </w:pPr>
            <w:r>
              <w:t>实际发放的补助金金额占计划发放金额的比率</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资金发放及时性</w:t>
            </w:r>
          </w:p>
        </w:tc>
        <w:tc>
          <w:tcPr>
            <w:tcW w:w="2466" w:type="dxa"/>
            <w:vAlign w:val="center"/>
          </w:tcPr>
          <w:p>
            <w:pPr>
              <w:pStyle w:val="30"/>
            </w:pPr>
            <w:r>
              <w:t>项目资金按月及时发放</w:t>
            </w:r>
          </w:p>
        </w:tc>
        <w:tc>
          <w:tcPr>
            <w:tcW w:w="2466" w:type="dxa"/>
            <w:vAlign w:val="center"/>
          </w:tcPr>
          <w:p>
            <w:pPr>
              <w:pStyle w:val="30"/>
            </w:pPr>
            <w:r>
              <w:t>及时为优，比较及时为良，不及时为中</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人均发放水平</w:t>
            </w:r>
          </w:p>
        </w:tc>
        <w:tc>
          <w:tcPr>
            <w:tcW w:w="2466" w:type="dxa"/>
            <w:vAlign w:val="center"/>
          </w:tcPr>
          <w:p>
            <w:pPr>
              <w:pStyle w:val="30"/>
            </w:pPr>
            <w:r>
              <w:t>人均发放水平</w:t>
            </w:r>
          </w:p>
        </w:tc>
        <w:tc>
          <w:tcPr>
            <w:tcW w:w="2466" w:type="dxa"/>
            <w:vAlign w:val="center"/>
          </w:tcPr>
          <w:p>
            <w:pPr>
              <w:pStyle w:val="30"/>
            </w:pPr>
            <w:r>
              <w:t>30000元</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辖区重大动物疫情情况。</w:t>
            </w:r>
          </w:p>
        </w:tc>
        <w:tc>
          <w:tcPr>
            <w:tcW w:w="2466" w:type="dxa"/>
            <w:vAlign w:val="center"/>
          </w:tcPr>
          <w:p>
            <w:pPr>
              <w:pStyle w:val="30"/>
            </w:pPr>
            <w:r>
              <w:t>稳定为优，不稳定为差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特聘动物防疫专员满意度</w:t>
            </w:r>
          </w:p>
        </w:tc>
        <w:tc>
          <w:tcPr>
            <w:tcW w:w="2466" w:type="dxa"/>
            <w:vAlign w:val="center"/>
          </w:tcPr>
          <w:p>
            <w:pPr>
              <w:pStyle w:val="30"/>
            </w:pPr>
            <w:r>
              <w:t>受益特聘动物防疫专员满意情况</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12、石财农[2021]114号提前下达2022年省级农产品质量安全及疫病防治资金（动物防疫补助资金）绩效目标表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1.强制免疫病种的免疫密度常年保持在90%以上，抗体合格率常年保持70%以上。</w:t>
            </w:r>
          </w:p>
          <w:p>
            <w:pPr>
              <w:pStyle w:val="30"/>
            </w:pPr>
            <w:r>
              <w:t>2.完成2021年养殖环节病死猪无害化处理补助经费的发放</w:t>
            </w:r>
          </w:p>
          <w:p>
            <w:pPr>
              <w:pStyle w:val="30"/>
            </w:pPr>
            <w:r>
              <w:t>3.不发生区域性重大动物疫病</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强制免疫病种免疫密度</w:t>
            </w:r>
          </w:p>
        </w:tc>
        <w:tc>
          <w:tcPr>
            <w:tcW w:w="2466" w:type="dxa"/>
            <w:vAlign w:val="center"/>
          </w:tcPr>
          <w:p>
            <w:pPr>
              <w:pStyle w:val="30"/>
            </w:pPr>
            <w:r>
              <w:t>应免动物占存栏量比例</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收集的病死动物及产品按规定进行无害化处理</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62.87万元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13、石财农[2021]114号提前下达2022年省级农产品质量安全及疫病防治资金（农产品市场信息监测预警、畜禽统计监测）绩效目标表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1.收集报送畜产品信息。</w:t>
            </w:r>
          </w:p>
          <w:p>
            <w:pPr>
              <w:pStyle w:val="30"/>
            </w:pPr>
            <w:r>
              <w:t>2.完成畜产品监测信息员补助发放</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收集报送畜产品信息</w:t>
            </w:r>
          </w:p>
        </w:tc>
        <w:tc>
          <w:tcPr>
            <w:tcW w:w="2466" w:type="dxa"/>
            <w:vAlign w:val="center"/>
          </w:tcPr>
          <w:p>
            <w:pPr>
              <w:pStyle w:val="30"/>
            </w:pPr>
            <w:r>
              <w:t>按上级要求收集报送畜产品信息</w:t>
            </w:r>
          </w:p>
        </w:tc>
        <w:tc>
          <w:tcPr>
            <w:tcW w:w="2466" w:type="dxa"/>
            <w:vAlign w:val="center"/>
          </w:tcPr>
          <w:p>
            <w:pPr>
              <w:pStyle w:val="30"/>
            </w:pPr>
            <w:r>
              <w:t>≥350条</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信息报送及时</w:t>
            </w:r>
          </w:p>
        </w:tc>
        <w:tc>
          <w:tcPr>
            <w:tcW w:w="2466" w:type="dxa"/>
            <w:vAlign w:val="center"/>
          </w:tcPr>
          <w:p>
            <w:pPr>
              <w:pStyle w:val="30"/>
            </w:pPr>
            <w:r>
              <w:t>及时报送畜产品信息</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资金按实施方案准时发放</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畜产品信息</w:t>
            </w:r>
          </w:p>
        </w:tc>
        <w:tc>
          <w:tcPr>
            <w:tcW w:w="2466" w:type="dxa"/>
            <w:vAlign w:val="center"/>
          </w:tcPr>
          <w:p>
            <w:pPr>
              <w:pStyle w:val="30"/>
            </w:pPr>
            <w:r>
              <w:t>及时了解畜产品信息，为畜牧业发展提供依据</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信息员满意度</w:t>
            </w:r>
          </w:p>
        </w:tc>
        <w:tc>
          <w:tcPr>
            <w:tcW w:w="2466" w:type="dxa"/>
            <w:vAlign w:val="center"/>
          </w:tcPr>
          <w:p>
            <w:pPr>
              <w:pStyle w:val="30"/>
            </w:pPr>
            <w:r>
              <w:t>信息员对项目执行效果的满意度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14、石财农[2021]115号提前下达2022年省级农业生产发展资金（蛋鸡产业集群项目）绩效目标表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1.蛋鸡规模化养殖场提高养殖量</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≤200万元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地方优良品种有效推广</w:t>
            </w:r>
          </w:p>
        </w:tc>
        <w:tc>
          <w:tcPr>
            <w:tcW w:w="2466" w:type="dxa"/>
            <w:vAlign w:val="center"/>
          </w:tcPr>
          <w:p>
            <w:pPr>
              <w:pStyle w:val="30"/>
            </w:pPr>
            <w:r>
              <w:t>项目养殖场增加地方优良品种养殖量</w:t>
            </w:r>
          </w:p>
        </w:tc>
        <w:tc>
          <w:tcPr>
            <w:tcW w:w="2466" w:type="dxa"/>
            <w:vAlign w:val="center"/>
          </w:tcPr>
          <w:p>
            <w:pPr>
              <w:pStyle w:val="30"/>
            </w:pPr>
            <w:r>
              <w:t>≥3%</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15、石财农[2021]115号提前下达2022年省级农业生产发展资金（奶业振兴）绩效目标表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1.完成上级安排的性控冻精7050剂并发放到需求奶牛场</w:t>
            </w:r>
          </w:p>
          <w:p>
            <w:pPr>
              <w:pStyle w:val="30"/>
            </w:pPr>
            <w:r>
              <w:t>2.完成上级安排的胚胎移植210枚</w:t>
            </w:r>
          </w:p>
          <w:p>
            <w:pPr>
              <w:pStyle w:val="30"/>
            </w:pPr>
            <w:r>
              <w:t>3.建设544个奶牛栏位</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性控冻精数量</w:t>
            </w:r>
          </w:p>
        </w:tc>
        <w:tc>
          <w:tcPr>
            <w:tcW w:w="2466" w:type="dxa"/>
            <w:vAlign w:val="center"/>
          </w:tcPr>
          <w:p>
            <w:pPr>
              <w:pStyle w:val="30"/>
            </w:pPr>
            <w:r>
              <w:t>性控冻精数量补贴7050剂</w:t>
            </w:r>
          </w:p>
        </w:tc>
        <w:tc>
          <w:tcPr>
            <w:tcW w:w="2466" w:type="dxa"/>
            <w:vAlign w:val="center"/>
          </w:tcPr>
          <w:p>
            <w:pPr>
              <w:pStyle w:val="30"/>
            </w:pPr>
            <w:r>
              <w:t>≤7050剂</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胚胎移植准胎率</w:t>
            </w:r>
          </w:p>
        </w:tc>
        <w:tc>
          <w:tcPr>
            <w:tcW w:w="2466" w:type="dxa"/>
            <w:vAlign w:val="center"/>
          </w:tcPr>
          <w:p>
            <w:pPr>
              <w:pStyle w:val="30"/>
            </w:pPr>
            <w:r>
              <w:t>胚胎移植准胎率达到40%以上</w:t>
            </w:r>
          </w:p>
        </w:tc>
        <w:tc>
          <w:tcPr>
            <w:tcW w:w="2466" w:type="dxa"/>
            <w:vAlign w:val="center"/>
          </w:tcPr>
          <w:p>
            <w:pPr>
              <w:pStyle w:val="30"/>
            </w:pPr>
            <w:r>
              <w:t>≥40%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资金到位是否及时</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149.28万元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经济效益指标</w:t>
            </w:r>
          </w:p>
        </w:tc>
        <w:tc>
          <w:tcPr>
            <w:tcW w:w="2466" w:type="dxa"/>
            <w:vAlign w:val="center"/>
          </w:tcPr>
          <w:p>
            <w:pPr>
              <w:pStyle w:val="30"/>
            </w:pPr>
            <w:r>
              <w:t>奶牛养殖场受益</w:t>
            </w:r>
          </w:p>
        </w:tc>
        <w:tc>
          <w:tcPr>
            <w:tcW w:w="2466" w:type="dxa"/>
            <w:vAlign w:val="center"/>
          </w:tcPr>
          <w:p>
            <w:pPr>
              <w:pStyle w:val="30"/>
            </w:pPr>
            <w:r>
              <w:t>建设奶牛栏位牛场增加收益</w:t>
            </w:r>
          </w:p>
        </w:tc>
        <w:tc>
          <w:tcPr>
            <w:tcW w:w="2466" w:type="dxa"/>
            <w:vAlign w:val="center"/>
          </w:tcPr>
          <w:p>
            <w:pPr>
              <w:pStyle w:val="30"/>
            </w:pPr>
            <w:r>
              <w:t>54.4万元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奶牛场满意度</w:t>
            </w:r>
          </w:p>
        </w:tc>
        <w:tc>
          <w:tcPr>
            <w:tcW w:w="2466" w:type="dxa"/>
            <w:vAlign w:val="center"/>
          </w:tcPr>
          <w:p>
            <w:pPr>
              <w:pStyle w:val="30"/>
            </w:pPr>
            <w:r>
              <w:t>项目奶牛场满意度</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16、石财农[2021]84号提前下达2022年中央动物防疫补助经费绩效目标表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1.完成养殖环节病死猪无害化处理补贴经费发放</w:t>
            </w:r>
          </w:p>
          <w:p>
            <w:pPr>
              <w:pStyle w:val="30"/>
            </w:pPr>
            <w:r>
              <w:t>2.强制免疫密度90%以上，抗体合格率70%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强制免疫病种免疫密度</w:t>
            </w:r>
          </w:p>
        </w:tc>
        <w:tc>
          <w:tcPr>
            <w:tcW w:w="2466" w:type="dxa"/>
            <w:vAlign w:val="center"/>
          </w:tcPr>
          <w:p>
            <w:pPr>
              <w:pStyle w:val="30"/>
            </w:pPr>
            <w:r>
              <w:t>应免动物占存栏量比例</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收集的病死动物及产品按规定进行无害化处理</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144.27万元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17、石财农【2020】118号关于提前下达2021年市级农业转移支付资金的通知（牛定点屠宰场补贴资金）绩效目标表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1.按照定点屠宰检疫记录，确定牛屠宰头数，发放补贴</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牛屠宰补贴发放率</w:t>
            </w:r>
          </w:p>
        </w:tc>
        <w:tc>
          <w:tcPr>
            <w:tcW w:w="2466" w:type="dxa"/>
            <w:vAlign w:val="center"/>
          </w:tcPr>
          <w:p>
            <w:pPr>
              <w:pStyle w:val="30"/>
            </w:pPr>
            <w:r>
              <w:t>财政拨付的补贴资金按照屠宰头数发放到位</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补助资金发放完成率（%）</w:t>
            </w:r>
          </w:p>
        </w:tc>
        <w:tc>
          <w:tcPr>
            <w:tcW w:w="2466" w:type="dxa"/>
            <w:vAlign w:val="center"/>
          </w:tcPr>
          <w:p>
            <w:pPr>
              <w:pStyle w:val="30"/>
            </w:pPr>
            <w:r>
              <w:t>补助资金发放完成率（%）</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资金到达单位是否及时</w:t>
            </w:r>
          </w:p>
        </w:tc>
        <w:tc>
          <w:tcPr>
            <w:tcW w:w="2466" w:type="dxa"/>
            <w:vAlign w:val="center"/>
          </w:tcPr>
          <w:p>
            <w:pPr>
              <w:pStyle w:val="30"/>
            </w:pPr>
            <w:r>
              <w:t>及时为优，比较及时为良，不及时为差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按预算资金完成率</w:t>
            </w:r>
          </w:p>
        </w:tc>
        <w:tc>
          <w:tcPr>
            <w:tcW w:w="2466" w:type="dxa"/>
            <w:vAlign w:val="center"/>
          </w:tcPr>
          <w:p>
            <w:pPr>
              <w:pStyle w:val="30"/>
            </w:pPr>
            <w:r>
              <w:t>按预算资金完成率</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私屠滥宰率</w:t>
            </w:r>
          </w:p>
        </w:tc>
        <w:tc>
          <w:tcPr>
            <w:tcW w:w="2466" w:type="dxa"/>
            <w:vAlign w:val="center"/>
          </w:tcPr>
          <w:p>
            <w:pPr>
              <w:pStyle w:val="30"/>
            </w:pPr>
            <w:r>
              <w:t>私屠滥宰率降低</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服务对象满意度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18、石财农【2020】118号关于提前下达2021年市级农业转移支付资金的通知（农业生产发展资金[政府性基金]）-病死动物无害化全覆盖补助资金绩效目标表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1.完成无害化处全覆盖理补助经费发放</w:t>
            </w:r>
            <w:r>
              <w:tab/>
            </w:r>
            <w:r>
              <w:tab/>
            </w:r>
            <w:r>
              <w:tab/>
            </w:r>
            <w:r>
              <w:tab/>
            </w:r>
            <w:r>
              <w:tab/>
            </w:r>
            <w:r>
              <w:tab/>
            </w:r>
            <w:r>
              <w:tab/>
            </w:r>
          </w:p>
          <w:p>
            <w:pPr>
              <w:pStyle w:val="30"/>
            </w:pPr>
            <w:r>
              <w:tab/>
            </w:r>
            <w:r>
              <w:tab/>
            </w:r>
            <w:r>
              <w:tab/>
            </w:r>
            <w:r>
              <w:tab/>
            </w:r>
            <w:r>
              <w:tab/>
            </w:r>
            <w:r>
              <w:tab/>
            </w:r>
          </w:p>
          <w:p>
            <w:pPr>
              <w:pStyle w:val="30"/>
            </w:pPr>
          </w:p>
          <w:p>
            <w:pPr>
              <w:pStyle w:val="30"/>
            </w:pPr>
            <w:r>
              <w:t>2.猪以外病死畜禽集中无害化处理率100%</w:t>
            </w:r>
            <w:r>
              <w:tab/>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资金按实施方案发放</w:t>
            </w:r>
          </w:p>
        </w:tc>
        <w:tc>
          <w:tcPr>
            <w:tcW w:w="2466" w:type="dxa"/>
            <w:vAlign w:val="center"/>
          </w:tcPr>
          <w:p>
            <w:pPr>
              <w:pStyle w:val="30"/>
            </w:pPr>
            <w:r>
              <w:t>及时为优，不及时为差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规范猪以外病死畜禽无害化处理，杜绝病死畜禽及产品原因造成疫情传播</w:t>
            </w:r>
          </w:p>
        </w:tc>
        <w:tc>
          <w:tcPr>
            <w:tcW w:w="2466" w:type="dxa"/>
            <w:vAlign w:val="center"/>
          </w:tcPr>
          <w:p>
            <w:pPr>
              <w:pStyle w:val="30"/>
            </w:pPr>
            <w:r>
              <w:t>不发生重大动物疫病为优，发生重大动物疫病为差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资金补助单位满意度</w:t>
            </w:r>
          </w:p>
        </w:tc>
        <w:tc>
          <w:tcPr>
            <w:tcW w:w="2466" w:type="dxa"/>
            <w:vAlign w:val="center"/>
          </w:tcPr>
          <w:p>
            <w:pPr>
              <w:pStyle w:val="30"/>
            </w:pPr>
            <w:r>
              <w:t>资金补助单位对项目执行效果的满意度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19、石财农【2020】118号关于提前下达2021年市级农业转移支付资金的通知（农业生产发展资金[政府性基金]）-政策性病死猪无害化处理补助资金绩效目标表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1.收集的病死猪无害化处理率≥90%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资金按季度准时发放</w:t>
            </w:r>
          </w:p>
        </w:tc>
        <w:tc>
          <w:tcPr>
            <w:tcW w:w="2466" w:type="dxa"/>
            <w:vAlign w:val="center"/>
          </w:tcPr>
          <w:p>
            <w:pPr>
              <w:pStyle w:val="30"/>
            </w:pPr>
            <w:r>
              <w:t>及时为优，不及时为差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规范病死畜禽及产品无害化处理，杜绝病死畜禽及产品原因造成疫情传播</w:t>
            </w:r>
          </w:p>
        </w:tc>
        <w:tc>
          <w:tcPr>
            <w:tcW w:w="2466" w:type="dxa"/>
            <w:vAlign w:val="center"/>
          </w:tcPr>
          <w:p>
            <w:pPr>
              <w:pStyle w:val="30"/>
            </w:pPr>
            <w:r>
              <w:t>不发生重大动物疫病为优，发生重大动物疫病为差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项目要求</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20、石财农【2021】33号关于下达2021年中央动物防疫等补助经费（第二批）的通知绩效目标表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1.抗体合格率70%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强制免疫密度</w:t>
            </w:r>
          </w:p>
        </w:tc>
        <w:tc>
          <w:tcPr>
            <w:tcW w:w="2466" w:type="dxa"/>
            <w:vAlign w:val="center"/>
          </w:tcPr>
          <w:p>
            <w:pPr>
              <w:pStyle w:val="30"/>
            </w:pPr>
            <w:r>
              <w:t>强制免疫病种的免疫密度</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 合格率</w:t>
            </w:r>
          </w:p>
        </w:tc>
        <w:tc>
          <w:tcPr>
            <w:tcW w:w="2466" w:type="dxa"/>
            <w:vAlign w:val="center"/>
          </w:tcPr>
          <w:p>
            <w:pPr>
              <w:pStyle w:val="30"/>
            </w:pPr>
            <w:r>
              <w:t>免疫抗体 合格数量占抽检数量的比例</w:t>
            </w:r>
          </w:p>
        </w:tc>
        <w:tc>
          <w:tcPr>
            <w:tcW w:w="2466" w:type="dxa"/>
            <w:vAlign w:val="center"/>
          </w:tcPr>
          <w:p>
            <w:pPr>
              <w:pStyle w:val="30"/>
            </w:pPr>
            <w:r>
              <w:t>≥70%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资金使用及时率</w:t>
            </w:r>
          </w:p>
        </w:tc>
        <w:tc>
          <w:tcPr>
            <w:tcW w:w="2466" w:type="dxa"/>
            <w:vAlign w:val="center"/>
          </w:tcPr>
          <w:p>
            <w:pPr>
              <w:pStyle w:val="30"/>
            </w:pPr>
            <w:r>
              <w:t>按照资金实施方案使用</w:t>
            </w:r>
          </w:p>
        </w:tc>
        <w:tc>
          <w:tcPr>
            <w:tcW w:w="2466" w:type="dxa"/>
            <w:vAlign w:val="center"/>
          </w:tcPr>
          <w:p>
            <w:pPr>
              <w:pStyle w:val="30"/>
            </w:pPr>
            <w:r>
              <w:t>及时为优，不及时为差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合理控制</w:t>
            </w:r>
          </w:p>
        </w:tc>
        <w:tc>
          <w:tcPr>
            <w:tcW w:w="2466" w:type="dxa"/>
            <w:vAlign w:val="center"/>
          </w:tcPr>
          <w:p>
            <w:pPr>
              <w:pStyle w:val="30"/>
            </w:pPr>
            <w:r>
              <w:t>购置防疫物资合理控制成本</w:t>
            </w:r>
          </w:p>
        </w:tc>
        <w:tc>
          <w:tcPr>
            <w:tcW w:w="2466" w:type="dxa"/>
            <w:vAlign w:val="center"/>
          </w:tcPr>
          <w:p>
            <w:pPr>
              <w:pStyle w:val="30"/>
            </w:pPr>
            <w:r>
              <w:t>节约为优，不节约为差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规范病死畜禽无害化处理，杜绝疫情传播</w:t>
            </w:r>
          </w:p>
        </w:tc>
        <w:tc>
          <w:tcPr>
            <w:tcW w:w="2466" w:type="dxa"/>
            <w:vAlign w:val="center"/>
          </w:tcPr>
          <w:p>
            <w:pPr>
              <w:pStyle w:val="30"/>
            </w:pPr>
            <w:r>
              <w:t>不发生重大疫情为有，发生为差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21、石财农【2021】38号关于下达2021年省级农业生产发展资金的通知（胚胎移植）绩效目标表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1.两年实施完成上级安排的胚胎移植数量</w:t>
            </w:r>
          </w:p>
          <w:p>
            <w:pPr>
              <w:pStyle w:val="30"/>
            </w:pPr>
            <w:r>
              <w:t>2.100%使用符合河北省2021年胚胎移植技术单位资质条件的胚胎</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胚胎移植数量</w:t>
            </w:r>
          </w:p>
        </w:tc>
        <w:tc>
          <w:tcPr>
            <w:tcW w:w="2466" w:type="dxa"/>
            <w:vAlign w:val="center"/>
          </w:tcPr>
          <w:p>
            <w:pPr>
              <w:pStyle w:val="30"/>
            </w:pPr>
            <w:r>
              <w:t>两年内完成胚胎移植数量占任务数量的比例</w:t>
            </w:r>
          </w:p>
        </w:tc>
        <w:tc>
          <w:tcPr>
            <w:tcW w:w="2466" w:type="dxa"/>
            <w:vAlign w:val="center"/>
          </w:tcPr>
          <w:p>
            <w:pPr>
              <w:pStyle w:val="30"/>
            </w:pPr>
            <w:r>
              <w:t>≥95%</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胚胎移植准胎率</w:t>
            </w:r>
          </w:p>
        </w:tc>
        <w:tc>
          <w:tcPr>
            <w:tcW w:w="2466" w:type="dxa"/>
            <w:vAlign w:val="center"/>
          </w:tcPr>
          <w:p>
            <w:pPr>
              <w:pStyle w:val="30"/>
            </w:pPr>
            <w:r>
              <w:t>胚胎移植准胎率达到40%以上</w:t>
            </w:r>
          </w:p>
        </w:tc>
        <w:tc>
          <w:tcPr>
            <w:tcW w:w="2466" w:type="dxa"/>
            <w:vAlign w:val="center"/>
          </w:tcPr>
          <w:p>
            <w:pPr>
              <w:pStyle w:val="30"/>
            </w:pPr>
            <w:r>
              <w:t>≥40%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资金到位是否及时</w:t>
            </w:r>
          </w:p>
        </w:tc>
        <w:tc>
          <w:tcPr>
            <w:tcW w:w="2466" w:type="dxa"/>
            <w:vAlign w:val="center"/>
          </w:tcPr>
          <w:p>
            <w:pPr>
              <w:pStyle w:val="30"/>
            </w:pPr>
            <w:r>
              <w:t>及时为优，比较及时为良，不及时为中</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补助资金</w:t>
            </w:r>
          </w:p>
        </w:tc>
        <w:tc>
          <w:tcPr>
            <w:tcW w:w="2466" w:type="dxa"/>
            <w:vAlign w:val="center"/>
          </w:tcPr>
          <w:p>
            <w:pPr>
              <w:pStyle w:val="30"/>
            </w:pPr>
            <w:r>
              <w:t>每枚胚胎补贴2000元</w:t>
            </w:r>
          </w:p>
        </w:tc>
        <w:tc>
          <w:tcPr>
            <w:tcW w:w="2466" w:type="dxa"/>
            <w:vAlign w:val="center"/>
          </w:tcPr>
          <w:p>
            <w:pPr>
              <w:pStyle w:val="30"/>
            </w:pPr>
            <w:r>
              <w:t>2000元</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胚胎质量雌性率</w:t>
            </w:r>
          </w:p>
        </w:tc>
        <w:tc>
          <w:tcPr>
            <w:tcW w:w="2466" w:type="dxa"/>
            <w:vAlign w:val="center"/>
          </w:tcPr>
          <w:p>
            <w:pPr>
              <w:pStyle w:val="30"/>
            </w:pPr>
            <w:r>
              <w:t>雌性率90%以上，提高社会效益</w:t>
            </w:r>
          </w:p>
        </w:tc>
        <w:tc>
          <w:tcPr>
            <w:tcW w:w="2466" w:type="dxa"/>
            <w:vAlign w:val="center"/>
          </w:tcPr>
          <w:p>
            <w:pPr>
              <w:pStyle w:val="30"/>
            </w:pPr>
            <w:r>
              <w:t>提高为优，没有提高为良</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奶牛养殖场满意</w:t>
            </w:r>
          </w:p>
        </w:tc>
        <w:tc>
          <w:tcPr>
            <w:tcW w:w="2466" w:type="dxa"/>
            <w:vAlign w:val="center"/>
          </w:tcPr>
          <w:p>
            <w:pPr>
              <w:pStyle w:val="30"/>
            </w:pPr>
            <w:r>
              <w:t>养殖场对胚胎移植开展满意度</w:t>
            </w:r>
          </w:p>
        </w:tc>
        <w:tc>
          <w:tcPr>
            <w:tcW w:w="2466" w:type="dxa"/>
            <w:vAlign w:val="center"/>
          </w:tcPr>
          <w:p>
            <w:pPr>
              <w:pStyle w:val="30"/>
            </w:pPr>
            <w:r>
              <w:t>≥95%</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22、石财农【2021】83号关于下达2021年动物防疫补助经费（动物强制免疫"先打后补）的通知-中央资金绩效目标表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1.落实养殖场防疫主体责任</w:t>
            </w:r>
          </w:p>
          <w:p>
            <w:pPr>
              <w:pStyle w:val="30"/>
            </w:pPr>
            <w:r>
              <w:t>2.巩固提升强制免疫效果</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及时为优，比较及时为良，不及时为差</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项目资金支付率</w:t>
            </w:r>
          </w:p>
        </w:tc>
        <w:tc>
          <w:tcPr>
            <w:tcW w:w="2466" w:type="dxa"/>
            <w:vAlign w:val="center"/>
          </w:tcPr>
          <w:p>
            <w:pPr>
              <w:pStyle w:val="30"/>
            </w:pPr>
            <w:r>
              <w:t>实际支付资金占资金总额的比例</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受益先打后补养殖企业满意度</w:t>
            </w:r>
          </w:p>
        </w:tc>
        <w:tc>
          <w:tcPr>
            <w:tcW w:w="2466" w:type="dxa"/>
            <w:vAlign w:val="center"/>
          </w:tcPr>
          <w:p>
            <w:pPr>
              <w:pStyle w:val="30"/>
            </w:pPr>
            <w:r>
              <w:t>受益先打后补养殖企业满意度</w:t>
            </w:r>
          </w:p>
        </w:tc>
        <w:tc>
          <w:tcPr>
            <w:tcW w:w="2466" w:type="dxa"/>
            <w:vAlign w:val="center"/>
          </w:tcPr>
          <w:p>
            <w:pPr>
              <w:pStyle w:val="30"/>
            </w:pPr>
            <w:r>
              <w:t>≥90%</w:t>
            </w:r>
          </w:p>
        </w:tc>
        <w:tc>
          <w:tcPr>
            <w:tcW w:w="2466" w:type="dxa"/>
            <w:vAlign w:val="center"/>
          </w:tcPr>
          <w:p>
            <w:pPr>
              <w:pStyle w:val="30"/>
            </w:pPr>
            <w:r>
              <w:t>项目要求</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23、石财农【2021】83号关于下达2021年动物防疫补助经费（动物强制免疫“先打后补”）的通知-省级资金绩效目标表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1.落实养殖场防疫主体责任，巩固提升强制免疫效果</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及时为优，比较及时为良，不及时为差</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项目资金支付率</w:t>
            </w:r>
          </w:p>
        </w:tc>
        <w:tc>
          <w:tcPr>
            <w:tcW w:w="2466" w:type="dxa"/>
            <w:vAlign w:val="center"/>
          </w:tcPr>
          <w:p>
            <w:pPr>
              <w:pStyle w:val="30"/>
            </w:pPr>
            <w:r>
              <w:t>实际支付资金占资金总额的比例</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受益先打后补养殖企业满意度</w:t>
            </w:r>
          </w:p>
        </w:tc>
        <w:tc>
          <w:tcPr>
            <w:tcW w:w="2466" w:type="dxa"/>
            <w:vAlign w:val="center"/>
          </w:tcPr>
          <w:p>
            <w:pPr>
              <w:pStyle w:val="30"/>
            </w:pPr>
            <w:r>
              <w:t>受益先打后补养殖企业满意度</w:t>
            </w:r>
          </w:p>
        </w:tc>
        <w:tc>
          <w:tcPr>
            <w:tcW w:w="2466" w:type="dxa"/>
            <w:vAlign w:val="center"/>
          </w:tcPr>
          <w:p>
            <w:pPr>
              <w:pStyle w:val="30"/>
            </w:pPr>
            <w:r>
              <w:t>≥90%</w:t>
            </w:r>
          </w:p>
        </w:tc>
        <w:tc>
          <w:tcPr>
            <w:tcW w:w="2466" w:type="dxa"/>
            <w:vAlign w:val="center"/>
          </w:tcPr>
          <w:p>
            <w:pPr>
              <w:pStyle w:val="30"/>
            </w:pPr>
            <w:r>
              <w:t>项目要求</w:t>
            </w:r>
          </w:p>
        </w:tc>
      </w:tr>
    </w:tbl>
    <w:p>
      <w:pPr>
        <w:pStyle w:val="28"/>
        <w:sectPr>
          <w:pgSz w:w="16840" w:h="11900" w:orient="landscape"/>
          <w:pgMar w:top="1361" w:right="1020" w:bottom="1361" w:left="1020" w:header="720" w:footer="720" w:gutter="0"/>
          <w:pgNumType w:fmt="decimal"/>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2022年，石家庄市藁城区畜牧工作总站安排政府采购预算194.60万元。具体内容见下表。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194.60</w:t>
            </w:r>
          </w:p>
        </w:tc>
        <w:tc>
          <w:tcPr>
            <w:tcW w:w="924" w:type="dxa"/>
            <w:vAlign w:val="center"/>
          </w:tcPr>
          <w:p>
            <w:pPr>
              <w:pStyle w:val="19"/>
            </w:pPr>
            <w:r>
              <w:t>194.60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石家庄市藁城区畜牧工作总站本级小计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194.60</w:t>
            </w:r>
          </w:p>
        </w:tc>
        <w:tc>
          <w:tcPr>
            <w:tcW w:w="924" w:type="dxa"/>
            <w:vAlign w:val="center"/>
          </w:tcPr>
          <w:p>
            <w:pPr>
              <w:pStyle w:val="19"/>
            </w:pPr>
            <w:r>
              <w:t>194.60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基层体系建设资金（动物防疫补助经费）</w:t>
            </w:r>
          </w:p>
        </w:tc>
        <w:tc>
          <w:tcPr>
            <w:tcW w:w="924" w:type="dxa"/>
            <w:vAlign w:val="center"/>
          </w:tcPr>
          <w:p>
            <w:pPr>
              <w:pStyle w:val="15"/>
            </w:pPr>
            <w:r>
              <w:t>15.96</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类</w:t>
            </w:r>
          </w:p>
        </w:tc>
        <w:tc>
          <w:tcPr>
            <w:tcW w:w="924" w:type="dxa"/>
            <w:vAlign w:val="center"/>
          </w:tcPr>
          <w:p>
            <w:pPr>
              <w:pStyle w:val="15"/>
            </w:pPr>
            <w:r>
              <w:t>1</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石财农[2021]114号提前下达2022年省级农产品质量安全及疫病防治资金（动物防疫补助资金）</w:t>
            </w:r>
          </w:p>
        </w:tc>
        <w:tc>
          <w:tcPr>
            <w:tcW w:w="924" w:type="dxa"/>
            <w:vAlign w:val="center"/>
          </w:tcPr>
          <w:p>
            <w:pPr>
              <w:pStyle w:val="15"/>
            </w:pPr>
            <w:r>
              <w:t>62.87</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14.95</w:t>
            </w:r>
          </w:p>
        </w:tc>
        <w:tc>
          <w:tcPr>
            <w:tcW w:w="924" w:type="dxa"/>
            <w:vAlign w:val="center"/>
          </w:tcPr>
          <w:p>
            <w:pPr>
              <w:pStyle w:val="15"/>
            </w:pPr>
            <w:r>
              <w:t>14.95</w:t>
            </w:r>
          </w:p>
        </w:tc>
        <w:tc>
          <w:tcPr>
            <w:tcW w:w="924" w:type="dxa"/>
            <w:vAlign w:val="center"/>
          </w:tcPr>
          <w:p>
            <w:pPr>
              <w:pStyle w:val="15"/>
            </w:pPr>
            <w:r>
              <w:t>14.95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石财农[2021]115号提前下达2022年省级农业生产发展资金（奶业振兴）</w:t>
            </w:r>
          </w:p>
        </w:tc>
        <w:tc>
          <w:tcPr>
            <w:tcW w:w="924" w:type="dxa"/>
            <w:vAlign w:val="center"/>
          </w:tcPr>
          <w:p>
            <w:pPr>
              <w:pStyle w:val="15"/>
            </w:pPr>
            <w:r>
              <w:t>149.28</w:t>
            </w:r>
          </w:p>
        </w:tc>
        <w:tc>
          <w:tcPr>
            <w:tcW w:w="924" w:type="dxa"/>
            <w:vAlign w:val="center"/>
          </w:tcPr>
          <w:p>
            <w:pPr>
              <w:pStyle w:val="16"/>
            </w:pPr>
            <w:r>
              <w:t>家禽遗产材料</w:t>
            </w:r>
          </w:p>
        </w:tc>
        <w:tc>
          <w:tcPr>
            <w:tcW w:w="924" w:type="dxa"/>
            <w:vAlign w:val="center"/>
          </w:tcPr>
          <w:p>
            <w:pPr>
              <w:pStyle w:val="16"/>
            </w:pPr>
            <w:r>
              <w:t>A120404</w:t>
            </w:r>
          </w:p>
        </w:tc>
        <w:tc>
          <w:tcPr>
            <w:tcW w:w="924" w:type="dxa"/>
            <w:vAlign w:val="center"/>
          </w:tcPr>
          <w:p>
            <w:pPr>
              <w:pStyle w:val="17"/>
            </w:pPr>
            <w:r>
              <w:t>枚</w:t>
            </w:r>
          </w:p>
        </w:tc>
        <w:tc>
          <w:tcPr>
            <w:tcW w:w="924" w:type="dxa"/>
            <w:vAlign w:val="center"/>
          </w:tcPr>
          <w:p>
            <w:pPr>
              <w:pStyle w:val="15"/>
            </w:pPr>
            <w:r>
              <w:t>210</w:t>
            </w:r>
          </w:p>
        </w:tc>
        <w:tc>
          <w:tcPr>
            <w:tcW w:w="924" w:type="dxa"/>
            <w:vAlign w:val="center"/>
          </w:tcPr>
          <w:p>
            <w:pPr>
              <w:pStyle w:val="15"/>
            </w:pPr>
            <w:r>
              <w:t>0.20</w:t>
            </w:r>
          </w:p>
        </w:tc>
        <w:tc>
          <w:tcPr>
            <w:tcW w:w="924" w:type="dxa"/>
            <w:vAlign w:val="center"/>
          </w:tcPr>
          <w:p>
            <w:pPr>
              <w:pStyle w:val="15"/>
            </w:pPr>
            <w:r>
              <w:t>42.00</w:t>
            </w:r>
          </w:p>
        </w:tc>
        <w:tc>
          <w:tcPr>
            <w:tcW w:w="924" w:type="dxa"/>
            <w:vAlign w:val="center"/>
          </w:tcPr>
          <w:p>
            <w:pPr>
              <w:pStyle w:val="15"/>
            </w:pPr>
            <w:r>
              <w:t>42.00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石财农[2021]115号提前下达2022年省级农业生产发展资金（奶业振兴）</w:t>
            </w:r>
          </w:p>
        </w:tc>
        <w:tc>
          <w:tcPr>
            <w:tcW w:w="924" w:type="dxa"/>
            <w:vAlign w:val="center"/>
          </w:tcPr>
          <w:p>
            <w:pPr>
              <w:pStyle w:val="15"/>
            </w:pPr>
            <w:r>
              <w:t>149.28</w:t>
            </w:r>
          </w:p>
        </w:tc>
        <w:tc>
          <w:tcPr>
            <w:tcW w:w="924" w:type="dxa"/>
            <w:vAlign w:val="center"/>
          </w:tcPr>
          <w:p>
            <w:pPr>
              <w:pStyle w:val="16"/>
            </w:pPr>
            <w:r>
              <w:t>家禽遗产材料</w:t>
            </w:r>
          </w:p>
        </w:tc>
        <w:tc>
          <w:tcPr>
            <w:tcW w:w="924" w:type="dxa"/>
            <w:vAlign w:val="center"/>
          </w:tcPr>
          <w:p>
            <w:pPr>
              <w:pStyle w:val="16"/>
            </w:pPr>
            <w:r>
              <w:t>A120404</w:t>
            </w:r>
          </w:p>
        </w:tc>
        <w:tc>
          <w:tcPr>
            <w:tcW w:w="924" w:type="dxa"/>
            <w:vAlign w:val="center"/>
          </w:tcPr>
          <w:p>
            <w:pPr>
              <w:pStyle w:val="17"/>
            </w:pPr>
            <w:r>
              <w:t>剂</w:t>
            </w:r>
          </w:p>
        </w:tc>
        <w:tc>
          <w:tcPr>
            <w:tcW w:w="924" w:type="dxa"/>
            <w:vAlign w:val="center"/>
          </w:tcPr>
          <w:p>
            <w:pPr>
              <w:pStyle w:val="15"/>
            </w:pPr>
            <w:r>
              <w:t>7050</w:t>
            </w:r>
          </w:p>
        </w:tc>
        <w:tc>
          <w:tcPr>
            <w:tcW w:w="924" w:type="dxa"/>
            <w:vAlign w:val="center"/>
          </w:tcPr>
          <w:p>
            <w:pPr>
              <w:pStyle w:val="15"/>
            </w:pPr>
            <w:r>
              <w:t>0.01</w:t>
            </w:r>
          </w:p>
        </w:tc>
        <w:tc>
          <w:tcPr>
            <w:tcW w:w="924" w:type="dxa"/>
            <w:vAlign w:val="center"/>
          </w:tcPr>
          <w:p>
            <w:pPr>
              <w:pStyle w:val="15"/>
            </w:pPr>
            <w:r>
              <w:t>52.88</w:t>
            </w:r>
          </w:p>
        </w:tc>
        <w:tc>
          <w:tcPr>
            <w:tcW w:w="924" w:type="dxa"/>
            <w:vAlign w:val="center"/>
          </w:tcPr>
          <w:p>
            <w:pPr>
              <w:pStyle w:val="15"/>
            </w:pPr>
            <w:r>
              <w:t>52.88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石财农[2021]84号提前下达2022年中央动物防疫补助经费</w:t>
            </w:r>
          </w:p>
        </w:tc>
        <w:tc>
          <w:tcPr>
            <w:tcW w:w="924" w:type="dxa"/>
            <w:vAlign w:val="center"/>
          </w:tcPr>
          <w:p>
            <w:pPr>
              <w:pStyle w:val="15"/>
            </w:pPr>
            <w:r>
              <w:t>144.27</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类</w:t>
            </w:r>
          </w:p>
        </w:tc>
        <w:tc>
          <w:tcPr>
            <w:tcW w:w="924" w:type="dxa"/>
            <w:vAlign w:val="center"/>
          </w:tcPr>
          <w:p>
            <w:pPr>
              <w:pStyle w:val="15"/>
            </w:pPr>
            <w:r>
              <w:t>1</w:t>
            </w:r>
          </w:p>
        </w:tc>
        <w:tc>
          <w:tcPr>
            <w:tcW w:w="924" w:type="dxa"/>
            <w:vAlign w:val="center"/>
          </w:tcPr>
          <w:p>
            <w:pPr>
              <w:pStyle w:val="15"/>
            </w:pPr>
            <w:r>
              <w:t>68.81</w:t>
            </w:r>
          </w:p>
        </w:tc>
        <w:tc>
          <w:tcPr>
            <w:tcW w:w="924" w:type="dxa"/>
            <w:vAlign w:val="center"/>
          </w:tcPr>
          <w:p>
            <w:pPr>
              <w:pStyle w:val="15"/>
            </w:pPr>
            <w:r>
              <w:t>68.81</w:t>
            </w:r>
          </w:p>
        </w:tc>
        <w:tc>
          <w:tcPr>
            <w:tcW w:w="924" w:type="dxa"/>
            <w:vAlign w:val="center"/>
          </w:tcPr>
          <w:p>
            <w:pPr>
              <w:pStyle w:val="15"/>
            </w:pPr>
            <w:r>
              <w:t>68.81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68.81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石家庄市藁城区畜牧工作总站（含所属单位）上年末固定资产金额为</w:t>
      </w:r>
      <w:r>
        <w:rPr>
          <w:rFonts w:hint="eastAsia" w:eastAsia="方正仿宋_GBK" w:cs="Times New Roman"/>
          <w:b w:val="0"/>
          <w:color w:val="000000"/>
          <w:sz w:val="28"/>
          <w:lang w:val="en-US" w:eastAsia="zh-CN"/>
        </w:rPr>
        <w:t>351.12</w:t>
      </w:r>
      <w:r>
        <w:rPr>
          <w:rFonts w:ascii="Times New Roman" w:hAnsi="Times New Roman" w:eastAsia="方正仿宋_GBK" w:cs="Times New Roman"/>
          <w:b w:val="0"/>
          <w:color w:val="000000"/>
          <w:sz w:val="28"/>
        </w:rPr>
        <w:t>万元（详见下表）。</w:t>
      </w:r>
      <w:r>
        <w:rPr>
          <w:rFonts w:ascii="Times New Roman" w:hAnsi="Times New Roman" w:eastAsia="方正仿宋_GBK" w:cs="Times New Roman"/>
          <w:b w:val="0"/>
          <w:color w:val="auto"/>
          <w:sz w:val="28"/>
        </w:rPr>
        <w:t>本年度拟购置固定资产总额为</w:t>
      </w:r>
      <w:r>
        <w:rPr>
          <w:rFonts w:hint="eastAsia" w:ascii="Times New Roman" w:hAnsi="Times New Roman" w:eastAsia="方正仿宋_GBK" w:cs="Times New Roman"/>
          <w:b w:val="0"/>
          <w:color w:val="auto"/>
          <w:sz w:val="28"/>
        </w:rPr>
        <w:t>3.20万元</w:t>
      </w:r>
      <w:r>
        <w:rPr>
          <w:rFonts w:hint="eastAsia" w:ascii="Times New Roman" w:hAnsi="Times New Roman" w:eastAsia="方正仿宋_GBK" w:cs="Times New Roman"/>
          <w:b w:val="0"/>
          <w:color w:val="000000"/>
          <w:sz w:val="28"/>
        </w:rPr>
        <w:t>，主要为</w:t>
      </w:r>
      <w:r>
        <w:rPr>
          <w:rFonts w:hint="eastAsia" w:ascii="Times New Roman" w:hAnsi="Times New Roman" w:eastAsia="方正仿宋_GBK" w:cs="Times New Roman"/>
          <w:b w:val="0"/>
          <w:color w:val="000000"/>
          <w:sz w:val="28"/>
          <w:lang w:eastAsia="zh-CN"/>
        </w:rPr>
        <w:t>空调、电脑、</w:t>
      </w:r>
      <w:r>
        <w:rPr>
          <w:rFonts w:hint="eastAsia" w:ascii="Times New Roman" w:hAnsi="Times New Roman" w:eastAsia="方正仿宋_GBK" w:cs="Times New Roman"/>
          <w:b w:val="0"/>
          <w:color w:val="000000"/>
          <w:sz w:val="28"/>
        </w:rPr>
        <w:t>打印机，</w:t>
      </w:r>
      <w:r>
        <w:rPr>
          <w:rFonts w:hint="eastAsia" w:ascii="Times New Roman" w:hAnsi="Times New Roman" w:eastAsia="方正仿宋_GBK" w:cs="Times New Roman"/>
          <w:b w:val="0"/>
          <w:color w:val="000000"/>
          <w:sz w:val="28"/>
          <w:lang w:eastAsia="zh-CN"/>
        </w:rPr>
        <w:t>因没有达到采购限额，所以未列入政府采购预算。</w:t>
      </w:r>
    </w:p>
    <w:p>
      <w:pPr>
        <w:ind w:firstLine="640"/>
        <w:rPr>
          <w:rFonts w:ascii="Times New Roman" w:hAnsi="Times New Roman" w:eastAsia="方正仿宋_GBK" w:cs="Times New Roman"/>
          <w:b w:val="0"/>
          <w:color w:val="000000"/>
          <w:sz w:val="28"/>
        </w:rPr>
      </w:pP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478石家庄市藁城区畜牧工作总站</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rFonts w:hint="default" w:eastAsia="方正书宋_GBK"/>
                <w:lang w:val="en-US" w:eastAsia="zh-CN"/>
              </w:rPr>
            </w:pPr>
            <w:r>
              <w:rPr>
                <w:rFonts w:hint="eastAsia"/>
                <w:lang w:val="en-US" w:eastAsia="zh-CN"/>
              </w:rPr>
              <w:t>351.12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190</w:t>
            </w:r>
          </w:p>
        </w:tc>
        <w:tc>
          <w:tcPr>
            <w:tcW w:w="4933"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3</w:t>
            </w:r>
          </w:p>
        </w:tc>
        <w:tc>
          <w:tcPr>
            <w:tcW w:w="4933" w:type="dxa"/>
            <w:vAlign w:val="center"/>
          </w:tcPr>
          <w:p>
            <w:pPr>
              <w:pStyle w:val="15"/>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2</w:t>
            </w:r>
          </w:p>
        </w:tc>
        <w:tc>
          <w:tcPr>
            <w:tcW w:w="4933" w:type="dxa"/>
            <w:vAlign w:val="center"/>
          </w:tcPr>
          <w:p>
            <w:pPr>
              <w:pStyle w:val="15"/>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665</w:t>
            </w:r>
          </w:p>
        </w:tc>
        <w:tc>
          <w:tcPr>
            <w:tcW w:w="4933" w:type="dxa"/>
            <w:vAlign w:val="center"/>
          </w:tcPr>
          <w:p>
            <w:pPr>
              <w:pStyle w:val="15"/>
            </w:pPr>
            <w:r>
              <w:t>216.59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51" o:spid="_x0000_s2051"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2052" o:spid="_x0000_s2052"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49" o:spid="_x0000_s2049"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02AE2D6B"/>
    <w:rsid w:val="0A520265"/>
    <w:rsid w:val="0D5237CC"/>
    <w:rsid w:val="1BF30139"/>
    <w:rsid w:val="1C5C22B1"/>
    <w:rsid w:val="1FF84B11"/>
    <w:rsid w:val="202B7B1F"/>
    <w:rsid w:val="235261CE"/>
    <w:rsid w:val="2AE15715"/>
    <w:rsid w:val="2BF94953"/>
    <w:rsid w:val="362F4E94"/>
    <w:rsid w:val="371F085D"/>
    <w:rsid w:val="39207586"/>
    <w:rsid w:val="3AD0377A"/>
    <w:rsid w:val="3E9E339B"/>
    <w:rsid w:val="4B70782B"/>
    <w:rsid w:val="4B76164C"/>
    <w:rsid w:val="4B77163B"/>
    <w:rsid w:val="51546118"/>
    <w:rsid w:val="54BF2517"/>
    <w:rsid w:val="5704200D"/>
    <w:rsid w:val="5ACB406F"/>
    <w:rsid w:val="5CBE429A"/>
    <w:rsid w:val="6CBD2F98"/>
    <w:rsid w:val="6DCB6C01"/>
    <w:rsid w:val="7038014B"/>
    <w:rsid w:val="708C7B83"/>
    <w:rsid w:val="70B46D04"/>
    <w:rsid w:val="731C7060"/>
    <w:rsid w:val="75DF2DD4"/>
    <w:rsid w:val="771B78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fbadb315-949c-4e88-bc46-002e59d05a54"/>
    <w:qFormat/>
    <w:uiPriority w:val="0"/>
    <w:rPr>
      <w:rFonts w:ascii="Times New Roman" w:hAnsi="Times New Roman" w:eastAsia="Times New Roman" w:cs="Times New Roman"/>
      <w:sz w:val="24"/>
      <w:szCs w:val="24"/>
      <w:lang w:val="en-US" w:eastAsia="uk-UA" w:bidi="ar-SA"/>
    </w:rPr>
  </w:style>
  <w:style w:type="paragraph" w:customStyle="1" w:styleId="29">
    <w:name w:val="单元格样式1_d723a1ae-b471-4c9c-a6cb-064c2fffebd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cf3f24a2-b3d0-4100-a413-5c7173b466a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cb33865a-7368-4ec4-b24d-b04814cbfc0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51" textRotate="1"/>
    <customShpInfo spid="_x0000_s2052" textRotate="1"/>
    <customShpInfo spid="_x0000_s2049" textRotate="1"/>
    <customShpInfo spid="_x0000_s2050" textRotate="1"/>
  </customShpExt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2022-02-14T17:44:58Z</dcterms:created>
  <dcterms:modified xsi:type="dcterms:W3CDTF">2022-02-14T09:44:58Z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2022-02-14T17:45:20Z</dcterms:created>
  <dcterms:modified xsi:type="dcterms:W3CDTF">2022-02-14T09:45:20Z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2022-02-14T17:45:12Z</dcterms:created>
  <dcterms:modified xsi:type="dcterms:W3CDTF">2022-02-14T09:45:11Z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2022-02-14T17:45:06Z</dcterms:created>
  <dcterms:modified xsi:type="dcterms:W3CDTF">2022-02-14T09:45:06Z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0fdbd6-b935-4df8-926a-e2d5fefb24bb}">
  <ds:schemaRefs/>
</ds:datastoreItem>
</file>

<file path=customXml/itemProps3.xml><?xml version="1.0" encoding="utf-8"?>
<ds:datastoreItem xmlns:ds="http://schemas.openxmlformats.org/officeDocument/2006/customXml" ds:itemID="{f41eef35-c090-431e-8de2-13f6e5b6a865}">
  <ds:schemaRefs/>
</ds:datastoreItem>
</file>

<file path=customXml/itemProps4.xml><?xml version="1.0" encoding="utf-8"?>
<ds:datastoreItem xmlns:ds="http://schemas.openxmlformats.org/officeDocument/2006/customXml" ds:itemID="{a2edc8f0-027f-494e-bf12-adddc3262e85}">
  <ds:schemaRefs/>
</ds:datastoreItem>
</file>

<file path=customXml/itemProps5.xml><?xml version="1.0" encoding="utf-8"?>
<ds:datastoreItem xmlns:ds="http://schemas.openxmlformats.org/officeDocument/2006/customXml" ds:itemID="{4fcc7b12-4e11-4971-97b2-31d46da49dc6}">
  <ds:schemaRefs/>
</ds:datastoreItem>
</file>

<file path=customXml/itemProps6.xml><?xml version="1.0" encoding="utf-8"?>
<ds:datastoreItem xmlns:ds="http://schemas.openxmlformats.org/officeDocument/2006/customXml" ds:itemID="{7a99f298-2728-435d-989d-0c4027d96c26}">
  <ds:schemaRefs/>
</ds:datastoreItem>
</file>

<file path=customXml/itemProps7.xml><?xml version="1.0" encoding="utf-8"?>
<ds:datastoreItem xmlns:ds="http://schemas.openxmlformats.org/officeDocument/2006/customXml" ds:itemID="{f0e9826c-d481-4c2f-8541-347edd80416f}">
  <ds:schemaRefs/>
</ds:datastoreItem>
</file>

<file path=customXml/itemProps8.xml><?xml version="1.0" encoding="utf-8"?>
<ds:datastoreItem xmlns:ds="http://schemas.openxmlformats.org/officeDocument/2006/customXml" ds:itemID="{03b39ec1-3a7d-472a-af6e-78cb8076bf11}">
  <ds:schemaRefs/>
</ds:datastoreItem>
</file>

<file path=customXml/itemProps9.xml><?xml version="1.0" encoding="utf-8"?>
<ds:datastoreItem xmlns:ds="http://schemas.openxmlformats.org/officeDocument/2006/customXml" ds:itemID="{fcbf8840-8367-46bc-8d9f-878ad93c63da}">
  <ds:schemaRefs/>
</ds:datastoreItem>
</file>

<file path=docProps/app.xml><?xml version="1.0" encoding="utf-8"?>
<Properties xmlns="http://schemas.openxmlformats.org/officeDocument/2006/extended-properties" xmlns:vt="http://schemas.openxmlformats.org/officeDocument/2006/docPropsVTypes">
  <TotalTime>9</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2022-02-14T17:45:00Z</dcterms:created>
  <dc:creator>admin 11</dc:creator>
  <cp:lastModifiedBy>刘玉倩</cp:lastModifiedBy>
  <dcterms:modified xsi:type="dcterms:W3CDTF">2023-09-05T02:35:31Z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