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bookmarkStart w:id="1" w:name="_GoBack"/>
      <w:bookmarkEnd w:id="1"/>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2</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2</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3</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3</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第一部分  </w:t>
      </w:r>
      <w:r>
        <w:rPr>
          <w:rFonts w:hint="eastAsia" w:ascii="方正小标宋_GBK" w:hAnsi="方正小标宋_GBK" w:eastAsia="方正小标宋_GBK" w:cs="方正小标宋_GBK"/>
          <w:color w:val="000000"/>
          <w:sz w:val="72"/>
          <w:lang w:val="en-US" w:eastAsia="zh-CN"/>
        </w:rPr>
        <w:t>单位</w:t>
      </w:r>
      <w:r>
        <w:rPr>
          <w:rFonts w:ascii="方正小标宋_GBK" w:hAnsi="方正小标宋_GBK" w:eastAsia="方正小标宋_GBK" w:cs="方正小标宋_GBK"/>
          <w:color w:val="000000"/>
          <w:sz w:val="72"/>
        </w:rPr>
        <w:t>预算</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一、石家庄市藁城区融媒体中心本级收支预算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907001石家庄市藁城区融媒体中心本级</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1204.92</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r>
              <w:t>1204.92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t>1204.92</w:t>
            </w:r>
          </w:p>
        </w:tc>
        <w:tc>
          <w:tcPr>
            <w:tcW w:w="4535" w:type="dxa"/>
            <w:vAlign w:val="center"/>
          </w:tcPr>
          <w:p>
            <w:pPr>
              <w:pStyle w:val="18"/>
            </w:pPr>
            <w:r>
              <w:t>本年支出合计</w:t>
            </w:r>
          </w:p>
        </w:tc>
        <w:tc>
          <w:tcPr>
            <w:tcW w:w="2126" w:type="dxa"/>
            <w:vAlign w:val="center"/>
          </w:tcPr>
          <w:p>
            <w:pPr>
              <w:pStyle w:val="19"/>
            </w:pPr>
            <w:r>
              <w:t>1204.92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t>1204.92</w:t>
            </w:r>
          </w:p>
        </w:tc>
        <w:tc>
          <w:tcPr>
            <w:tcW w:w="4535" w:type="dxa"/>
            <w:vAlign w:val="center"/>
          </w:tcPr>
          <w:p>
            <w:pPr>
              <w:pStyle w:val="18"/>
            </w:pPr>
            <w:r>
              <w:t>支出总计</w:t>
            </w:r>
          </w:p>
        </w:tc>
        <w:tc>
          <w:tcPr>
            <w:tcW w:w="2126" w:type="dxa"/>
            <w:vAlign w:val="center"/>
          </w:tcPr>
          <w:p>
            <w:pPr>
              <w:pStyle w:val="19"/>
            </w:pPr>
            <w:r>
              <w:t>1204.92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907001石家庄市藁城区融媒体中心本级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1204.92</w:t>
            </w:r>
          </w:p>
        </w:tc>
        <w:tc>
          <w:tcPr>
            <w:tcW w:w="1134" w:type="dxa"/>
            <w:vAlign w:val="center"/>
          </w:tcPr>
          <w:p>
            <w:pPr>
              <w:pStyle w:val="19"/>
            </w:pPr>
            <w:r>
              <w:t>1204.92</w:t>
            </w:r>
          </w:p>
        </w:tc>
        <w:tc>
          <w:tcPr>
            <w:tcW w:w="1134" w:type="dxa"/>
            <w:vAlign w:val="center"/>
          </w:tcPr>
          <w:p>
            <w:pPr>
              <w:pStyle w:val="19"/>
            </w:pPr>
            <w:r>
              <w:t>1204.92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207</w:t>
            </w:r>
          </w:p>
        </w:tc>
        <w:tc>
          <w:tcPr>
            <w:tcW w:w="1559" w:type="dxa"/>
            <w:vAlign w:val="center"/>
          </w:tcPr>
          <w:p>
            <w:pPr>
              <w:pStyle w:val="16"/>
            </w:pPr>
            <w:r>
              <w:t>文化旅游体育与传媒支出</w:t>
            </w:r>
          </w:p>
        </w:tc>
        <w:tc>
          <w:tcPr>
            <w:tcW w:w="1134" w:type="dxa"/>
            <w:vAlign w:val="center"/>
          </w:tcPr>
          <w:p>
            <w:pPr>
              <w:pStyle w:val="15"/>
            </w:pPr>
            <w:r>
              <w:t>1204.92</w:t>
            </w:r>
          </w:p>
        </w:tc>
        <w:tc>
          <w:tcPr>
            <w:tcW w:w="1134" w:type="dxa"/>
            <w:vAlign w:val="center"/>
          </w:tcPr>
          <w:p>
            <w:pPr>
              <w:pStyle w:val="15"/>
            </w:pPr>
            <w:r>
              <w:t>1204.92</w:t>
            </w:r>
          </w:p>
        </w:tc>
        <w:tc>
          <w:tcPr>
            <w:tcW w:w="1134" w:type="dxa"/>
            <w:vAlign w:val="center"/>
          </w:tcPr>
          <w:p>
            <w:pPr>
              <w:pStyle w:val="15"/>
            </w:pPr>
            <w:r>
              <w:t>1204.92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20706</w:t>
            </w:r>
          </w:p>
        </w:tc>
        <w:tc>
          <w:tcPr>
            <w:tcW w:w="1559" w:type="dxa"/>
            <w:vAlign w:val="center"/>
          </w:tcPr>
          <w:p>
            <w:pPr>
              <w:pStyle w:val="16"/>
            </w:pPr>
            <w:r>
              <w:t>新闻出版电影</w:t>
            </w:r>
          </w:p>
        </w:tc>
        <w:tc>
          <w:tcPr>
            <w:tcW w:w="1134" w:type="dxa"/>
            <w:vAlign w:val="center"/>
          </w:tcPr>
          <w:p>
            <w:pPr>
              <w:pStyle w:val="15"/>
            </w:pPr>
            <w:r>
              <w:t>1204.92</w:t>
            </w:r>
          </w:p>
        </w:tc>
        <w:tc>
          <w:tcPr>
            <w:tcW w:w="1134" w:type="dxa"/>
            <w:vAlign w:val="center"/>
          </w:tcPr>
          <w:p>
            <w:pPr>
              <w:pStyle w:val="15"/>
            </w:pPr>
            <w:r>
              <w:t>1204.92</w:t>
            </w:r>
          </w:p>
        </w:tc>
        <w:tc>
          <w:tcPr>
            <w:tcW w:w="1134" w:type="dxa"/>
            <w:vAlign w:val="center"/>
          </w:tcPr>
          <w:p>
            <w:pPr>
              <w:pStyle w:val="15"/>
            </w:pPr>
            <w:r>
              <w:t>1204.92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2070604</w:t>
            </w:r>
          </w:p>
        </w:tc>
        <w:tc>
          <w:tcPr>
            <w:tcW w:w="1559" w:type="dxa"/>
            <w:vAlign w:val="center"/>
          </w:tcPr>
          <w:p>
            <w:pPr>
              <w:pStyle w:val="16"/>
            </w:pPr>
            <w:r>
              <w:t>新闻通讯</w:t>
            </w:r>
          </w:p>
        </w:tc>
        <w:tc>
          <w:tcPr>
            <w:tcW w:w="1134" w:type="dxa"/>
            <w:vAlign w:val="center"/>
          </w:tcPr>
          <w:p>
            <w:pPr>
              <w:pStyle w:val="15"/>
            </w:pPr>
            <w:r>
              <w:t>1204.92</w:t>
            </w:r>
          </w:p>
        </w:tc>
        <w:tc>
          <w:tcPr>
            <w:tcW w:w="1134" w:type="dxa"/>
            <w:vAlign w:val="center"/>
          </w:tcPr>
          <w:p>
            <w:pPr>
              <w:pStyle w:val="15"/>
            </w:pPr>
            <w:r>
              <w:t>1204.92</w:t>
            </w:r>
          </w:p>
        </w:tc>
        <w:tc>
          <w:tcPr>
            <w:tcW w:w="1134" w:type="dxa"/>
            <w:vAlign w:val="center"/>
          </w:tcPr>
          <w:p>
            <w:pPr>
              <w:pStyle w:val="15"/>
            </w:pPr>
            <w:r>
              <w:t>1204.92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907001石家庄市藁城区融媒体中心本级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1204.92</w:t>
            </w:r>
          </w:p>
        </w:tc>
        <w:tc>
          <w:tcPr>
            <w:tcW w:w="1361" w:type="dxa"/>
            <w:vAlign w:val="center"/>
          </w:tcPr>
          <w:p>
            <w:pPr>
              <w:pStyle w:val="19"/>
            </w:pPr>
            <w:r>
              <w:t>680.68</w:t>
            </w:r>
          </w:p>
        </w:tc>
        <w:tc>
          <w:tcPr>
            <w:tcW w:w="1361" w:type="dxa"/>
            <w:vAlign w:val="center"/>
          </w:tcPr>
          <w:p>
            <w:pPr>
              <w:pStyle w:val="19"/>
            </w:pPr>
            <w:r>
              <w:t>524.25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207</w:t>
            </w:r>
          </w:p>
        </w:tc>
        <w:tc>
          <w:tcPr>
            <w:tcW w:w="4536" w:type="dxa"/>
            <w:vAlign w:val="center"/>
          </w:tcPr>
          <w:p>
            <w:pPr>
              <w:pStyle w:val="16"/>
            </w:pPr>
            <w:r>
              <w:t>文化旅游体育与传媒支出</w:t>
            </w:r>
          </w:p>
        </w:tc>
        <w:tc>
          <w:tcPr>
            <w:tcW w:w="1361" w:type="dxa"/>
            <w:vAlign w:val="center"/>
          </w:tcPr>
          <w:p>
            <w:pPr>
              <w:pStyle w:val="15"/>
            </w:pPr>
            <w:r>
              <w:t>1204.92</w:t>
            </w:r>
          </w:p>
        </w:tc>
        <w:tc>
          <w:tcPr>
            <w:tcW w:w="1361" w:type="dxa"/>
            <w:vAlign w:val="center"/>
          </w:tcPr>
          <w:p>
            <w:pPr>
              <w:pStyle w:val="15"/>
            </w:pPr>
            <w:r>
              <w:t>680.68</w:t>
            </w:r>
          </w:p>
        </w:tc>
        <w:tc>
          <w:tcPr>
            <w:tcW w:w="1361" w:type="dxa"/>
            <w:vAlign w:val="center"/>
          </w:tcPr>
          <w:p>
            <w:pPr>
              <w:pStyle w:val="15"/>
            </w:pPr>
            <w:r>
              <w:t>524.25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20706</w:t>
            </w:r>
          </w:p>
        </w:tc>
        <w:tc>
          <w:tcPr>
            <w:tcW w:w="4536" w:type="dxa"/>
            <w:vAlign w:val="center"/>
          </w:tcPr>
          <w:p>
            <w:pPr>
              <w:pStyle w:val="16"/>
            </w:pPr>
            <w:r>
              <w:t>新闻出版电影</w:t>
            </w:r>
          </w:p>
        </w:tc>
        <w:tc>
          <w:tcPr>
            <w:tcW w:w="1361" w:type="dxa"/>
            <w:vAlign w:val="center"/>
          </w:tcPr>
          <w:p>
            <w:pPr>
              <w:pStyle w:val="15"/>
            </w:pPr>
            <w:r>
              <w:t>1204.92</w:t>
            </w:r>
          </w:p>
        </w:tc>
        <w:tc>
          <w:tcPr>
            <w:tcW w:w="1361" w:type="dxa"/>
            <w:vAlign w:val="center"/>
          </w:tcPr>
          <w:p>
            <w:pPr>
              <w:pStyle w:val="15"/>
            </w:pPr>
            <w:r>
              <w:t>680.68</w:t>
            </w:r>
          </w:p>
        </w:tc>
        <w:tc>
          <w:tcPr>
            <w:tcW w:w="1361" w:type="dxa"/>
            <w:vAlign w:val="center"/>
          </w:tcPr>
          <w:p>
            <w:pPr>
              <w:pStyle w:val="15"/>
            </w:pPr>
            <w:r>
              <w:t>524.25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2070604</w:t>
            </w:r>
          </w:p>
        </w:tc>
        <w:tc>
          <w:tcPr>
            <w:tcW w:w="4536" w:type="dxa"/>
            <w:vAlign w:val="center"/>
          </w:tcPr>
          <w:p>
            <w:pPr>
              <w:pStyle w:val="16"/>
            </w:pPr>
            <w:r>
              <w:t>新闻通讯</w:t>
            </w:r>
          </w:p>
        </w:tc>
        <w:tc>
          <w:tcPr>
            <w:tcW w:w="1361" w:type="dxa"/>
            <w:vAlign w:val="center"/>
          </w:tcPr>
          <w:p>
            <w:pPr>
              <w:pStyle w:val="15"/>
            </w:pPr>
            <w:r>
              <w:t>1204.92</w:t>
            </w:r>
          </w:p>
        </w:tc>
        <w:tc>
          <w:tcPr>
            <w:tcW w:w="1361" w:type="dxa"/>
            <w:vAlign w:val="center"/>
          </w:tcPr>
          <w:p>
            <w:pPr>
              <w:pStyle w:val="15"/>
            </w:pPr>
            <w:r>
              <w:t>680.68</w:t>
            </w:r>
          </w:p>
        </w:tc>
        <w:tc>
          <w:tcPr>
            <w:tcW w:w="1361" w:type="dxa"/>
            <w:vAlign w:val="center"/>
          </w:tcPr>
          <w:p>
            <w:pPr>
              <w:pStyle w:val="15"/>
            </w:pPr>
            <w:r>
              <w:t>524.25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907001石家庄市藁城区融媒体中心本级</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1204.92</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r>
              <w:t>1204.92</w:t>
            </w:r>
          </w:p>
        </w:tc>
        <w:tc>
          <w:tcPr>
            <w:tcW w:w="1474" w:type="dxa"/>
            <w:vAlign w:val="center"/>
          </w:tcPr>
          <w:p>
            <w:pPr>
              <w:pStyle w:val="15"/>
            </w:pPr>
            <w:r>
              <w:t>1204.92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1204.92</w:t>
            </w:r>
          </w:p>
        </w:tc>
        <w:tc>
          <w:tcPr>
            <w:tcW w:w="3402" w:type="dxa"/>
            <w:vAlign w:val="center"/>
          </w:tcPr>
          <w:p>
            <w:pPr>
              <w:pStyle w:val="18"/>
            </w:pPr>
            <w:r>
              <w:t>本年支出合计</w:t>
            </w:r>
          </w:p>
        </w:tc>
        <w:tc>
          <w:tcPr>
            <w:tcW w:w="1474" w:type="dxa"/>
            <w:vAlign w:val="center"/>
          </w:tcPr>
          <w:p>
            <w:pPr>
              <w:pStyle w:val="19"/>
            </w:pPr>
            <w:r>
              <w:t>1204.92</w:t>
            </w:r>
          </w:p>
        </w:tc>
        <w:tc>
          <w:tcPr>
            <w:tcW w:w="1474" w:type="dxa"/>
            <w:vAlign w:val="center"/>
          </w:tcPr>
          <w:p>
            <w:pPr>
              <w:pStyle w:val="19"/>
            </w:pPr>
            <w:r>
              <w:t>1204.92</w:t>
            </w:r>
          </w:p>
        </w:tc>
        <w:tc>
          <w:tcPr>
            <w:tcW w:w="1474" w:type="dxa"/>
            <w:vAlign w:val="center"/>
          </w:tcPr>
          <w:p>
            <w:pPr>
              <w:pStyle w:val="19"/>
            </w:pPr>
          </w:p>
        </w:tc>
        <w:tc>
          <w:tcPr>
            <w:tcW w:w="1474" w:type="dxa"/>
            <w:vAlign w:val="center"/>
          </w:tcPr>
          <w:p>
            <w:pPr>
              <w:pStyle w:val="1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1204.92</w:t>
            </w:r>
          </w:p>
        </w:tc>
        <w:tc>
          <w:tcPr>
            <w:tcW w:w="3402" w:type="dxa"/>
            <w:vAlign w:val="center"/>
          </w:tcPr>
          <w:p>
            <w:pPr>
              <w:pStyle w:val="18"/>
            </w:pPr>
            <w:r>
              <w:t>支出总计</w:t>
            </w:r>
          </w:p>
        </w:tc>
        <w:tc>
          <w:tcPr>
            <w:tcW w:w="1474" w:type="dxa"/>
            <w:vAlign w:val="center"/>
          </w:tcPr>
          <w:p>
            <w:pPr>
              <w:pStyle w:val="19"/>
            </w:pPr>
            <w:r>
              <w:t>1204.92</w:t>
            </w:r>
          </w:p>
        </w:tc>
        <w:tc>
          <w:tcPr>
            <w:tcW w:w="1474" w:type="dxa"/>
            <w:vAlign w:val="center"/>
          </w:tcPr>
          <w:p>
            <w:pPr>
              <w:pStyle w:val="19"/>
            </w:pPr>
            <w:r>
              <w:t>1204.92</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1204.92</w:t>
            </w:r>
          </w:p>
        </w:tc>
        <w:tc>
          <w:tcPr>
            <w:tcW w:w="2551" w:type="dxa"/>
            <w:vAlign w:val="center"/>
          </w:tcPr>
          <w:p>
            <w:pPr>
              <w:pStyle w:val="19"/>
            </w:pPr>
            <w:r>
              <w:t>680.68</w:t>
            </w:r>
          </w:p>
        </w:tc>
        <w:tc>
          <w:tcPr>
            <w:tcW w:w="2551" w:type="dxa"/>
            <w:vAlign w:val="center"/>
          </w:tcPr>
          <w:p>
            <w:pPr>
              <w:pStyle w:val="19"/>
            </w:pPr>
            <w:r>
              <w:t>524.25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207</w:t>
            </w:r>
          </w:p>
        </w:tc>
        <w:tc>
          <w:tcPr>
            <w:tcW w:w="4535" w:type="dxa"/>
            <w:vAlign w:val="center"/>
          </w:tcPr>
          <w:p>
            <w:pPr>
              <w:pStyle w:val="16"/>
            </w:pPr>
            <w:r>
              <w:t>文化旅游体育与传媒支出</w:t>
            </w:r>
          </w:p>
        </w:tc>
        <w:tc>
          <w:tcPr>
            <w:tcW w:w="2551" w:type="dxa"/>
            <w:vAlign w:val="center"/>
          </w:tcPr>
          <w:p>
            <w:pPr>
              <w:pStyle w:val="15"/>
            </w:pPr>
            <w:r>
              <w:t>1204.92</w:t>
            </w:r>
          </w:p>
        </w:tc>
        <w:tc>
          <w:tcPr>
            <w:tcW w:w="2551" w:type="dxa"/>
            <w:vAlign w:val="center"/>
          </w:tcPr>
          <w:p>
            <w:pPr>
              <w:pStyle w:val="15"/>
            </w:pPr>
            <w:r>
              <w:t>680.68</w:t>
            </w:r>
          </w:p>
        </w:tc>
        <w:tc>
          <w:tcPr>
            <w:tcW w:w="2551" w:type="dxa"/>
            <w:vAlign w:val="center"/>
          </w:tcPr>
          <w:p>
            <w:pPr>
              <w:pStyle w:val="15"/>
            </w:pPr>
            <w:r>
              <w:t>524.25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20706</w:t>
            </w:r>
          </w:p>
        </w:tc>
        <w:tc>
          <w:tcPr>
            <w:tcW w:w="4535" w:type="dxa"/>
            <w:vAlign w:val="center"/>
          </w:tcPr>
          <w:p>
            <w:pPr>
              <w:pStyle w:val="16"/>
            </w:pPr>
            <w:r>
              <w:t>新闻出版电影</w:t>
            </w:r>
          </w:p>
        </w:tc>
        <w:tc>
          <w:tcPr>
            <w:tcW w:w="2551" w:type="dxa"/>
            <w:vAlign w:val="center"/>
          </w:tcPr>
          <w:p>
            <w:pPr>
              <w:pStyle w:val="15"/>
            </w:pPr>
            <w:r>
              <w:t>1204.92</w:t>
            </w:r>
          </w:p>
        </w:tc>
        <w:tc>
          <w:tcPr>
            <w:tcW w:w="2551" w:type="dxa"/>
            <w:vAlign w:val="center"/>
          </w:tcPr>
          <w:p>
            <w:pPr>
              <w:pStyle w:val="15"/>
            </w:pPr>
            <w:r>
              <w:t>680.68</w:t>
            </w:r>
          </w:p>
        </w:tc>
        <w:tc>
          <w:tcPr>
            <w:tcW w:w="2551" w:type="dxa"/>
            <w:vAlign w:val="center"/>
          </w:tcPr>
          <w:p>
            <w:pPr>
              <w:pStyle w:val="15"/>
            </w:pPr>
            <w:r>
              <w:t>524.25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2070604</w:t>
            </w:r>
          </w:p>
        </w:tc>
        <w:tc>
          <w:tcPr>
            <w:tcW w:w="4535" w:type="dxa"/>
            <w:vAlign w:val="center"/>
          </w:tcPr>
          <w:p>
            <w:pPr>
              <w:pStyle w:val="16"/>
            </w:pPr>
            <w:r>
              <w:t>新闻通讯</w:t>
            </w:r>
          </w:p>
        </w:tc>
        <w:tc>
          <w:tcPr>
            <w:tcW w:w="2551" w:type="dxa"/>
            <w:vAlign w:val="center"/>
          </w:tcPr>
          <w:p>
            <w:pPr>
              <w:pStyle w:val="15"/>
            </w:pPr>
            <w:r>
              <w:t>1204.92</w:t>
            </w:r>
          </w:p>
        </w:tc>
        <w:tc>
          <w:tcPr>
            <w:tcW w:w="2551" w:type="dxa"/>
            <w:vAlign w:val="center"/>
          </w:tcPr>
          <w:p>
            <w:pPr>
              <w:pStyle w:val="15"/>
            </w:pPr>
            <w:r>
              <w:t>680.68</w:t>
            </w:r>
          </w:p>
        </w:tc>
        <w:tc>
          <w:tcPr>
            <w:tcW w:w="2551" w:type="dxa"/>
            <w:vAlign w:val="center"/>
          </w:tcPr>
          <w:p>
            <w:pPr>
              <w:pStyle w:val="15"/>
            </w:pPr>
            <w:r>
              <w:t>524.25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680.68</w:t>
            </w:r>
          </w:p>
        </w:tc>
        <w:tc>
          <w:tcPr>
            <w:tcW w:w="2551" w:type="dxa"/>
            <w:vAlign w:val="center"/>
          </w:tcPr>
          <w:p>
            <w:pPr>
              <w:pStyle w:val="19"/>
            </w:pPr>
            <w:r>
              <w:t>652.11</w:t>
            </w:r>
          </w:p>
        </w:tc>
        <w:tc>
          <w:tcPr>
            <w:tcW w:w="2552" w:type="dxa"/>
            <w:vAlign w:val="center"/>
          </w:tcPr>
          <w:p>
            <w:pPr>
              <w:pStyle w:val="19"/>
            </w:pPr>
            <w:r>
              <w:t>28.57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652.08</w:t>
            </w:r>
          </w:p>
        </w:tc>
        <w:tc>
          <w:tcPr>
            <w:tcW w:w="2551" w:type="dxa"/>
            <w:vAlign w:val="center"/>
          </w:tcPr>
          <w:p>
            <w:pPr>
              <w:pStyle w:val="15"/>
            </w:pPr>
            <w:r>
              <w:t>652.08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160.64</w:t>
            </w:r>
          </w:p>
        </w:tc>
        <w:tc>
          <w:tcPr>
            <w:tcW w:w="2551" w:type="dxa"/>
            <w:vAlign w:val="center"/>
          </w:tcPr>
          <w:p>
            <w:pPr>
              <w:pStyle w:val="15"/>
            </w:pPr>
            <w:r>
              <w:t>160.64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161.07</w:t>
            </w:r>
          </w:p>
        </w:tc>
        <w:tc>
          <w:tcPr>
            <w:tcW w:w="2551" w:type="dxa"/>
            <w:vAlign w:val="center"/>
          </w:tcPr>
          <w:p>
            <w:pPr>
              <w:pStyle w:val="15"/>
            </w:pPr>
            <w:r>
              <w:t>161.07</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120.12</w:t>
            </w:r>
          </w:p>
        </w:tc>
        <w:tc>
          <w:tcPr>
            <w:tcW w:w="2551" w:type="dxa"/>
            <w:vAlign w:val="center"/>
          </w:tcPr>
          <w:p>
            <w:pPr>
              <w:pStyle w:val="15"/>
            </w:pPr>
            <w:r>
              <w:t>120.12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57.65</w:t>
            </w:r>
          </w:p>
        </w:tc>
        <w:tc>
          <w:tcPr>
            <w:tcW w:w="2551" w:type="dxa"/>
            <w:vAlign w:val="center"/>
          </w:tcPr>
          <w:p>
            <w:pPr>
              <w:pStyle w:val="15"/>
            </w:pPr>
            <w:r>
              <w:t>57.65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30.27</w:t>
            </w:r>
          </w:p>
        </w:tc>
        <w:tc>
          <w:tcPr>
            <w:tcW w:w="2551" w:type="dxa"/>
            <w:vAlign w:val="center"/>
          </w:tcPr>
          <w:p>
            <w:pPr>
              <w:pStyle w:val="15"/>
            </w:pPr>
            <w:r>
              <w:t>30.27</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23.42</w:t>
            </w:r>
          </w:p>
        </w:tc>
        <w:tc>
          <w:tcPr>
            <w:tcW w:w="2551" w:type="dxa"/>
            <w:vAlign w:val="center"/>
          </w:tcPr>
          <w:p>
            <w:pPr>
              <w:pStyle w:val="15"/>
            </w:pPr>
            <w:r>
              <w:t>23.42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51.12</w:t>
            </w:r>
          </w:p>
        </w:tc>
        <w:tc>
          <w:tcPr>
            <w:tcW w:w="2551" w:type="dxa"/>
            <w:vAlign w:val="center"/>
          </w:tcPr>
          <w:p>
            <w:pPr>
              <w:pStyle w:val="15"/>
            </w:pPr>
            <w:r>
              <w:t>51.12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47.79</w:t>
            </w:r>
          </w:p>
        </w:tc>
        <w:tc>
          <w:tcPr>
            <w:tcW w:w="2551" w:type="dxa"/>
            <w:vAlign w:val="center"/>
          </w:tcPr>
          <w:p>
            <w:pPr>
              <w:pStyle w:val="15"/>
            </w:pPr>
            <w:r>
              <w:t>47.79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28.57</w:t>
            </w:r>
          </w:p>
        </w:tc>
        <w:tc>
          <w:tcPr>
            <w:tcW w:w="2551" w:type="dxa"/>
            <w:vAlign w:val="center"/>
          </w:tcPr>
          <w:p>
            <w:pPr>
              <w:pStyle w:val="15"/>
            </w:pPr>
          </w:p>
        </w:tc>
        <w:tc>
          <w:tcPr>
            <w:tcW w:w="2552" w:type="dxa"/>
            <w:vAlign w:val="center"/>
          </w:tcPr>
          <w:p>
            <w:pPr>
              <w:pStyle w:val="15"/>
            </w:pPr>
            <w:r>
              <w:t>28.57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7.31</w:t>
            </w:r>
          </w:p>
        </w:tc>
        <w:tc>
          <w:tcPr>
            <w:tcW w:w="2551" w:type="dxa"/>
            <w:vAlign w:val="center"/>
          </w:tcPr>
          <w:p>
            <w:pPr>
              <w:pStyle w:val="15"/>
            </w:pPr>
          </w:p>
        </w:tc>
        <w:tc>
          <w:tcPr>
            <w:tcW w:w="2552" w:type="dxa"/>
            <w:vAlign w:val="center"/>
          </w:tcPr>
          <w:p>
            <w:pPr>
              <w:pStyle w:val="15"/>
            </w:pPr>
            <w:r>
              <w:t>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1.32</w:t>
            </w:r>
          </w:p>
        </w:tc>
        <w:tc>
          <w:tcPr>
            <w:tcW w:w="2551" w:type="dxa"/>
            <w:vAlign w:val="center"/>
          </w:tcPr>
          <w:p>
            <w:pPr>
              <w:pStyle w:val="15"/>
            </w:pPr>
          </w:p>
        </w:tc>
        <w:tc>
          <w:tcPr>
            <w:tcW w:w="2552" w:type="dxa"/>
            <w:vAlign w:val="center"/>
          </w:tcPr>
          <w:p>
            <w:pPr>
              <w:pStyle w:val="15"/>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3.36</w:t>
            </w:r>
          </w:p>
        </w:tc>
        <w:tc>
          <w:tcPr>
            <w:tcW w:w="2551" w:type="dxa"/>
            <w:vAlign w:val="center"/>
          </w:tcPr>
          <w:p>
            <w:pPr>
              <w:pStyle w:val="15"/>
            </w:pPr>
          </w:p>
        </w:tc>
        <w:tc>
          <w:tcPr>
            <w:tcW w:w="2552" w:type="dxa"/>
            <w:vAlign w:val="center"/>
          </w:tcPr>
          <w:p>
            <w:pPr>
              <w:pStyle w:val="15"/>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30209</w:t>
            </w:r>
          </w:p>
        </w:tc>
        <w:tc>
          <w:tcPr>
            <w:tcW w:w="4535" w:type="dxa"/>
            <w:vAlign w:val="center"/>
          </w:tcPr>
          <w:p>
            <w:pPr>
              <w:pStyle w:val="16"/>
            </w:pPr>
            <w:r>
              <w:t>物业管理费</w:t>
            </w:r>
          </w:p>
        </w:tc>
        <w:tc>
          <w:tcPr>
            <w:tcW w:w="2551" w:type="dxa"/>
            <w:vAlign w:val="center"/>
          </w:tcPr>
          <w:p>
            <w:pPr>
              <w:pStyle w:val="15"/>
            </w:pPr>
            <w:r>
              <w:t>3.60</w:t>
            </w:r>
          </w:p>
        </w:tc>
        <w:tc>
          <w:tcPr>
            <w:tcW w:w="2551" w:type="dxa"/>
            <w:vAlign w:val="center"/>
          </w:tcPr>
          <w:p>
            <w:pPr>
              <w:pStyle w:val="15"/>
            </w:pPr>
          </w:p>
        </w:tc>
        <w:tc>
          <w:tcPr>
            <w:tcW w:w="2552" w:type="dxa"/>
            <w:vAlign w:val="center"/>
          </w:tcPr>
          <w:p>
            <w:pPr>
              <w:pStyle w:val="15"/>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3.37</w:t>
            </w:r>
          </w:p>
        </w:tc>
        <w:tc>
          <w:tcPr>
            <w:tcW w:w="2551" w:type="dxa"/>
            <w:vAlign w:val="center"/>
          </w:tcPr>
          <w:p>
            <w:pPr>
              <w:pStyle w:val="15"/>
            </w:pPr>
          </w:p>
        </w:tc>
        <w:tc>
          <w:tcPr>
            <w:tcW w:w="2552" w:type="dxa"/>
            <w:vAlign w:val="center"/>
          </w:tcPr>
          <w:p>
            <w:pPr>
              <w:pStyle w:val="15"/>
            </w:pPr>
            <w:r>
              <w:t>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4.02</w:t>
            </w:r>
          </w:p>
        </w:tc>
        <w:tc>
          <w:tcPr>
            <w:tcW w:w="2551" w:type="dxa"/>
            <w:vAlign w:val="center"/>
          </w:tcPr>
          <w:p>
            <w:pPr>
              <w:pStyle w:val="15"/>
            </w:pPr>
          </w:p>
        </w:tc>
        <w:tc>
          <w:tcPr>
            <w:tcW w:w="2552" w:type="dxa"/>
            <w:vAlign w:val="center"/>
          </w:tcPr>
          <w:p>
            <w:pPr>
              <w:pStyle w:val="15"/>
            </w:pPr>
            <w:r>
              <w:t>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1.98</w:t>
            </w:r>
          </w:p>
        </w:tc>
        <w:tc>
          <w:tcPr>
            <w:tcW w:w="2551" w:type="dxa"/>
            <w:vAlign w:val="center"/>
          </w:tcPr>
          <w:p>
            <w:pPr>
              <w:pStyle w:val="15"/>
            </w:pPr>
          </w:p>
        </w:tc>
        <w:tc>
          <w:tcPr>
            <w:tcW w:w="2552" w:type="dxa"/>
            <w:vAlign w:val="center"/>
          </w:tcPr>
          <w:p>
            <w:pPr>
              <w:pStyle w:val="15"/>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1.20</w:t>
            </w:r>
          </w:p>
        </w:tc>
        <w:tc>
          <w:tcPr>
            <w:tcW w:w="2551" w:type="dxa"/>
            <w:vAlign w:val="center"/>
          </w:tcPr>
          <w:p>
            <w:pPr>
              <w:pStyle w:val="15"/>
            </w:pPr>
          </w:p>
        </w:tc>
        <w:tc>
          <w:tcPr>
            <w:tcW w:w="2552"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2.41</w:t>
            </w:r>
          </w:p>
        </w:tc>
        <w:tc>
          <w:tcPr>
            <w:tcW w:w="2551" w:type="dxa"/>
            <w:vAlign w:val="center"/>
          </w:tcPr>
          <w:p>
            <w:pPr>
              <w:pStyle w:val="15"/>
            </w:pPr>
          </w:p>
        </w:tc>
        <w:tc>
          <w:tcPr>
            <w:tcW w:w="2552" w:type="dxa"/>
            <w:vAlign w:val="center"/>
          </w:tcPr>
          <w:p>
            <w:pPr>
              <w:pStyle w:val="15"/>
            </w:pPr>
            <w:r>
              <w:t>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0.04</w:t>
            </w:r>
          </w:p>
        </w:tc>
        <w:tc>
          <w:tcPr>
            <w:tcW w:w="2551" w:type="dxa"/>
            <w:vAlign w:val="center"/>
          </w:tcPr>
          <w:p>
            <w:pPr>
              <w:pStyle w:val="15"/>
            </w:pPr>
            <w:r>
              <w:t>0.04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0.04</w:t>
            </w:r>
          </w:p>
        </w:tc>
        <w:tc>
          <w:tcPr>
            <w:tcW w:w="2551" w:type="dxa"/>
            <w:vAlign w:val="center"/>
          </w:tcPr>
          <w:p>
            <w:pPr>
              <w:pStyle w:val="15"/>
            </w:pPr>
            <w:r>
              <w:t>0.04</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907001石家庄市藁城区融媒体中心本级</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2" w:type="dxa"/>
            <w:vAlign w:val="center"/>
          </w:tcPr>
          <w:p>
            <w:pPr>
              <w:pStyle w:val="19"/>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9"/>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2" w:type="dxa"/>
            <w:vAlign w:val="center"/>
          </w:tcPr>
          <w:p>
            <w:pPr>
              <w:pStyle w:val="15"/>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5"/>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2" w:type="dxa"/>
            <w:vAlign w:val="center"/>
          </w:tcPr>
          <w:p>
            <w:pPr>
              <w:pStyle w:val="15"/>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5"/>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2" w:type="dxa"/>
            <w:vAlign w:val="center"/>
          </w:tcPr>
          <w:p>
            <w:pPr>
              <w:pStyle w:val="15"/>
            </w:pPr>
            <w:r>
              <w:t>1.98</w:t>
            </w:r>
          </w:p>
        </w:tc>
        <w:tc>
          <w:tcPr>
            <w:tcW w:w="2381" w:type="dxa"/>
            <w:vAlign w:val="center"/>
          </w:tcPr>
          <w:p>
            <w:pPr>
              <w:pStyle w:val="15"/>
            </w:pPr>
            <w:r>
              <w:t>1.98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10</w:t>
            </w:r>
          </w:p>
        </w:tc>
        <w:tc>
          <w:tcPr>
            <w:tcW w:w="3798" w:type="dxa"/>
            <w:vAlign w:val="center"/>
          </w:tcPr>
          <w:p>
            <w:pPr>
              <w:pStyle w:val="16"/>
            </w:pPr>
            <w:r>
              <w:t>四、会议费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11</w:t>
            </w:r>
          </w:p>
        </w:tc>
        <w:tc>
          <w:tcPr>
            <w:tcW w:w="3798" w:type="dxa"/>
            <w:vAlign w:val="center"/>
          </w:tcPr>
          <w:p>
            <w:pPr>
              <w:pStyle w:val="16"/>
            </w:pPr>
            <w:r>
              <w:t>五、培训费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石家庄市藁城区融媒体中心本级2022年单位预算信息公开情况说明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按照《预算法》、《地方预决算公开操作规程》和《关于进一步推进预算公开工作的实施意见》规定，现将石家庄市藁城区融媒体中心本级2022年单位预算公开如下：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eastAsia="方正楷体_GBK" w:cs="方正楷体_GBK" w:asciiTheme="minorHAnsi" w:hAnsiTheme="minorHAnsi"/>
          <w:b/>
          <w:color w:val="000000"/>
          <w:sz w:val="32"/>
          <w:lang w:val="uk-UA"/>
        </w:rPr>
      </w:pPr>
      <w:r>
        <w:rPr>
          <w:rFonts w:ascii="方正楷体_GBK" w:hAnsi="方正楷体_GBK" w:eastAsia="方正楷体_GBK" w:cs="方正楷体_GBK"/>
          <w:b/>
          <w:color w:val="000000"/>
          <w:sz w:val="32"/>
        </w:rPr>
        <w:t>单位职责：</w:t>
      </w:r>
    </w:p>
    <w:p>
      <w:pPr>
        <w:spacing w:line="460" w:lineRule="exact"/>
        <w:ind w:firstLine="640"/>
        <w:rPr>
          <w:rFonts w:eastAsia="仿宋"/>
          <w:sz w:val="32"/>
          <w:szCs w:val="32"/>
        </w:rPr>
      </w:pPr>
      <w:r>
        <w:t>（</w:t>
      </w:r>
      <w:r>
        <w:rPr>
          <w:rFonts w:eastAsia="仿宋"/>
          <w:sz w:val="32"/>
          <w:szCs w:val="32"/>
        </w:rPr>
        <w:t>一）负责区域内各类新闻资讯的采集和编辑;宣传上级党委的决策部署,中心工作及重点工作,宣传本地党委和政府工作安排,传播本地政经资讯;向基层干部群众提供政务服务、生活服务、社会传播、教育培训等综合服务。</w:t>
      </w:r>
    </w:p>
    <w:p>
      <w:pPr>
        <w:spacing w:line="460" w:lineRule="exact"/>
        <w:ind w:firstLine="640"/>
        <w:rPr>
          <w:rFonts w:eastAsia="仿宋"/>
          <w:sz w:val="32"/>
          <w:szCs w:val="32"/>
        </w:rPr>
      </w:pPr>
      <w:r>
        <w:rPr>
          <w:rFonts w:eastAsia="仿宋"/>
          <w:sz w:val="32"/>
          <w:szCs w:val="32"/>
        </w:rPr>
        <w:t>（二）加快推进藁城区原有纸媒、广电媒体和新媒体的全面融合。</w:t>
      </w:r>
    </w:p>
    <w:p>
      <w:pPr>
        <w:spacing w:line="460" w:lineRule="exact"/>
        <w:ind w:firstLine="640"/>
        <w:rPr>
          <w:rFonts w:eastAsia="仿宋"/>
          <w:sz w:val="32"/>
          <w:szCs w:val="32"/>
        </w:rPr>
      </w:pPr>
      <w:r>
        <w:rPr>
          <w:rFonts w:eastAsia="仿宋"/>
          <w:sz w:val="32"/>
          <w:szCs w:val="32"/>
        </w:rPr>
        <w:t>（三）将融媒体中心打造成“资源通融、内容兼容、宣传互融、利益共融”的新型媒体平台，做大做强主流媒体，从而聚集起海量用户。</w:t>
      </w:r>
    </w:p>
    <w:p>
      <w:pPr>
        <w:spacing w:line="460" w:lineRule="exact"/>
        <w:ind w:firstLine="640"/>
        <w:rPr>
          <w:rFonts w:eastAsia="仿宋"/>
          <w:sz w:val="32"/>
          <w:szCs w:val="32"/>
        </w:rPr>
      </w:pPr>
      <w:r>
        <w:rPr>
          <w:rFonts w:eastAsia="仿宋"/>
          <w:sz w:val="32"/>
          <w:szCs w:val="32"/>
        </w:rPr>
        <w:t>（四）为现代传播体系的形成打下良好基础，不断提高藁城融媒体中心新闻舆论的传播力、引导力、影响力、公信力；通过讲好藁城故事，进一步提升藁城对外的知名度和美誉度。</w:t>
      </w:r>
    </w:p>
    <w:p>
      <w:pPr>
        <w:spacing w:line="460" w:lineRule="exact"/>
        <w:ind w:firstLine="640"/>
        <w:rPr>
          <w:rFonts w:eastAsia="仿宋"/>
          <w:sz w:val="32"/>
          <w:szCs w:val="32"/>
        </w:rPr>
      </w:pPr>
      <w:r>
        <w:rPr>
          <w:rFonts w:eastAsia="仿宋"/>
          <w:sz w:val="32"/>
          <w:szCs w:val="32"/>
        </w:rPr>
        <w:t>（五）贯彻落实党的宣传、创作方针政策，加强本区报纸、电视、网络新媒体阵地管理，把握正确的舆论导向和创作导向。</w:t>
      </w:r>
    </w:p>
    <w:p>
      <w:pPr>
        <w:spacing w:line="460" w:lineRule="exact"/>
        <w:ind w:firstLine="640"/>
        <w:rPr>
          <w:rFonts w:eastAsia="仿宋"/>
          <w:sz w:val="32"/>
          <w:szCs w:val="32"/>
          <w:lang w:val="uk-UA"/>
        </w:rPr>
      </w:pPr>
      <w:r>
        <w:rPr>
          <w:rFonts w:eastAsia="仿宋"/>
          <w:sz w:val="32"/>
          <w:szCs w:val="32"/>
        </w:rPr>
        <w:t>（六）完成区委、区政府交办的其他任</w:t>
      </w:r>
    </w:p>
    <w:p>
      <w:pPr>
        <w:spacing w:line="460" w:lineRule="exact"/>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石家庄市藁城区融媒体中心本级</w:t>
            </w:r>
          </w:p>
        </w:tc>
        <w:tc>
          <w:tcPr>
            <w:tcW w:w="1843" w:type="dxa"/>
            <w:vAlign w:val="center"/>
          </w:tcPr>
          <w:p>
            <w:pPr>
              <w:pStyle w:val="17"/>
            </w:pPr>
            <w:r>
              <w:t>事业</w:t>
            </w:r>
          </w:p>
        </w:tc>
        <w:tc>
          <w:tcPr>
            <w:tcW w:w="2126" w:type="dxa"/>
            <w:vAlign w:val="center"/>
          </w:tcPr>
          <w:p>
            <w:pPr>
              <w:pStyle w:val="17"/>
            </w:pPr>
            <w:r>
              <w:t>副科级</w:t>
            </w:r>
          </w:p>
        </w:tc>
        <w:tc>
          <w:tcPr>
            <w:tcW w:w="3827" w:type="dxa"/>
            <w:vAlign w:val="center"/>
          </w:tcPr>
          <w:p>
            <w:pPr>
              <w:pStyle w:val="17"/>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spacing w:line="460" w:lineRule="exact"/>
        <w:ind w:firstLine="640"/>
        <w:rPr>
          <w:rFonts w:eastAsia="仿宋"/>
          <w:sz w:val="32"/>
          <w:szCs w:val="32"/>
          <w:lang w:val="uk-UA"/>
        </w:rPr>
      </w:pPr>
      <w:r>
        <w:rPr>
          <w:rFonts w:hint="eastAsia" w:eastAsia="仿宋"/>
          <w:sz w:val="32"/>
          <w:szCs w:val="32"/>
        </w:rPr>
        <w:t>1、</w:t>
      </w:r>
      <w:r>
        <w:rPr>
          <w:rFonts w:eastAsia="仿宋"/>
          <w:sz w:val="32"/>
          <w:szCs w:val="32"/>
        </w:rPr>
        <w:t>收入说</w:t>
      </w:r>
      <w:r>
        <w:rPr>
          <w:rFonts w:hint="eastAsia" w:eastAsia="仿宋"/>
          <w:sz w:val="32"/>
          <w:szCs w:val="32"/>
          <w:lang w:eastAsia="zh-CN"/>
        </w:rPr>
        <w:t>明</w:t>
      </w:r>
    </w:p>
    <w:p>
      <w:pPr>
        <w:spacing w:line="460" w:lineRule="exact"/>
        <w:ind w:firstLine="640"/>
        <w:rPr>
          <w:rFonts w:eastAsia="仿宋"/>
          <w:sz w:val="32"/>
          <w:szCs w:val="32"/>
        </w:rPr>
      </w:pPr>
      <w:r>
        <w:rPr>
          <w:rFonts w:hint="eastAsia" w:eastAsia="仿宋"/>
          <w:sz w:val="32"/>
          <w:szCs w:val="32"/>
        </w:rPr>
        <w:t>反映本单位当年全部收入。2022年预算收入</w:t>
      </w:r>
      <w:r>
        <w:rPr>
          <w:rFonts w:eastAsia="仿宋"/>
          <w:sz w:val="32"/>
          <w:szCs w:val="32"/>
        </w:rPr>
        <w:t>1204.92</w:t>
      </w:r>
      <w:r>
        <w:rPr>
          <w:rFonts w:hint="eastAsia" w:eastAsia="仿宋"/>
          <w:sz w:val="32"/>
          <w:szCs w:val="32"/>
        </w:rPr>
        <w:t>万元，其中：一般公共预算收入</w:t>
      </w:r>
      <w:r>
        <w:rPr>
          <w:rFonts w:eastAsia="仿宋"/>
          <w:sz w:val="32"/>
          <w:szCs w:val="32"/>
        </w:rPr>
        <w:t>1204.92</w:t>
      </w:r>
      <w:r>
        <w:rPr>
          <w:rFonts w:hint="eastAsia" w:eastAsia="仿宋"/>
          <w:sz w:val="32"/>
          <w:szCs w:val="32"/>
        </w:rPr>
        <w:t>万元，基金预算收入0万元，财政专户核拨收入0万元，其他来源收入0万元。</w:t>
      </w:r>
    </w:p>
    <w:p>
      <w:pPr>
        <w:spacing w:line="460" w:lineRule="exact"/>
        <w:ind w:firstLine="640"/>
        <w:rPr>
          <w:rFonts w:eastAsia="仿宋"/>
          <w:sz w:val="32"/>
          <w:szCs w:val="32"/>
        </w:rPr>
      </w:pPr>
      <w:r>
        <w:rPr>
          <w:rFonts w:hint="eastAsia" w:eastAsia="仿宋"/>
          <w:sz w:val="32"/>
          <w:szCs w:val="32"/>
        </w:rPr>
        <w:t>2、</w:t>
      </w:r>
      <w:r>
        <w:rPr>
          <w:rFonts w:eastAsia="仿宋"/>
          <w:sz w:val="32"/>
          <w:szCs w:val="32"/>
        </w:rPr>
        <w:t>支出说明</w:t>
      </w:r>
    </w:p>
    <w:p>
      <w:pPr>
        <w:spacing w:line="460" w:lineRule="exact"/>
        <w:ind w:firstLine="640"/>
        <w:rPr>
          <w:rFonts w:eastAsia="仿宋"/>
          <w:sz w:val="32"/>
          <w:szCs w:val="32"/>
        </w:rPr>
      </w:pPr>
      <w:r>
        <w:rPr>
          <w:rFonts w:hint="eastAsia" w:eastAsia="仿宋"/>
          <w:sz w:val="32"/>
          <w:szCs w:val="32"/>
        </w:rPr>
        <w:t>收支预算总表支出栏、基本支出表、项目支出表按经济分类和支出功能分类科目编制，反映本单位预算中支出预算的总体情况。2022年单位支出预算为</w:t>
      </w:r>
      <w:r>
        <w:rPr>
          <w:rFonts w:eastAsia="仿宋"/>
          <w:sz w:val="32"/>
          <w:szCs w:val="32"/>
        </w:rPr>
        <w:t>1204.92</w:t>
      </w:r>
      <w:r>
        <w:rPr>
          <w:rFonts w:hint="eastAsia" w:eastAsia="仿宋"/>
          <w:sz w:val="32"/>
          <w:szCs w:val="32"/>
        </w:rPr>
        <w:t>万元，其中基本支出</w:t>
      </w:r>
      <w:r>
        <w:rPr>
          <w:rFonts w:eastAsia="仿宋"/>
          <w:sz w:val="32"/>
          <w:szCs w:val="32"/>
        </w:rPr>
        <w:t>680.68</w:t>
      </w:r>
      <w:r>
        <w:rPr>
          <w:rFonts w:hint="eastAsia" w:eastAsia="仿宋"/>
          <w:sz w:val="32"/>
          <w:szCs w:val="32"/>
        </w:rPr>
        <w:t>万元，包括人员经费</w:t>
      </w:r>
      <w:r>
        <w:rPr>
          <w:rFonts w:eastAsia="仿宋"/>
          <w:sz w:val="32"/>
          <w:szCs w:val="32"/>
        </w:rPr>
        <w:t>652.11</w:t>
      </w:r>
      <w:r>
        <w:rPr>
          <w:rFonts w:hint="eastAsia" w:eastAsia="仿宋"/>
          <w:sz w:val="32"/>
          <w:szCs w:val="32"/>
        </w:rPr>
        <w:t>万元和日常公用经费</w:t>
      </w:r>
      <w:r>
        <w:rPr>
          <w:rFonts w:eastAsia="仿宋"/>
          <w:sz w:val="32"/>
          <w:szCs w:val="32"/>
        </w:rPr>
        <w:t>28.57</w:t>
      </w:r>
      <w:r>
        <w:rPr>
          <w:rFonts w:hint="eastAsia" w:eastAsia="仿宋"/>
          <w:sz w:val="32"/>
          <w:szCs w:val="32"/>
        </w:rPr>
        <w:t>万元；项目支出</w:t>
      </w:r>
      <w:r>
        <w:rPr>
          <w:rFonts w:eastAsia="仿宋"/>
          <w:sz w:val="32"/>
          <w:szCs w:val="32"/>
          <w:lang w:val="uk-UA"/>
        </w:rPr>
        <w:t>524.25</w:t>
      </w:r>
      <w:r>
        <w:rPr>
          <w:rFonts w:hint="eastAsia" w:eastAsia="仿宋"/>
          <w:sz w:val="32"/>
          <w:szCs w:val="32"/>
        </w:rPr>
        <w:t>万元，主要</w:t>
      </w:r>
      <w:r>
        <w:rPr>
          <w:rFonts w:hint="eastAsia" w:eastAsia="仿宋"/>
          <w:sz w:val="32"/>
          <w:szCs w:val="32"/>
          <w:lang w:eastAsia="zh-CN"/>
        </w:rPr>
        <w:t>为电视台运行费9</w:t>
      </w:r>
      <w:r>
        <w:rPr>
          <w:rFonts w:eastAsia="仿宋"/>
          <w:sz w:val="32"/>
          <w:szCs w:val="32"/>
          <w:lang w:eastAsia="zh-CN"/>
        </w:rPr>
        <w:t>0</w:t>
      </w:r>
      <w:r>
        <w:rPr>
          <w:rFonts w:hint="eastAsia" w:eastAsia="仿宋"/>
          <w:sz w:val="32"/>
          <w:szCs w:val="32"/>
          <w:lang w:eastAsia="zh-CN"/>
        </w:rPr>
        <w:t>万元，电视台自收自支人员经费2</w:t>
      </w:r>
      <w:r>
        <w:rPr>
          <w:rFonts w:eastAsia="仿宋"/>
          <w:sz w:val="32"/>
          <w:szCs w:val="32"/>
          <w:lang w:eastAsia="zh-CN"/>
        </w:rPr>
        <w:t>41.54</w:t>
      </w:r>
      <w:r>
        <w:rPr>
          <w:rFonts w:hint="eastAsia" w:eastAsia="仿宋"/>
          <w:sz w:val="32"/>
          <w:szCs w:val="32"/>
          <w:lang w:eastAsia="zh-CN"/>
        </w:rPr>
        <w:t>，供电线路改造经费3</w:t>
      </w:r>
      <w:r>
        <w:rPr>
          <w:rFonts w:eastAsia="仿宋"/>
          <w:sz w:val="32"/>
          <w:szCs w:val="32"/>
          <w:lang w:eastAsia="zh-CN"/>
        </w:rPr>
        <w:t>0</w:t>
      </w:r>
      <w:r>
        <w:rPr>
          <w:rFonts w:hint="eastAsia" w:eastAsia="仿宋"/>
          <w:sz w:val="32"/>
          <w:szCs w:val="32"/>
          <w:lang w:eastAsia="zh-CN"/>
        </w:rPr>
        <w:t>万元，记录小康工程费用5万元，劳务派遣人员经费4</w:t>
      </w:r>
      <w:r>
        <w:rPr>
          <w:rFonts w:eastAsia="仿宋"/>
          <w:sz w:val="32"/>
          <w:szCs w:val="32"/>
          <w:lang w:eastAsia="zh-CN"/>
        </w:rPr>
        <w:t>0.71</w:t>
      </w:r>
      <w:r>
        <w:rPr>
          <w:rFonts w:hint="eastAsia" w:eastAsia="仿宋"/>
          <w:sz w:val="32"/>
          <w:szCs w:val="32"/>
          <w:lang w:eastAsia="zh-CN"/>
        </w:rPr>
        <w:t>万元，融媒体中心办公经费6</w:t>
      </w:r>
      <w:r>
        <w:rPr>
          <w:rFonts w:eastAsia="仿宋"/>
          <w:sz w:val="32"/>
          <w:szCs w:val="32"/>
          <w:lang w:eastAsia="zh-CN"/>
        </w:rPr>
        <w:t>5</w:t>
      </w:r>
      <w:r>
        <w:rPr>
          <w:rFonts w:hint="eastAsia" w:eastAsia="仿宋"/>
          <w:sz w:val="32"/>
          <w:szCs w:val="32"/>
          <w:lang w:eastAsia="zh-CN"/>
        </w:rPr>
        <w:t>万元，融媒体中心建设经费4</w:t>
      </w:r>
      <w:r>
        <w:rPr>
          <w:rFonts w:eastAsia="仿宋"/>
          <w:sz w:val="32"/>
          <w:szCs w:val="32"/>
          <w:lang w:eastAsia="zh-CN"/>
        </w:rPr>
        <w:t>7</w:t>
      </w:r>
      <w:r>
        <w:rPr>
          <w:rFonts w:hint="eastAsia" w:eastAsia="仿宋"/>
          <w:sz w:val="32"/>
          <w:szCs w:val="32"/>
          <w:lang w:eastAsia="zh-CN"/>
        </w:rPr>
        <w:t>万元，外宣工作专项经费5万元</w:t>
      </w:r>
      <w:r>
        <w:rPr>
          <w:rFonts w:hint="eastAsia" w:eastAsia="仿宋"/>
          <w:sz w:val="32"/>
          <w:szCs w:val="32"/>
        </w:rPr>
        <w:t>；其他支出0万元。</w:t>
      </w:r>
    </w:p>
    <w:p>
      <w:pPr>
        <w:spacing w:line="460" w:lineRule="exact"/>
        <w:ind w:firstLine="640"/>
        <w:rPr>
          <w:rFonts w:eastAsia="仿宋"/>
          <w:sz w:val="32"/>
          <w:szCs w:val="32"/>
        </w:rPr>
      </w:pPr>
      <w:r>
        <w:rPr>
          <w:rFonts w:hint="eastAsia" w:eastAsia="仿宋"/>
          <w:sz w:val="32"/>
          <w:szCs w:val="32"/>
        </w:rPr>
        <w:t>3、</w:t>
      </w:r>
      <w:r>
        <w:rPr>
          <w:rFonts w:eastAsia="仿宋"/>
          <w:sz w:val="32"/>
          <w:szCs w:val="32"/>
        </w:rPr>
        <w:t>比上年增减情况</w:t>
      </w:r>
    </w:p>
    <w:p>
      <w:pPr>
        <w:spacing w:line="460" w:lineRule="exact"/>
        <w:ind w:firstLine="640"/>
        <w:rPr>
          <w:rFonts w:eastAsia="仿宋"/>
          <w:sz w:val="32"/>
          <w:szCs w:val="32"/>
          <w:lang w:val="uk-UA"/>
        </w:rPr>
      </w:pPr>
      <w:r>
        <w:rPr>
          <w:rFonts w:hint="eastAsia" w:eastAsia="仿宋"/>
          <w:color w:val="000000"/>
          <w:sz w:val="32"/>
          <w:szCs w:val="32"/>
        </w:rPr>
        <w:t>2022年单位预算收支安排</w:t>
      </w:r>
      <w:r>
        <w:rPr>
          <w:rFonts w:eastAsia="仿宋"/>
          <w:sz w:val="32"/>
          <w:szCs w:val="32"/>
        </w:rPr>
        <w:t>1204.92</w:t>
      </w:r>
      <w:r>
        <w:rPr>
          <w:rFonts w:hint="eastAsia" w:eastAsia="仿宋"/>
          <w:color w:val="000000"/>
          <w:sz w:val="32"/>
          <w:szCs w:val="32"/>
        </w:rPr>
        <w:t>万元，</w:t>
      </w:r>
      <w:r>
        <w:rPr>
          <w:rFonts w:hint="eastAsia" w:eastAsia="仿宋"/>
          <w:sz w:val="32"/>
          <w:szCs w:val="32"/>
        </w:rPr>
        <w:t>较2021年增加</w:t>
      </w:r>
      <w:r>
        <w:rPr>
          <w:rFonts w:eastAsia="仿宋"/>
          <w:sz w:val="32"/>
          <w:szCs w:val="32"/>
        </w:rPr>
        <w:t>42.42</w:t>
      </w:r>
      <w:r>
        <w:rPr>
          <w:rFonts w:hint="eastAsia" w:eastAsia="仿宋"/>
          <w:sz w:val="32"/>
          <w:szCs w:val="32"/>
        </w:rPr>
        <w:t>万元，其中：基本支出</w:t>
      </w:r>
      <w:r>
        <w:rPr>
          <w:rFonts w:hint="eastAsia" w:eastAsia="仿宋"/>
          <w:sz w:val="32"/>
          <w:szCs w:val="32"/>
          <w:lang w:val="uk-UA" w:eastAsia="zh-CN"/>
        </w:rPr>
        <w:t>增加4</w:t>
      </w:r>
      <w:r>
        <w:rPr>
          <w:rFonts w:eastAsia="仿宋"/>
          <w:sz w:val="32"/>
          <w:szCs w:val="32"/>
          <w:lang w:val="uk-UA" w:eastAsia="zh-CN"/>
        </w:rPr>
        <w:t>4.92</w:t>
      </w:r>
      <w:r>
        <w:rPr>
          <w:rFonts w:hint="eastAsia" w:eastAsia="仿宋"/>
          <w:sz w:val="32"/>
          <w:szCs w:val="32"/>
        </w:rPr>
        <w:t>万元，主要是人员</w:t>
      </w:r>
      <w:r>
        <w:rPr>
          <w:rFonts w:hint="eastAsia" w:eastAsia="仿宋"/>
          <w:sz w:val="32"/>
          <w:szCs w:val="32"/>
          <w:lang w:eastAsia="zh-CN"/>
        </w:rPr>
        <w:t>增加</w:t>
      </w:r>
      <w:r>
        <w:rPr>
          <w:rFonts w:hint="eastAsia" w:eastAsia="仿宋"/>
          <w:sz w:val="32"/>
          <w:szCs w:val="32"/>
        </w:rPr>
        <w:t>，相应</w:t>
      </w:r>
      <w:r>
        <w:rPr>
          <w:rFonts w:hint="eastAsia" w:eastAsia="仿宋"/>
          <w:sz w:val="32"/>
          <w:szCs w:val="32"/>
          <w:lang w:eastAsia="zh-CN"/>
        </w:rPr>
        <w:t>增加</w:t>
      </w:r>
      <w:r>
        <w:rPr>
          <w:rFonts w:hint="eastAsia" w:eastAsia="仿宋"/>
          <w:sz w:val="32"/>
          <w:szCs w:val="32"/>
        </w:rPr>
        <w:t>人员经费和日常公用经费；项目支出</w:t>
      </w:r>
      <w:r>
        <w:rPr>
          <w:rFonts w:hint="eastAsia" w:eastAsia="仿宋"/>
          <w:sz w:val="32"/>
          <w:szCs w:val="32"/>
          <w:lang w:eastAsia="zh-CN"/>
        </w:rPr>
        <w:t>减少2</w:t>
      </w:r>
      <w:r>
        <w:rPr>
          <w:rFonts w:eastAsia="仿宋"/>
          <w:sz w:val="32"/>
          <w:szCs w:val="32"/>
          <w:lang w:eastAsia="zh-CN"/>
        </w:rPr>
        <w:t>.49</w:t>
      </w:r>
      <w:r>
        <w:rPr>
          <w:rFonts w:hint="eastAsia" w:eastAsia="仿宋"/>
          <w:sz w:val="32"/>
          <w:szCs w:val="32"/>
        </w:rPr>
        <w:t>万元，主要</w:t>
      </w:r>
      <w:r>
        <w:rPr>
          <w:rFonts w:hint="eastAsia" w:eastAsia="仿宋"/>
          <w:sz w:val="32"/>
          <w:szCs w:val="32"/>
          <w:lang w:eastAsia="zh-CN"/>
        </w:rPr>
        <w:t>为融媒体中心建设项目经费较上年减少</w:t>
      </w:r>
      <w:r>
        <w:rPr>
          <w:rFonts w:hint="eastAsia" w:eastAsia="仿宋"/>
          <w:sz w:val="32"/>
          <w:szCs w:val="32"/>
        </w:rPr>
        <w:t>；其他支出无增减变化。</w:t>
      </w:r>
    </w:p>
    <w:p>
      <w:pPr>
        <w:spacing w:line="460" w:lineRule="exact"/>
        <w:ind w:firstLine="640" w:firstLineChars="200"/>
      </w:pPr>
      <w:r>
        <w:rPr>
          <w:rFonts w:ascii="黑体" w:hAnsi="黑体" w:eastAsia="黑体" w:cs="黑体"/>
          <w:color w:val="000000"/>
          <w:sz w:val="32"/>
        </w:rPr>
        <w:t>三、机关运行经费安排情况</w:t>
      </w:r>
    </w:p>
    <w:p>
      <w:pPr>
        <w:spacing w:line="460" w:lineRule="exact"/>
        <w:ind w:firstLine="640" w:firstLineChars="200"/>
        <w:rPr>
          <w:rFonts w:ascii="仿宋" w:hAnsi="仿宋" w:eastAsia="仿宋"/>
          <w:sz w:val="32"/>
          <w:szCs w:val="32"/>
          <w:lang w:val="uk-UA"/>
        </w:rPr>
      </w:pPr>
      <w:r>
        <w:rPr>
          <w:rFonts w:hint="eastAsia" w:eastAsia="仿宋"/>
          <w:sz w:val="32"/>
          <w:szCs w:val="32"/>
        </w:rPr>
        <w:t>2022年，我单位机关运行经费共计安排</w:t>
      </w:r>
      <w:r>
        <w:rPr>
          <w:rFonts w:eastAsia="仿宋"/>
          <w:sz w:val="32"/>
          <w:szCs w:val="32"/>
        </w:rPr>
        <w:t>93.57</w:t>
      </w:r>
      <w:r>
        <w:rPr>
          <w:rFonts w:hint="eastAsia" w:eastAsia="仿宋"/>
          <w:sz w:val="32"/>
          <w:szCs w:val="32"/>
        </w:rPr>
        <w:t>万元，主要用于保证机关正常运转的办公及印刷费、邮电费、差旅费、会议费、福利费、专用材料及一般设备购置费、办公用房水电费、日常维修费、办公楼物业管理费、公务车运行维护费等支出。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4"/>
      </w:pPr>
      <w:r>
        <w:rPr>
          <w:rFonts w:hint="eastAsia" w:eastAsia="仿宋"/>
          <w:sz w:val="32"/>
          <w:szCs w:val="32"/>
        </w:rPr>
        <w:t>2022年，我单位财政拨款“三公”经费预算安排</w:t>
      </w:r>
      <w:r>
        <w:rPr>
          <w:rFonts w:eastAsia="仿宋"/>
          <w:sz w:val="32"/>
          <w:szCs w:val="32"/>
        </w:rPr>
        <w:t>1.98</w:t>
      </w:r>
      <w:r>
        <w:rPr>
          <w:rFonts w:hint="eastAsia" w:eastAsia="仿宋"/>
          <w:sz w:val="32"/>
          <w:szCs w:val="32"/>
        </w:rPr>
        <w:t>万元，其中：因公出国（境）费</w:t>
      </w:r>
      <w:r>
        <w:rPr>
          <w:rFonts w:eastAsia="仿宋"/>
          <w:sz w:val="32"/>
          <w:szCs w:val="32"/>
        </w:rPr>
        <w:t>0</w:t>
      </w:r>
      <w:r>
        <w:rPr>
          <w:rFonts w:hint="eastAsia" w:eastAsia="仿宋"/>
          <w:sz w:val="32"/>
          <w:szCs w:val="32"/>
        </w:rPr>
        <w:t>万元；公务用车购置及运维费</w:t>
      </w:r>
      <w:r>
        <w:rPr>
          <w:rFonts w:eastAsia="仿宋"/>
          <w:sz w:val="32"/>
          <w:szCs w:val="32"/>
        </w:rPr>
        <w:t>1.98</w:t>
      </w:r>
      <w:r>
        <w:rPr>
          <w:rFonts w:hint="eastAsia" w:eastAsia="仿宋"/>
          <w:sz w:val="32"/>
          <w:szCs w:val="32"/>
        </w:rPr>
        <w:t>万元（其中：</w:t>
      </w:r>
      <w:r>
        <w:rPr>
          <w:rFonts w:hint="eastAsia" w:eastAsia="仿宋"/>
          <w:sz w:val="32"/>
          <w:szCs w:val="32"/>
          <w:lang w:val="en-US" w:eastAsia="zh-CN"/>
        </w:rPr>
        <w:t>公务用车购置费0万元，与上年持平;</w:t>
      </w:r>
      <w:r>
        <w:rPr>
          <w:rFonts w:hint="eastAsia" w:eastAsia="仿宋"/>
          <w:sz w:val="32"/>
          <w:szCs w:val="32"/>
        </w:rPr>
        <w:t>公务用车运行维护费</w:t>
      </w:r>
      <w:r>
        <w:rPr>
          <w:rFonts w:hint="eastAsia" w:eastAsia="仿宋"/>
          <w:sz w:val="32"/>
          <w:szCs w:val="32"/>
          <w:lang w:val="en-US" w:eastAsia="zh-CN"/>
        </w:rPr>
        <w:t>1.98万元，较上年减少0.22</w:t>
      </w:r>
      <w:r>
        <w:rPr>
          <w:rFonts w:hint="eastAsia" w:eastAsia="仿宋"/>
          <w:sz w:val="32"/>
          <w:szCs w:val="32"/>
        </w:rPr>
        <w:t>万元</w:t>
      </w:r>
      <w:r>
        <w:rPr>
          <w:rFonts w:hint="eastAsia" w:eastAsia="仿宋"/>
          <w:sz w:val="32"/>
          <w:szCs w:val="32"/>
          <w:lang w:eastAsia="zh-CN"/>
        </w:rPr>
        <w:t>，</w:t>
      </w:r>
      <w:r>
        <w:rPr>
          <w:rFonts w:hint="eastAsia" w:eastAsia="仿宋"/>
          <w:sz w:val="32"/>
          <w:szCs w:val="32"/>
          <w:lang w:val="en-US" w:eastAsia="zh-CN"/>
        </w:rPr>
        <w:t>原因是响应区政府号召压减经费</w:t>
      </w:r>
      <w:r>
        <w:rPr>
          <w:rFonts w:hint="eastAsia" w:eastAsia="仿宋"/>
          <w:sz w:val="32"/>
          <w:szCs w:val="32"/>
        </w:rPr>
        <w:t>)；公务接待费</w:t>
      </w:r>
      <w:r>
        <w:rPr>
          <w:rFonts w:eastAsia="仿宋"/>
          <w:sz w:val="32"/>
          <w:szCs w:val="32"/>
        </w:rPr>
        <w:t>0</w:t>
      </w:r>
      <w:r>
        <w:rPr>
          <w:rFonts w:hint="eastAsia" w:eastAsia="仿宋"/>
          <w:sz w:val="32"/>
          <w:szCs w:val="32"/>
        </w:rPr>
        <w:t>万元。“三公”经费与上年</w:t>
      </w:r>
      <w:r>
        <w:rPr>
          <w:rFonts w:hint="eastAsia" w:eastAsia="仿宋"/>
          <w:sz w:val="32"/>
          <w:szCs w:val="32"/>
          <w:lang w:eastAsia="zh-CN"/>
        </w:rPr>
        <w:t>减少0</w:t>
      </w:r>
      <w:r>
        <w:rPr>
          <w:rFonts w:eastAsia="仿宋"/>
          <w:sz w:val="32"/>
          <w:szCs w:val="32"/>
          <w:lang w:eastAsia="zh-CN"/>
        </w:rPr>
        <w:t>.22</w:t>
      </w:r>
      <w:r>
        <w:rPr>
          <w:rFonts w:hint="eastAsia" w:eastAsia="仿宋"/>
          <w:sz w:val="32"/>
          <w:szCs w:val="32"/>
          <w:lang w:eastAsia="zh-CN"/>
        </w:rPr>
        <w:t>万元，原因</w:t>
      </w:r>
      <w:r>
        <w:rPr>
          <w:rFonts w:hint="eastAsia" w:eastAsia="仿宋"/>
          <w:sz w:val="32"/>
          <w:szCs w:val="32"/>
          <w:lang w:val="en-US" w:eastAsia="zh-CN"/>
        </w:rPr>
        <w:t>是响应区政府号召压减</w:t>
      </w:r>
      <w:r>
        <w:rPr>
          <w:rFonts w:hint="eastAsia" w:eastAsia="仿宋"/>
          <w:sz w:val="32"/>
          <w:szCs w:val="32"/>
          <w:lang w:eastAsia="zh-CN"/>
        </w:rPr>
        <w:t>经费。</w:t>
      </w:r>
    </w:p>
    <w:p>
      <w:pPr>
        <w:spacing w:before="10" w:after="10"/>
        <w:ind w:firstLine="640"/>
        <w:outlineLvl w:val="5"/>
      </w:pPr>
      <w:r>
        <w:rPr>
          <w:rFonts w:ascii="黑体" w:hAnsi="黑体" w:eastAsia="黑体" w:cs="黑体"/>
          <w:color w:val="000000"/>
          <w:sz w:val="32"/>
        </w:rPr>
        <w:t>五、预算绩效信息</w:t>
      </w:r>
    </w:p>
    <w:p>
      <w:pPr>
        <w:pStyle w:val="28"/>
        <w:ind w:firstLine="560"/>
      </w:pPr>
      <w:r>
        <w:rPr>
          <w:rFonts w:ascii="方正仿宋_GBK" w:hAnsi="方正仿宋_GBK" w:eastAsia="方正仿宋_GBK" w:cs="方正仿宋_GBK"/>
          <w:b/>
          <w:color w:val="000000"/>
          <w:sz w:val="28"/>
        </w:rPr>
        <w:t>1、电视台运行费绩效目标表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1.临聘人员工资</w:t>
            </w:r>
          </w:p>
          <w:p>
            <w:pPr>
              <w:pStyle w:val="30"/>
            </w:pPr>
            <w:r>
              <w:t>2.补充日常办公费用不足部分</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临聘人员数量</w:t>
            </w:r>
          </w:p>
        </w:tc>
        <w:tc>
          <w:tcPr>
            <w:tcW w:w="2835" w:type="dxa"/>
            <w:vAlign w:val="center"/>
          </w:tcPr>
          <w:p>
            <w:pPr>
              <w:pStyle w:val="30"/>
            </w:pPr>
            <w:r>
              <w:t>中心临聘人员数量</w:t>
            </w:r>
          </w:p>
        </w:tc>
        <w:tc>
          <w:tcPr>
            <w:tcW w:w="2551" w:type="dxa"/>
            <w:vAlign w:val="center"/>
          </w:tcPr>
          <w:p>
            <w:pPr>
              <w:pStyle w:val="30"/>
            </w:pPr>
            <w:r>
              <w:t>≥12人</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工作质量完成情况</w:t>
            </w:r>
          </w:p>
        </w:tc>
        <w:tc>
          <w:tcPr>
            <w:tcW w:w="2835" w:type="dxa"/>
            <w:vAlign w:val="center"/>
          </w:tcPr>
          <w:p>
            <w:pPr>
              <w:pStyle w:val="30"/>
            </w:pPr>
            <w:r>
              <w:t>临聘人员需按照工作、上级要求，按时、高质、高效完成工作，单位定期对其工作情况进行考核</w:t>
            </w:r>
          </w:p>
        </w:tc>
        <w:tc>
          <w:tcPr>
            <w:tcW w:w="2551" w:type="dxa"/>
            <w:vAlign w:val="center"/>
          </w:tcPr>
          <w:p>
            <w:pPr>
              <w:pStyle w:val="30"/>
            </w:pPr>
            <w:r>
              <w:t>工作情况</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按时发放工资</w:t>
            </w:r>
          </w:p>
        </w:tc>
        <w:tc>
          <w:tcPr>
            <w:tcW w:w="2835" w:type="dxa"/>
            <w:vAlign w:val="center"/>
          </w:tcPr>
          <w:p>
            <w:pPr>
              <w:pStyle w:val="30"/>
            </w:pPr>
            <w:r>
              <w:t>根据每月增减人数，制作工资表，在每月25号之前发放上月工资</w:t>
            </w:r>
          </w:p>
        </w:tc>
        <w:tc>
          <w:tcPr>
            <w:tcW w:w="2551" w:type="dxa"/>
            <w:vAlign w:val="center"/>
          </w:tcPr>
          <w:p>
            <w:pPr>
              <w:pStyle w:val="30"/>
            </w:pPr>
            <w:r>
              <w:t>早于25号</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项目总成本</w:t>
            </w:r>
          </w:p>
        </w:tc>
        <w:tc>
          <w:tcPr>
            <w:tcW w:w="2835" w:type="dxa"/>
            <w:vAlign w:val="center"/>
          </w:tcPr>
          <w:p>
            <w:pPr>
              <w:pStyle w:val="30"/>
            </w:pPr>
            <w:r>
              <w:t>将成本控制在预算内，合理利用预算。</w:t>
            </w:r>
          </w:p>
        </w:tc>
        <w:tc>
          <w:tcPr>
            <w:tcW w:w="2551" w:type="dxa"/>
            <w:vAlign w:val="center"/>
          </w:tcPr>
          <w:p>
            <w:pPr>
              <w:pStyle w:val="30"/>
            </w:pPr>
            <w:r>
              <w:t>≤90万元</w:t>
            </w:r>
          </w:p>
        </w:tc>
        <w:tc>
          <w:tcPr>
            <w:tcW w:w="2268" w:type="dxa"/>
            <w:vAlign w:val="center"/>
          </w:tcPr>
          <w:p>
            <w:pPr>
              <w:pStyle w:val="3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可持续影响指标</w:t>
            </w:r>
          </w:p>
        </w:tc>
        <w:tc>
          <w:tcPr>
            <w:tcW w:w="2835" w:type="dxa"/>
            <w:vAlign w:val="center"/>
          </w:tcPr>
          <w:p>
            <w:pPr>
              <w:pStyle w:val="30"/>
            </w:pPr>
            <w:r>
              <w:t>提高工作效率</w:t>
            </w:r>
          </w:p>
        </w:tc>
        <w:tc>
          <w:tcPr>
            <w:tcW w:w="2835" w:type="dxa"/>
            <w:vAlign w:val="center"/>
          </w:tcPr>
          <w:p>
            <w:pPr>
              <w:pStyle w:val="30"/>
            </w:pPr>
            <w:r>
              <w:t>临聘人员按工作要求完成各自工作，提高中心总体工作效率</w:t>
            </w:r>
          </w:p>
        </w:tc>
        <w:tc>
          <w:tcPr>
            <w:tcW w:w="2551" w:type="dxa"/>
            <w:vAlign w:val="center"/>
          </w:tcPr>
          <w:p>
            <w:pPr>
              <w:pStyle w:val="30"/>
            </w:pPr>
            <w:r>
              <w:t>提高中心工作效率</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满意度</w:t>
            </w:r>
          </w:p>
        </w:tc>
        <w:tc>
          <w:tcPr>
            <w:tcW w:w="2835" w:type="dxa"/>
            <w:vAlign w:val="center"/>
          </w:tcPr>
          <w:p>
            <w:pPr>
              <w:pStyle w:val="30"/>
            </w:pPr>
            <w:r>
              <w:t>领导及群众对中心工作满意度</w:t>
            </w:r>
          </w:p>
        </w:tc>
        <w:tc>
          <w:tcPr>
            <w:tcW w:w="2551" w:type="dxa"/>
            <w:vAlign w:val="center"/>
          </w:tcPr>
          <w:p>
            <w:pPr>
              <w:pStyle w:val="30"/>
            </w:pPr>
            <w:r>
              <w:t>≥95%</w:t>
            </w:r>
          </w:p>
        </w:tc>
        <w:tc>
          <w:tcPr>
            <w:tcW w:w="2268" w:type="dxa"/>
            <w:vAlign w:val="center"/>
          </w:tcPr>
          <w:p>
            <w:pPr>
              <w:pStyle w:val="30"/>
            </w:pPr>
            <w:r>
              <w:t>调查问卷</w:t>
            </w:r>
          </w:p>
        </w:tc>
      </w:tr>
    </w:tbl>
    <w:p>
      <w:pPr>
        <w:pStyle w:val="28"/>
      </w:pPr>
    </w:p>
    <w:p>
      <w:pPr>
        <w:pStyle w:val="28"/>
        <w:ind w:firstLine="560"/>
      </w:pPr>
      <w:r>
        <w:rPr>
          <w:rFonts w:ascii="方正仿宋_GBK" w:hAnsi="方正仿宋_GBK" w:eastAsia="方正仿宋_GBK" w:cs="方正仿宋_GBK"/>
          <w:b/>
          <w:color w:val="000000"/>
          <w:sz w:val="28"/>
        </w:rPr>
        <w:t>2、电视台自收自支人员经费绩效目标表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 xml:space="preserve">1.发放电视台自收自支人员工资  </w:t>
            </w:r>
          </w:p>
          <w:p>
            <w:pPr>
              <w:pStyle w:val="30"/>
            </w:pPr>
            <w:r>
              <w:t>2.缴纳电视台自收自支人员相关保险费用</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工资发放人数</w:t>
            </w:r>
          </w:p>
        </w:tc>
        <w:tc>
          <w:tcPr>
            <w:tcW w:w="2835" w:type="dxa"/>
            <w:vAlign w:val="center"/>
          </w:tcPr>
          <w:p>
            <w:pPr>
              <w:pStyle w:val="30"/>
            </w:pPr>
            <w:r>
              <w:t>自收自支人员数量</w:t>
            </w:r>
          </w:p>
        </w:tc>
        <w:tc>
          <w:tcPr>
            <w:tcW w:w="2551" w:type="dxa"/>
            <w:vAlign w:val="center"/>
          </w:tcPr>
          <w:p>
            <w:pPr>
              <w:pStyle w:val="30"/>
            </w:pPr>
            <w:r>
              <w:t>20人</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各项支付工作完成率</w:t>
            </w:r>
          </w:p>
        </w:tc>
        <w:tc>
          <w:tcPr>
            <w:tcW w:w="2835" w:type="dxa"/>
            <w:vAlign w:val="center"/>
          </w:tcPr>
          <w:p>
            <w:pPr>
              <w:pStyle w:val="30"/>
            </w:pPr>
            <w:r>
              <w:t>按要求支付自收自支人员工资，缴纳保险，每月支付完成率</w:t>
            </w:r>
          </w:p>
        </w:tc>
        <w:tc>
          <w:tcPr>
            <w:tcW w:w="2551" w:type="dxa"/>
            <w:vAlign w:val="center"/>
          </w:tcPr>
          <w:p>
            <w:pPr>
              <w:pStyle w:val="30"/>
            </w:pPr>
            <w:r>
              <w:t>≥98%</w:t>
            </w:r>
          </w:p>
        </w:tc>
        <w:tc>
          <w:tcPr>
            <w:tcW w:w="2268" w:type="dxa"/>
            <w:vAlign w:val="center"/>
          </w:tcPr>
          <w:p>
            <w:pPr>
              <w:pStyle w:val="3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按时发放工资</w:t>
            </w:r>
          </w:p>
        </w:tc>
        <w:tc>
          <w:tcPr>
            <w:tcW w:w="2835" w:type="dxa"/>
            <w:vAlign w:val="center"/>
          </w:tcPr>
          <w:p>
            <w:pPr>
              <w:pStyle w:val="30"/>
            </w:pPr>
            <w:r>
              <w:t>每月按时刚放工资，每月支出及时度</w:t>
            </w:r>
          </w:p>
        </w:tc>
        <w:tc>
          <w:tcPr>
            <w:tcW w:w="2551" w:type="dxa"/>
            <w:vAlign w:val="center"/>
          </w:tcPr>
          <w:p>
            <w:pPr>
              <w:pStyle w:val="30"/>
            </w:pPr>
            <w:r>
              <w:t>早于20号</w:t>
            </w:r>
          </w:p>
        </w:tc>
        <w:tc>
          <w:tcPr>
            <w:tcW w:w="2268"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项目总成本</w:t>
            </w:r>
          </w:p>
        </w:tc>
        <w:tc>
          <w:tcPr>
            <w:tcW w:w="2835" w:type="dxa"/>
            <w:vAlign w:val="center"/>
          </w:tcPr>
          <w:p>
            <w:pPr>
              <w:pStyle w:val="30"/>
            </w:pPr>
            <w:r>
              <w:t>将成本控制在预算内，合理利用预算</w:t>
            </w:r>
          </w:p>
        </w:tc>
        <w:tc>
          <w:tcPr>
            <w:tcW w:w="2551" w:type="dxa"/>
            <w:vAlign w:val="center"/>
          </w:tcPr>
          <w:p>
            <w:pPr>
              <w:pStyle w:val="30"/>
            </w:pPr>
            <w:r>
              <w:t>≤241.54万元</w:t>
            </w:r>
          </w:p>
        </w:tc>
        <w:tc>
          <w:tcPr>
            <w:tcW w:w="2268" w:type="dxa"/>
            <w:vAlign w:val="center"/>
          </w:tcPr>
          <w:p>
            <w:pPr>
              <w:pStyle w:val="3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可持续影响指标</w:t>
            </w:r>
          </w:p>
        </w:tc>
        <w:tc>
          <w:tcPr>
            <w:tcW w:w="2835" w:type="dxa"/>
            <w:vAlign w:val="center"/>
          </w:tcPr>
          <w:p>
            <w:pPr>
              <w:pStyle w:val="30"/>
            </w:pPr>
            <w:r>
              <w:t>工作完成情况</w:t>
            </w:r>
          </w:p>
        </w:tc>
        <w:tc>
          <w:tcPr>
            <w:tcW w:w="2835" w:type="dxa"/>
            <w:vAlign w:val="center"/>
          </w:tcPr>
          <w:p>
            <w:pPr>
              <w:pStyle w:val="30"/>
            </w:pPr>
            <w:r>
              <w:t>相关人员按照工作要求、上级要求，按时、高质、高效完成工作，中心领导对工作完成情况进行评价</w:t>
            </w:r>
          </w:p>
        </w:tc>
        <w:tc>
          <w:tcPr>
            <w:tcW w:w="2551" w:type="dxa"/>
            <w:vAlign w:val="center"/>
          </w:tcPr>
          <w:p>
            <w:pPr>
              <w:pStyle w:val="30"/>
            </w:pPr>
            <w:r>
              <w:t>工作完成情况</w:t>
            </w:r>
          </w:p>
        </w:tc>
        <w:tc>
          <w:tcPr>
            <w:tcW w:w="2268" w:type="dxa"/>
            <w:vAlign w:val="center"/>
          </w:tcPr>
          <w:p>
            <w:pPr>
              <w:pStyle w:val="30"/>
            </w:pPr>
            <w:r>
              <w:t>中心工作要求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满意度</w:t>
            </w:r>
          </w:p>
        </w:tc>
        <w:tc>
          <w:tcPr>
            <w:tcW w:w="2835" w:type="dxa"/>
            <w:vAlign w:val="center"/>
          </w:tcPr>
          <w:p>
            <w:pPr>
              <w:pStyle w:val="30"/>
            </w:pPr>
            <w:r>
              <w:t>领导对自收自支人员工作满意度</w:t>
            </w:r>
          </w:p>
        </w:tc>
        <w:tc>
          <w:tcPr>
            <w:tcW w:w="2551" w:type="dxa"/>
            <w:vAlign w:val="center"/>
          </w:tcPr>
          <w:p>
            <w:pPr>
              <w:pStyle w:val="30"/>
            </w:pPr>
            <w:r>
              <w:t>≥95%</w:t>
            </w:r>
          </w:p>
        </w:tc>
        <w:tc>
          <w:tcPr>
            <w:tcW w:w="2268" w:type="dxa"/>
            <w:vAlign w:val="center"/>
          </w:tcPr>
          <w:p>
            <w:pPr>
              <w:pStyle w:val="30"/>
            </w:pPr>
            <w:r>
              <w:t>中心工作要求</w:t>
            </w:r>
          </w:p>
        </w:tc>
      </w:tr>
    </w:tbl>
    <w:p>
      <w:pPr>
        <w:pStyle w:val="28"/>
      </w:pPr>
    </w:p>
    <w:p>
      <w:pPr>
        <w:pStyle w:val="28"/>
        <w:ind w:firstLine="560"/>
      </w:pPr>
      <w:r>
        <w:rPr>
          <w:rFonts w:ascii="方正仿宋_GBK" w:hAnsi="方正仿宋_GBK" w:eastAsia="方正仿宋_GBK" w:cs="方正仿宋_GBK"/>
          <w:b/>
          <w:color w:val="000000"/>
          <w:sz w:val="28"/>
        </w:rPr>
        <w:t>3、供电线路改造经费绩效目标表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1.加快推荐供电线路改造项目实施</w:t>
            </w:r>
          </w:p>
          <w:p>
            <w:pPr>
              <w:pStyle w:val="30"/>
            </w:pPr>
            <w:r>
              <w:t>2.改造完成后确保节目正常播出、各类活动及融媒体工作正常进行</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工程质量合格率</w:t>
            </w:r>
          </w:p>
        </w:tc>
        <w:tc>
          <w:tcPr>
            <w:tcW w:w="2835" w:type="dxa"/>
            <w:vAlign w:val="center"/>
          </w:tcPr>
          <w:p>
            <w:pPr>
              <w:pStyle w:val="30"/>
            </w:pPr>
            <w:r>
              <w:t xml:space="preserve"> 工程建设过程中，及时对工程质量进行检测，并在工程结束后对工程进行验收（验收合格率）</w:t>
            </w:r>
          </w:p>
        </w:tc>
        <w:tc>
          <w:tcPr>
            <w:tcW w:w="2551" w:type="dxa"/>
            <w:vAlign w:val="center"/>
          </w:tcPr>
          <w:p>
            <w:pPr>
              <w:pStyle w:val="30"/>
            </w:pPr>
            <w:r>
              <w:t>≥98%</w:t>
            </w:r>
          </w:p>
        </w:tc>
        <w:tc>
          <w:tcPr>
            <w:tcW w:w="2268" w:type="dxa"/>
            <w:vAlign w:val="center"/>
          </w:tcPr>
          <w:p>
            <w:pPr>
              <w:pStyle w:val="3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工程按时完成率</w:t>
            </w:r>
          </w:p>
        </w:tc>
        <w:tc>
          <w:tcPr>
            <w:tcW w:w="2835" w:type="dxa"/>
            <w:vAlign w:val="center"/>
          </w:tcPr>
          <w:p>
            <w:pPr>
              <w:pStyle w:val="30"/>
            </w:pPr>
            <w:r>
              <w:t>年底实际完成工程量占计划完成工程量的比率（实际完成/计划数）</w:t>
            </w:r>
          </w:p>
        </w:tc>
        <w:tc>
          <w:tcPr>
            <w:tcW w:w="2551" w:type="dxa"/>
            <w:vAlign w:val="center"/>
          </w:tcPr>
          <w:p>
            <w:pPr>
              <w:pStyle w:val="30"/>
            </w:pPr>
            <w:r>
              <w:t>100%</w:t>
            </w:r>
          </w:p>
        </w:tc>
        <w:tc>
          <w:tcPr>
            <w:tcW w:w="2268" w:type="dxa"/>
            <w:vAlign w:val="center"/>
          </w:tcPr>
          <w:p>
            <w:pPr>
              <w:pStyle w:val="3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支出及时率</w:t>
            </w:r>
          </w:p>
        </w:tc>
        <w:tc>
          <w:tcPr>
            <w:tcW w:w="2835" w:type="dxa"/>
            <w:vAlign w:val="center"/>
          </w:tcPr>
          <w:p>
            <w:pPr>
              <w:pStyle w:val="30"/>
            </w:pPr>
            <w:r>
              <w:t>按合同在年底前完成申请金额支出</w:t>
            </w:r>
          </w:p>
        </w:tc>
        <w:tc>
          <w:tcPr>
            <w:tcW w:w="2551" w:type="dxa"/>
            <w:vAlign w:val="center"/>
          </w:tcPr>
          <w:p>
            <w:pPr>
              <w:pStyle w:val="30"/>
            </w:pPr>
            <w:r>
              <w:t>100%</w:t>
            </w:r>
          </w:p>
        </w:tc>
        <w:tc>
          <w:tcPr>
            <w:tcW w:w="2268" w:type="dxa"/>
            <w:vAlign w:val="center"/>
          </w:tcPr>
          <w:p>
            <w:pPr>
              <w:pStyle w:val="3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项目总成本</w:t>
            </w:r>
          </w:p>
        </w:tc>
        <w:tc>
          <w:tcPr>
            <w:tcW w:w="2835" w:type="dxa"/>
            <w:vAlign w:val="center"/>
          </w:tcPr>
          <w:p>
            <w:pPr>
              <w:pStyle w:val="30"/>
            </w:pPr>
            <w:r>
              <w:t>将成本控制在预算内，合理利用预算</w:t>
            </w:r>
          </w:p>
        </w:tc>
        <w:tc>
          <w:tcPr>
            <w:tcW w:w="2551" w:type="dxa"/>
            <w:vAlign w:val="center"/>
          </w:tcPr>
          <w:p>
            <w:pPr>
              <w:pStyle w:val="30"/>
            </w:pPr>
            <w:r>
              <w:t>≤30万元</w:t>
            </w:r>
          </w:p>
        </w:tc>
        <w:tc>
          <w:tcPr>
            <w:tcW w:w="2268" w:type="dxa"/>
            <w:vAlign w:val="center"/>
          </w:tcPr>
          <w:p>
            <w:pPr>
              <w:pStyle w:val="3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可持续影响指标</w:t>
            </w:r>
          </w:p>
        </w:tc>
        <w:tc>
          <w:tcPr>
            <w:tcW w:w="2835" w:type="dxa"/>
            <w:vAlign w:val="center"/>
          </w:tcPr>
          <w:p>
            <w:pPr>
              <w:pStyle w:val="30"/>
            </w:pPr>
            <w:r>
              <w:t>设备使用效果</w:t>
            </w:r>
          </w:p>
        </w:tc>
        <w:tc>
          <w:tcPr>
            <w:tcW w:w="2835" w:type="dxa"/>
            <w:vAlign w:val="center"/>
          </w:tcPr>
          <w:p>
            <w:pPr>
              <w:pStyle w:val="30"/>
            </w:pPr>
            <w:r>
              <w:t>项目完成后,检测用电高峰期设备运行率</w:t>
            </w:r>
          </w:p>
        </w:tc>
        <w:tc>
          <w:tcPr>
            <w:tcW w:w="2551" w:type="dxa"/>
            <w:vAlign w:val="center"/>
          </w:tcPr>
          <w:p>
            <w:pPr>
              <w:pStyle w:val="30"/>
            </w:pPr>
            <w:r>
              <w:t>≥98%</w:t>
            </w:r>
          </w:p>
        </w:tc>
        <w:tc>
          <w:tcPr>
            <w:tcW w:w="2268" w:type="dxa"/>
            <w:vAlign w:val="center"/>
          </w:tcPr>
          <w:p>
            <w:pPr>
              <w:pStyle w:val="30"/>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使用单位成员满意度</w:t>
            </w:r>
          </w:p>
        </w:tc>
        <w:tc>
          <w:tcPr>
            <w:tcW w:w="2835" w:type="dxa"/>
            <w:vAlign w:val="center"/>
          </w:tcPr>
          <w:p>
            <w:pPr>
              <w:pStyle w:val="30"/>
            </w:pPr>
            <w:r>
              <w:t>通过问卷调查，反映满意的单位成员占总使用成员数量之比</w:t>
            </w:r>
          </w:p>
        </w:tc>
        <w:tc>
          <w:tcPr>
            <w:tcW w:w="2551" w:type="dxa"/>
            <w:vAlign w:val="center"/>
          </w:tcPr>
          <w:p>
            <w:pPr>
              <w:pStyle w:val="30"/>
            </w:pPr>
            <w:r>
              <w:t>≥98%</w:t>
            </w:r>
          </w:p>
        </w:tc>
        <w:tc>
          <w:tcPr>
            <w:tcW w:w="2268" w:type="dxa"/>
            <w:vAlign w:val="center"/>
          </w:tcPr>
          <w:p>
            <w:pPr>
              <w:pStyle w:val="30"/>
            </w:pPr>
            <w:r>
              <w:t>调查问卷</w:t>
            </w:r>
          </w:p>
        </w:tc>
      </w:tr>
    </w:tbl>
    <w:p>
      <w:pPr>
        <w:pStyle w:val="28"/>
      </w:pPr>
    </w:p>
    <w:p>
      <w:pPr>
        <w:pStyle w:val="28"/>
        <w:ind w:firstLine="560"/>
      </w:pPr>
      <w:r>
        <w:rPr>
          <w:rFonts w:ascii="方正仿宋_GBK" w:hAnsi="方正仿宋_GBK" w:eastAsia="方正仿宋_GBK" w:cs="方正仿宋_GBK"/>
          <w:b/>
          <w:color w:val="000000"/>
          <w:sz w:val="28"/>
        </w:rPr>
        <w:t>4、记录小康工程费用绩效目标表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1.确保藁城区“记录小康工程”平台建设、数据库整理工作顺利进行</w:t>
            </w:r>
          </w:p>
          <w:p>
            <w:pPr>
              <w:pStyle w:val="30"/>
            </w:pPr>
            <w:r>
              <w:t>2.聘请专业人员确保数据库运维顺利</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数据库资料数量</w:t>
            </w:r>
          </w:p>
        </w:tc>
        <w:tc>
          <w:tcPr>
            <w:tcW w:w="2835" w:type="dxa"/>
            <w:vAlign w:val="center"/>
          </w:tcPr>
          <w:p>
            <w:pPr>
              <w:pStyle w:val="30"/>
            </w:pPr>
            <w:r>
              <w:t>整理关于小康社会建设数据资料数量</w:t>
            </w:r>
          </w:p>
        </w:tc>
        <w:tc>
          <w:tcPr>
            <w:tcW w:w="2551" w:type="dxa"/>
            <w:vAlign w:val="center"/>
          </w:tcPr>
          <w:p>
            <w:pPr>
              <w:pStyle w:val="30"/>
            </w:pPr>
            <w:r>
              <w:t>≥1300条</w:t>
            </w:r>
          </w:p>
        </w:tc>
        <w:tc>
          <w:tcPr>
            <w:tcW w:w="2268" w:type="dxa"/>
            <w:vAlign w:val="center"/>
          </w:tcPr>
          <w:p>
            <w:pPr>
              <w:pStyle w:val="30"/>
            </w:pPr>
            <w:r>
              <w:t>实际整理条数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差错率</w:t>
            </w:r>
          </w:p>
        </w:tc>
        <w:tc>
          <w:tcPr>
            <w:tcW w:w="2835" w:type="dxa"/>
            <w:vAlign w:val="center"/>
          </w:tcPr>
          <w:p>
            <w:pPr>
              <w:pStyle w:val="30"/>
            </w:pPr>
            <w:r>
              <w:t>数据库提交资料每百条信息差错率（差错率=实际差错信息条数/全部信息数）</w:t>
            </w:r>
          </w:p>
        </w:tc>
        <w:tc>
          <w:tcPr>
            <w:tcW w:w="2551" w:type="dxa"/>
            <w:vAlign w:val="center"/>
          </w:tcPr>
          <w:p>
            <w:pPr>
              <w:pStyle w:val="30"/>
            </w:pPr>
            <w:r>
              <w:t>≤1%</w:t>
            </w:r>
          </w:p>
        </w:tc>
        <w:tc>
          <w:tcPr>
            <w:tcW w:w="2268"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数据库信息时效性</w:t>
            </w:r>
          </w:p>
        </w:tc>
        <w:tc>
          <w:tcPr>
            <w:tcW w:w="2835" w:type="dxa"/>
            <w:vAlign w:val="center"/>
          </w:tcPr>
          <w:p>
            <w:pPr>
              <w:pStyle w:val="30"/>
            </w:pPr>
            <w:r>
              <w:t>按要求及时更新数据库信息</w:t>
            </w:r>
          </w:p>
        </w:tc>
        <w:tc>
          <w:tcPr>
            <w:tcW w:w="2551" w:type="dxa"/>
            <w:vAlign w:val="center"/>
          </w:tcPr>
          <w:p>
            <w:pPr>
              <w:pStyle w:val="30"/>
            </w:pPr>
            <w:r>
              <w:t>≥80%</w:t>
            </w:r>
          </w:p>
        </w:tc>
        <w:tc>
          <w:tcPr>
            <w:tcW w:w="2268" w:type="dxa"/>
            <w:vAlign w:val="center"/>
          </w:tcPr>
          <w:p>
            <w:pPr>
              <w:pStyle w:val="30"/>
            </w:pPr>
            <w:r>
              <w:t>数据库实际更新数量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项目总成本</w:t>
            </w:r>
          </w:p>
        </w:tc>
        <w:tc>
          <w:tcPr>
            <w:tcW w:w="2835" w:type="dxa"/>
            <w:vAlign w:val="center"/>
          </w:tcPr>
          <w:p>
            <w:pPr>
              <w:pStyle w:val="30"/>
            </w:pPr>
            <w:r>
              <w:t>将成本控制在预算内，合理利用预算</w:t>
            </w:r>
          </w:p>
        </w:tc>
        <w:tc>
          <w:tcPr>
            <w:tcW w:w="2551" w:type="dxa"/>
            <w:vAlign w:val="center"/>
          </w:tcPr>
          <w:p>
            <w:pPr>
              <w:pStyle w:val="30"/>
            </w:pPr>
            <w:r>
              <w:t>≤5万元</w:t>
            </w:r>
          </w:p>
        </w:tc>
        <w:tc>
          <w:tcPr>
            <w:tcW w:w="2268" w:type="dxa"/>
            <w:vAlign w:val="center"/>
          </w:tcPr>
          <w:p>
            <w:pPr>
              <w:pStyle w:val="3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数据库使用率</w:t>
            </w:r>
          </w:p>
        </w:tc>
        <w:tc>
          <w:tcPr>
            <w:tcW w:w="2835" w:type="dxa"/>
            <w:vAlign w:val="center"/>
          </w:tcPr>
          <w:p>
            <w:pPr>
              <w:pStyle w:val="30"/>
            </w:pPr>
            <w:r>
              <w:t>社会群众对记录小康工程数据库使用率</w:t>
            </w:r>
          </w:p>
        </w:tc>
        <w:tc>
          <w:tcPr>
            <w:tcW w:w="2551" w:type="dxa"/>
            <w:vAlign w:val="center"/>
          </w:tcPr>
          <w:p>
            <w:pPr>
              <w:pStyle w:val="30"/>
            </w:pPr>
            <w:r>
              <w:t>≥80%</w:t>
            </w:r>
          </w:p>
        </w:tc>
        <w:tc>
          <w:tcPr>
            <w:tcW w:w="2268" w:type="dxa"/>
            <w:vAlign w:val="center"/>
          </w:tcPr>
          <w:p>
            <w:pPr>
              <w:pStyle w:val="30"/>
            </w:pPr>
            <w:r>
              <w:t>实际使用率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领导满意度</w:t>
            </w:r>
          </w:p>
        </w:tc>
        <w:tc>
          <w:tcPr>
            <w:tcW w:w="2835" w:type="dxa"/>
            <w:vAlign w:val="center"/>
          </w:tcPr>
          <w:p>
            <w:pPr>
              <w:pStyle w:val="30"/>
            </w:pPr>
            <w:r>
              <w:t>领导对数据库信息及数据库正常运维情况满意度指标</w:t>
            </w:r>
          </w:p>
        </w:tc>
        <w:tc>
          <w:tcPr>
            <w:tcW w:w="2551" w:type="dxa"/>
            <w:vAlign w:val="center"/>
          </w:tcPr>
          <w:p>
            <w:pPr>
              <w:pStyle w:val="30"/>
            </w:pPr>
            <w:r>
              <w:t>≥90%</w:t>
            </w:r>
          </w:p>
        </w:tc>
        <w:tc>
          <w:tcPr>
            <w:tcW w:w="2268" w:type="dxa"/>
            <w:vAlign w:val="center"/>
          </w:tcPr>
          <w:p>
            <w:pPr>
              <w:pStyle w:val="30"/>
            </w:pPr>
            <w:r>
              <w:t>调查表</w:t>
            </w:r>
          </w:p>
        </w:tc>
      </w:tr>
    </w:tbl>
    <w:p>
      <w:pPr>
        <w:pStyle w:val="28"/>
      </w:pPr>
    </w:p>
    <w:p>
      <w:pPr>
        <w:pStyle w:val="28"/>
        <w:ind w:firstLine="560"/>
      </w:pPr>
      <w:r>
        <w:rPr>
          <w:rFonts w:ascii="方正仿宋_GBK" w:hAnsi="方正仿宋_GBK" w:eastAsia="方正仿宋_GBK" w:cs="方正仿宋_GBK"/>
          <w:b/>
          <w:color w:val="000000"/>
          <w:sz w:val="28"/>
        </w:rPr>
        <w:t>5、劳务派遣人员经费绩效目标表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1.每月初由石家庄美世人力资源服务有限公司开具票据（附每个人的工资和五险明细）然后我单位即时将款转入该公司，由该公司统一为8名劳务派遣人员入五险和发放工资，每月15日前完成。</w:t>
            </w:r>
          </w:p>
          <w:p>
            <w:pPr>
              <w:pStyle w:val="30"/>
            </w:pPr>
            <w:r>
              <w:t>2.单位工作有明显改观</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劳务派遣人员8名</w:t>
            </w:r>
          </w:p>
        </w:tc>
        <w:tc>
          <w:tcPr>
            <w:tcW w:w="2835" w:type="dxa"/>
            <w:vAlign w:val="center"/>
          </w:tcPr>
          <w:p>
            <w:pPr>
              <w:pStyle w:val="30"/>
            </w:pPr>
            <w:r>
              <w:t>新媒体部2人，新闻记者部4人，财务部1人，策划运营部1人</w:t>
            </w:r>
          </w:p>
        </w:tc>
        <w:tc>
          <w:tcPr>
            <w:tcW w:w="2551" w:type="dxa"/>
            <w:vAlign w:val="center"/>
          </w:tcPr>
          <w:p>
            <w:pPr>
              <w:pStyle w:val="30"/>
            </w:pPr>
            <w:r>
              <w:t>8人</w:t>
            </w:r>
          </w:p>
        </w:tc>
        <w:tc>
          <w:tcPr>
            <w:tcW w:w="2268"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资金支付完成率</w:t>
            </w:r>
          </w:p>
        </w:tc>
        <w:tc>
          <w:tcPr>
            <w:tcW w:w="2835" w:type="dxa"/>
            <w:vAlign w:val="center"/>
          </w:tcPr>
          <w:p>
            <w:pPr>
              <w:pStyle w:val="30"/>
            </w:pPr>
            <w:r>
              <w:t>按要求每月支付劳务派遣人员保险及工资完成率</w:t>
            </w:r>
          </w:p>
        </w:tc>
        <w:tc>
          <w:tcPr>
            <w:tcW w:w="2551" w:type="dxa"/>
            <w:vAlign w:val="center"/>
          </w:tcPr>
          <w:p>
            <w:pPr>
              <w:pStyle w:val="30"/>
            </w:pPr>
            <w:r>
              <w:t>≥98%</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按时发放工资</w:t>
            </w:r>
          </w:p>
        </w:tc>
        <w:tc>
          <w:tcPr>
            <w:tcW w:w="2835" w:type="dxa"/>
            <w:vAlign w:val="center"/>
          </w:tcPr>
          <w:p>
            <w:pPr>
              <w:pStyle w:val="30"/>
            </w:pPr>
            <w:r>
              <w:t>每月根据第三方提供的支付凭证按时刚放工资</w:t>
            </w:r>
          </w:p>
        </w:tc>
        <w:tc>
          <w:tcPr>
            <w:tcW w:w="2551" w:type="dxa"/>
            <w:vAlign w:val="center"/>
          </w:tcPr>
          <w:p>
            <w:pPr>
              <w:pStyle w:val="30"/>
            </w:pPr>
            <w:r>
              <w:t>早于25号</w:t>
            </w:r>
          </w:p>
        </w:tc>
        <w:tc>
          <w:tcPr>
            <w:tcW w:w="2268"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项目总成本</w:t>
            </w:r>
          </w:p>
        </w:tc>
        <w:tc>
          <w:tcPr>
            <w:tcW w:w="2835" w:type="dxa"/>
            <w:vAlign w:val="center"/>
          </w:tcPr>
          <w:p>
            <w:pPr>
              <w:pStyle w:val="30"/>
            </w:pPr>
            <w:r>
              <w:t>将成本控制在预算内，合理利用预算。</w:t>
            </w:r>
          </w:p>
        </w:tc>
        <w:tc>
          <w:tcPr>
            <w:tcW w:w="2551" w:type="dxa"/>
            <w:vAlign w:val="center"/>
          </w:tcPr>
          <w:p>
            <w:pPr>
              <w:pStyle w:val="30"/>
            </w:pPr>
            <w:r>
              <w:t>≤40.71万元</w:t>
            </w:r>
          </w:p>
        </w:tc>
        <w:tc>
          <w:tcPr>
            <w:tcW w:w="2268" w:type="dxa"/>
            <w:vAlign w:val="center"/>
          </w:tcPr>
          <w:p>
            <w:pPr>
              <w:pStyle w:val="3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可持续影响指标</w:t>
            </w:r>
          </w:p>
        </w:tc>
        <w:tc>
          <w:tcPr>
            <w:tcW w:w="2835" w:type="dxa"/>
            <w:vAlign w:val="center"/>
          </w:tcPr>
          <w:p>
            <w:pPr>
              <w:pStyle w:val="30"/>
            </w:pPr>
            <w:r>
              <w:t>长期工作完成情况</w:t>
            </w:r>
          </w:p>
        </w:tc>
        <w:tc>
          <w:tcPr>
            <w:tcW w:w="2835" w:type="dxa"/>
            <w:vAlign w:val="center"/>
          </w:tcPr>
          <w:p>
            <w:pPr>
              <w:pStyle w:val="30"/>
            </w:pPr>
            <w:r>
              <w:t>按照上级、工作要求，使单位的工作能够长时间保持高效、高质的状态，定期对劳务派遣人员进行考核</w:t>
            </w:r>
          </w:p>
        </w:tc>
        <w:tc>
          <w:tcPr>
            <w:tcW w:w="2551" w:type="dxa"/>
            <w:vAlign w:val="center"/>
          </w:tcPr>
          <w:p>
            <w:pPr>
              <w:pStyle w:val="30"/>
            </w:pPr>
            <w:r>
              <w:t>等级</w:t>
            </w:r>
          </w:p>
        </w:tc>
        <w:tc>
          <w:tcPr>
            <w:tcW w:w="2268" w:type="dxa"/>
            <w:vAlign w:val="center"/>
          </w:tcPr>
          <w:p>
            <w:pPr>
              <w:pStyle w:val="30"/>
            </w:pPr>
            <w:r>
              <w:t>领导考核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领导满意度</w:t>
            </w:r>
          </w:p>
        </w:tc>
        <w:tc>
          <w:tcPr>
            <w:tcW w:w="2835" w:type="dxa"/>
            <w:vAlign w:val="center"/>
          </w:tcPr>
          <w:p>
            <w:pPr>
              <w:pStyle w:val="30"/>
            </w:pPr>
            <w:r>
              <w:t>工作积极，圆满完成领导安排的工作，调查各中心领导满意度“优”占比情况</w:t>
            </w:r>
          </w:p>
        </w:tc>
        <w:tc>
          <w:tcPr>
            <w:tcW w:w="2551" w:type="dxa"/>
            <w:vAlign w:val="center"/>
          </w:tcPr>
          <w:p>
            <w:pPr>
              <w:pStyle w:val="30"/>
            </w:pPr>
            <w:r>
              <w:t>≥98%</w:t>
            </w:r>
          </w:p>
        </w:tc>
        <w:tc>
          <w:tcPr>
            <w:tcW w:w="2268" w:type="dxa"/>
            <w:vAlign w:val="center"/>
          </w:tcPr>
          <w:p>
            <w:pPr>
              <w:pStyle w:val="30"/>
            </w:pPr>
            <w:r>
              <w:t>调查问卷</w:t>
            </w:r>
          </w:p>
        </w:tc>
      </w:tr>
    </w:tbl>
    <w:p>
      <w:pPr>
        <w:pStyle w:val="28"/>
      </w:pPr>
    </w:p>
    <w:p>
      <w:pPr>
        <w:pStyle w:val="28"/>
        <w:ind w:firstLine="560"/>
      </w:pPr>
      <w:r>
        <w:rPr>
          <w:rFonts w:ascii="方正仿宋_GBK" w:hAnsi="方正仿宋_GBK" w:eastAsia="方正仿宋_GBK" w:cs="方正仿宋_GBK"/>
          <w:b/>
          <w:color w:val="000000"/>
          <w:sz w:val="28"/>
        </w:rPr>
        <w:t>6、融媒体中心办公经费绩效目标表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1.负责融媒体对外接待、办公设备保障维修，办公用品采购及设备招标、记者采访保障费、占地租赁等费用</w:t>
            </w:r>
          </w:p>
          <w:p>
            <w:pPr>
              <w:pStyle w:val="30"/>
            </w:pPr>
            <w:r>
              <w:t>2.缴纳各平台，信息技术费、使用费以及中心报纸印刷相关费用</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印刷份数</w:t>
            </w:r>
          </w:p>
        </w:tc>
        <w:tc>
          <w:tcPr>
            <w:tcW w:w="2835" w:type="dxa"/>
            <w:vAlign w:val="center"/>
          </w:tcPr>
          <w:p>
            <w:pPr>
              <w:pStyle w:val="30"/>
            </w:pPr>
            <w:r>
              <w:t>单彩，每期8700份，年印刷数份数</w:t>
            </w:r>
          </w:p>
        </w:tc>
        <w:tc>
          <w:tcPr>
            <w:tcW w:w="2551" w:type="dxa"/>
            <w:vAlign w:val="center"/>
          </w:tcPr>
          <w:p>
            <w:pPr>
              <w:pStyle w:val="30"/>
            </w:pPr>
            <w:r>
              <w:t>≥852600份</w:t>
            </w:r>
          </w:p>
        </w:tc>
        <w:tc>
          <w:tcPr>
            <w:tcW w:w="2268" w:type="dxa"/>
            <w:vAlign w:val="center"/>
          </w:tcPr>
          <w:p>
            <w:pPr>
              <w:pStyle w:val="30"/>
            </w:pPr>
            <w:r>
              <w:t>实际印刷数量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中心工作运转</w:t>
            </w:r>
          </w:p>
        </w:tc>
        <w:tc>
          <w:tcPr>
            <w:tcW w:w="2835" w:type="dxa"/>
            <w:vAlign w:val="center"/>
          </w:tcPr>
          <w:p>
            <w:pPr>
              <w:pStyle w:val="30"/>
            </w:pPr>
            <w:r>
              <w:t>对中心专用设备定期维护保养、排障情况</w:t>
            </w:r>
          </w:p>
        </w:tc>
        <w:tc>
          <w:tcPr>
            <w:tcW w:w="2551" w:type="dxa"/>
            <w:vAlign w:val="center"/>
          </w:tcPr>
          <w:p>
            <w:pPr>
              <w:pStyle w:val="30"/>
            </w:pPr>
            <w:r>
              <w:t>设备维护情况</w:t>
            </w:r>
          </w:p>
        </w:tc>
        <w:tc>
          <w:tcPr>
            <w:tcW w:w="2268" w:type="dxa"/>
            <w:vAlign w:val="center"/>
          </w:tcPr>
          <w:p>
            <w:pPr>
              <w:pStyle w:val="30"/>
            </w:pPr>
            <w:r>
              <w:t>历史工作经验</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 xml:space="preserve">综合事务管理工作完成率 </w:t>
            </w:r>
          </w:p>
          <w:p>
            <w:pPr>
              <w:pStyle w:val="30"/>
            </w:pPr>
          </w:p>
        </w:tc>
        <w:tc>
          <w:tcPr>
            <w:tcW w:w="2835" w:type="dxa"/>
            <w:vAlign w:val="center"/>
          </w:tcPr>
          <w:p>
            <w:pPr>
              <w:pStyle w:val="30"/>
            </w:pPr>
            <w:r>
              <w:t>综合事务管理工作完成率</w:t>
            </w:r>
          </w:p>
        </w:tc>
        <w:tc>
          <w:tcPr>
            <w:tcW w:w="2551" w:type="dxa"/>
            <w:vAlign w:val="center"/>
          </w:tcPr>
          <w:p>
            <w:pPr>
              <w:pStyle w:val="30"/>
            </w:pPr>
            <w:r>
              <w:t>≥95%</w:t>
            </w:r>
          </w:p>
        </w:tc>
        <w:tc>
          <w:tcPr>
            <w:tcW w:w="2268" w:type="dxa"/>
            <w:vAlign w:val="center"/>
          </w:tcPr>
          <w:p>
            <w:pPr>
              <w:pStyle w:val="30"/>
            </w:pPr>
            <w:r>
              <w:t>领导满意度</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项目总成本</w:t>
            </w:r>
          </w:p>
        </w:tc>
        <w:tc>
          <w:tcPr>
            <w:tcW w:w="2835" w:type="dxa"/>
            <w:vAlign w:val="center"/>
          </w:tcPr>
          <w:p>
            <w:pPr>
              <w:pStyle w:val="30"/>
            </w:pPr>
            <w:r>
              <w:t>将成本控制在预算内，合理利用预算。</w:t>
            </w:r>
          </w:p>
        </w:tc>
        <w:tc>
          <w:tcPr>
            <w:tcW w:w="2551" w:type="dxa"/>
            <w:vAlign w:val="center"/>
          </w:tcPr>
          <w:p>
            <w:pPr>
              <w:pStyle w:val="30"/>
            </w:pPr>
            <w:r>
              <w:t>≤65万元</w:t>
            </w:r>
          </w:p>
        </w:tc>
        <w:tc>
          <w:tcPr>
            <w:tcW w:w="2268" w:type="dxa"/>
            <w:vAlign w:val="center"/>
          </w:tcPr>
          <w:p>
            <w:pPr>
              <w:pStyle w:val="3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可持续影响指标</w:t>
            </w:r>
          </w:p>
        </w:tc>
        <w:tc>
          <w:tcPr>
            <w:tcW w:w="2835" w:type="dxa"/>
            <w:vAlign w:val="center"/>
          </w:tcPr>
          <w:p>
            <w:pPr>
              <w:pStyle w:val="30"/>
            </w:pPr>
            <w:r>
              <w:t>工作效率</w:t>
            </w:r>
          </w:p>
        </w:tc>
        <w:tc>
          <w:tcPr>
            <w:tcW w:w="2835" w:type="dxa"/>
            <w:vAlign w:val="center"/>
          </w:tcPr>
          <w:p>
            <w:pPr>
              <w:pStyle w:val="30"/>
            </w:pPr>
            <w:r>
              <w:t>各部门间协调配合，提升中心工作效率，工作效率平均值达到80%(工作效率=工作总量/工作时间)</w:t>
            </w:r>
          </w:p>
        </w:tc>
        <w:tc>
          <w:tcPr>
            <w:tcW w:w="2551" w:type="dxa"/>
            <w:vAlign w:val="center"/>
          </w:tcPr>
          <w:p>
            <w:pPr>
              <w:pStyle w:val="30"/>
            </w:pPr>
            <w:r>
              <w:t>≥80%</w:t>
            </w:r>
          </w:p>
        </w:tc>
        <w:tc>
          <w:tcPr>
            <w:tcW w:w="2268" w:type="dxa"/>
            <w:vAlign w:val="center"/>
          </w:tcPr>
          <w:p>
            <w:pPr>
              <w:pStyle w:val="30"/>
            </w:pPr>
            <w:r>
              <w:t>调查</w:t>
            </w:r>
          </w:p>
        </w:tc>
      </w:tr>
      <w:tr>
        <w:tblPrEx>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满意度</w:t>
            </w:r>
          </w:p>
        </w:tc>
        <w:tc>
          <w:tcPr>
            <w:tcW w:w="2835" w:type="dxa"/>
            <w:vAlign w:val="center"/>
          </w:tcPr>
          <w:p>
            <w:pPr>
              <w:pStyle w:val="30"/>
            </w:pPr>
            <w:r>
              <w:t>合理利用经费，使中心各部门工作高度配合，工作顺利进行，提高领导满意度</w:t>
            </w:r>
          </w:p>
        </w:tc>
        <w:tc>
          <w:tcPr>
            <w:tcW w:w="2551" w:type="dxa"/>
            <w:vAlign w:val="center"/>
          </w:tcPr>
          <w:p>
            <w:pPr>
              <w:pStyle w:val="30"/>
            </w:pPr>
            <w:r>
              <w:t>&gt;98%</w:t>
            </w:r>
          </w:p>
        </w:tc>
        <w:tc>
          <w:tcPr>
            <w:tcW w:w="2268" w:type="dxa"/>
            <w:vAlign w:val="center"/>
          </w:tcPr>
          <w:p>
            <w:pPr>
              <w:pStyle w:val="30"/>
            </w:pPr>
            <w:r>
              <w:t>领导考核</w:t>
            </w:r>
          </w:p>
        </w:tc>
      </w:tr>
    </w:tbl>
    <w:p>
      <w:pPr>
        <w:pStyle w:val="28"/>
      </w:pPr>
    </w:p>
    <w:p>
      <w:pPr>
        <w:pStyle w:val="28"/>
        <w:ind w:firstLine="560"/>
      </w:pPr>
      <w:r>
        <w:rPr>
          <w:rFonts w:ascii="方正仿宋_GBK" w:hAnsi="方正仿宋_GBK" w:eastAsia="方正仿宋_GBK" w:cs="方正仿宋_GBK"/>
          <w:b/>
          <w:color w:val="000000"/>
          <w:sz w:val="28"/>
        </w:rPr>
        <w:t>7、融媒体中心建设经费绩效目标表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1.通过不断提升硬件设施、软件设施建设，加快推进融媒体中心建设</w:t>
            </w:r>
          </w:p>
          <w:p>
            <w:pPr>
              <w:pStyle w:val="30"/>
            </w:pPr>
            <w:r>
              <w:t>2.及时向基层干部群众提供政务服务、生活服务、社会传播、教育培训、等综合各类综合服务</w:t>
            </w:r>
          </w:p>
          <w:p>
            <w:pPr>
              <w:pStyle w:val="30"/>
            </w:pPr>
            <w:r>
              <w:t>3.通过定期邀请名校专业教授以及相关专业的业内人士对中心相关科室人员进行培训，以提升相关科室人员专业能力，推进融媒体中心建设验收培训。</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专业设备购置数</w:t>
            </w:r>
          </w:p>
        </w:tc>
        <w:tc>
          <w:tcPr>
            <w:tcW w:w="2835" w:type="dxa"/>
            <w:vAlign w:val="center"/>
          </w:tcPr>
          <w:p>
            <w:pPr>
              <w:pStyle w:val="30"/>
            </w:pPr>
            <w:r>
              <w:t>融媒体中心建设购置专业设备数量</w:t>
            </w:r>
          </w:p>
        </w:tc>
        <w:tc>
          <w:tcPr>
            <w:tcW w:w="2551" w:type="dxa"/>
            <w:vAlign w:val="center"/>
          </w:tcPr>
          <w:p>
            <w:pPr>
              <w:pStyle w:val="30"/>
            </w:pPr>
            <w:r>
              <w:t>≥10台</w:t>
            </w:r>
          </w:p>
        </w:tc>
        <w:tc>
          <w:tcPr>
            <w:tcW w:w="2268" w:type="dxa"/>
            <w:vAlign w:val="center"/>
          </w:tcPr>
          <w:p>
            <w:pPr>
              <w:pStyle w:val="30"/>
            </w:pPr>
            <w:r>
              <w:t>项目计划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按照合同要求达到验收标准</w:t>
            </w:r>
          </w:p>
        </w:tc>
        <w:tc>
          <w:tcPr>
            <w:tcW w:w="2835" w:type="dxa"/>
            <w:vAlign w:val="center"/>
          </w:tcPr>
          <w:p>
            <w:pPr>
              <w:pStyle w:val="30"/>
            </w:pPr>
            <w:r>
              <w:t>按照合同要求达到验收标准率</w:t>
            </w:r>
          </w:p>
        </w:tc>
        <w:tc>
          <w:tcPr>
            <w:tcW w:w="2551" w:type="dxa"/>
            <w:vAlign w:val="center"/>
          </w:tcPr>
          <w:p>
            <w:pPr>
              <w:pStyle w:val="30"/>
            </w:pPr>
            <w:r>
              <w:t>100%</w:t>
            </w:r>
          </w:p>
        </w:tc>
        <w:tc>
          <w:tcPr>
            <w:tcW w:w="2268" w:type="dxa"/>
            <w:vAlign w:val="center"/>
          </w:tcPr>
          <w:p>
            <w:pPr>
              <w:pStyle w:val="30"/>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基础设施建设进度</w:t>
            </w:r>
          </w:p>
        </w:tc>
        <w:tc>
          <w:tcPr>
            <w:tcW w:w="2835" w:type="dxa"/>
            <w:vAlign w:val="center"/>
          </w:tcPr>
          <w:p>
            <w:pPr>
              <w:pStyle w:val="30"/>
            </w:pPr>
            <w:r>
              <w:t>及时监测软硬件设施建设进度，在年中对应建项目完成率进行计算（已建设/应建设）</w:t>
            </w:r>
          </w:p>
        </w:tc>
        <w:tc>
          <w:tcPr>
            <w:tcW w:w="2551" w:type="dxa"/>
            <w:vAlign w:val="center"/>
          </w:tcPr>
          <w:p>
            <w:pPr>
              <w:pStyle w:val="30"/>
            </w:pPr>
            <w:r>
              <w:t>100%</w:t>
            </w:r>
          </w:p>
        </w:tc>
        <w:tc>
          <w:tcPr>
            <w:tcW w:w="2268" w:type="dxa"/>
            <w:vAlign w:val="center"/>
          </w:tcPr>
          <w:p>
            <w:pPr>
              <w:pStyle w:val="30"/>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项目总成本</w:t>
            </w:r>
          </w:p>
        </w:tc>
        <w:tc>
          <w:tcPr>
            <w:tcW w:w="2835" w:type="dxa"/>
            <w:vAlign w:val="center"/>
          </w:tcPr>
          <w:p>
            <w:pPr>
              <w:pStyle w:val="30"/>
            </w:pPr>
            <w:r>
              <w:t>将成本控制在预算内，合理利用预算</w:t>
            </w:r>
          </w:p>
        </w:tc>
        <w:tc>
          <w:tcPr>
            <w:tcW w:w="2551" w:type="dxa"/>
            <w:vAlign w:val="center"/>
          </w:tcPr>
          <w:p>
            <w:pPr>
              <w:pStyle w:val="30"/>
            </w:pPr>
            <w:r>
              <w:t>≤47万元</w:t>
            </w:r>
          </w:p>
        </w:tc>
        <w:tc>
          <w:tcPr>
            <w:tcW w:w="2268" w:type="dxa"/>
            <w:vAlign w:val="center"/>
          </w:tcPr>
          <w:p>
            <w:pPr>
              <w:pStyle w:val="3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可持续影响</w:t>
            </w:r>
          </w:p>
        </w:tc>
        <w:tc>
          <w:tcPr>
            <w:tcW w:w="2835" w:type="dxa"/>
            <w:vAlign w:val="center"/>
          </w:tcPr>
          <w:p>
            <w:pPr>
              <w:pStyle w:val="30"/>
            </w:pPr>
            <w:r>
              <w:t>设备建设完成后，中心工作正常运行</w:t>
            </w:r>
          </w:p>
        </w:tc>
        <w:tc>
          <w:tcPr>
            <w:tcW w:w="2551" w:type="dxa"/>
            <w:vAlign w:val="center"/>
          </w:tcPr>
          <w:p>
            <w:pPr>
              <w:pStyle w:val="30"/>
            </w:pPr>
            <w:r>
              <w:t>≥95%</w:t>
            </w:r>
          </w:p>
        </w:tc>
        <w:tc>
          <w:tcPr>
            <w:tcW w:w="2268" w:type="dxa"/>
            <w:vAlign w:val="center"/>
          </w:tcPr>
          <w:p>
            <w:pPr>
              <w:pStyle w:val="30"/>
            </w:pPr>
            <w:r>
              <w:t>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可持续影响指标</w:t>
            </w:r>
          </w:p>
        </w:tc>
        <w:tc>
          <w:tcPr>
            <w:tcW w:w="2835" w:type="dxa"/>
            <w:vAlign w:val="center"/>
          </w:tcPr>
          <w:p>
            <w:pPr>
              <w:pStyle w:val="30"/>
            </w:pPr>
            <w:r>
              <w:t>受训学员业务应用情况</w:t>
            </w:r>
          </w:p>
        </w:tc>
        <w:tc>
          <w:tcPr>
            <w:tcW w:w="2835" w:type="dxa"/>
            <w:vAlign w:val="center"/>
          </w:tcPr>
          <w:p>
            <w:pPr>
              <w:pStyle w:val="30"/>
            </w:pPr>
            <w:r>
              <w:t>培训内容对受训学员实际工作上的提升效果，受训人员对培训内容使用率</w:t>
            </w:r>
          </w:p>
        </w:tc>
        <w:tc>
          <w:tcPr>
            <w:tcW w:w="2551" w:type="dxa"/>
            <w:vAlign w:val="center"/>
          </w:tcPr>
          <w:p>
            <w:pPr>
              <w:pStyle w:val="30"/>
            </w:pPr>
            <w:r>
              <w:t>≥98%</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领导满意度</w:t>
            </w:r>
          </w:p>
        </w:tc>
        <w:tc>
          <w:tcPr>
            <w:tcW w:w="2835" w:type="dxa"/>
            <w:vAlign w:val="center"/>
          </w:tcPr>
          <w:p>
            <w:pPr>
              <w:pStyle w:val="30"/>
            </w:pPr>
            <w:r>
              <w:t>对相关部门人员进行专业培训，从而提升工作能力，定期对相关业务科室人员进行考核后领导满意度</w:t>
            </w:r>
          </w:p>
        </w:tc>
        <w:tc>
          <w:tcPr>
            <w:tcW w:w="2551" w:type="dxa"/>
            <w:vAlign w:val="center"/>
          </w:tcPr>
          <w:p>
            <w:pPr>
              <w:pStyle w:val="30"/>
            </w:pPr>
            <w:r>
              <w:t>≥98%</w:t>
            </w:r>
          </w:p>
        </w:tc>
        <w:tc>
          <w:tcPr>
            <w:tcW w:w="2268" w:type="dxa"/>
            <w:vAlign w:val="center"/>
          </w:tcPr>
          <w:p>
            <w:pPr>
              <w:pStyle w:val="30"/>
            </w:pPr>
            <w:r>
              <w:t>调查问卷</w:t>
            </w:r>
          </w:p>
        </w:tc>
      </w:tr>
    </w:tbl>
    <w:p>
      <w:pPr>
        <w:pStyle w:val="28"/>
      </w:pPr>
    </w:p>
    <w:p>
      <w:pPr>
        <w:pStyle w:val="28"/>
        <w:ind w:firstLine="560"/>
      </w:pPr>
      <w:r>
        <w:rPr>
          <w:rFonts w:ascii="方正仿宋_GBK" w:hAnsi="方正仿宋_GBK" w:eastAsia="方正仿宋_GBK" w:cs="方正仿宋_GBK"/>
          <w:b/>
          <w:color w:val="000000"/>
          <w:sz w:val="28"/>
        </w:rPr>
        <w:t>8、外宣工作专项经费绩效目标表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1.配合上级媒体来藁城进行采访活动经费</w:t>
            </w:r>
          </w:p>
          <w:p>
            <w:pPr>
              <w:pStyle w:val="30"/>
            </w:pPr>
            <w:r>
              <w:t>2.中心记者向上级媒体推送作品采访所需专业设备器材维修、维护</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设备数量</w:t>
            </w:r>
          </w:p>
        </w:tc>
        <w:tc>
          <w:tcPr>
            <w:tcW w:w="2835" w:type="dxa"/>
            <w:vAlign w:val="center"/>
          </w:tcPr>
          <w:p>
            <w:pPr>
              <w:pStyle w:val="30"/>
            </w:pPr>
            <w:r>
              <w:t>中心照相机、摄像机、无人机等设备数量</w:t>
            </w:r>
          </w:p>
        </w:tc>
        <w:tc>
          <w:tcPr>
            <w:tcW w:w="2551" w:type="dxa"/>
            <w:vAlign w:val="center"/>
          </w:tcPr>
          <w:p>
            <w:pPr>
              <w:pStyle w:val="30"/>
            </w:pPr>
            <w:r>
              <w:t>≥3台</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设备维修、维护</w:t>
            </w:r>
          </w:p>
        </w:tc>
        <w:tc>
          <w:tcPr>
            <w:tcW w:w="2835" w:type="dxa"/>
            <w:vAlign w:val="center"/>
          </w:tcPr>
          <w:p>
            <w:pPr>
              <w:pStyle w:val="30"/>
            </w:pPr>
            <w:r>
              <w:t>中心照相机等专用设备定期维修、维护情况</w:t>
            </w:r>
          </w:p>
        </w:tc>
        <w:tc>
          <w:tcPr>
            <w:tcW w:w="2551" w:type="dxa"/>
            <w:vAlign w:val="center"/>
          </w:tcPr>
          <w:p>
            <w:pPr>
              <w:pStyle w:val="30"/>
            </w:pPr>
            <w:r>
              <w:t>设备维护</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技术支持情况</w:t>
            </w:r>
          </w:p>
        </w:tc>
        <w:tc>
          <w:tcPr>
            <w:tcW w:w="2835" w:type="dxa"/>
            <w:vAlign w:val="center"/>
          </w:tcPr>
          <w:p>
            <w:pPr>
              <w:pStyle w:val="30"/>
            </w:pPr>
            <w:r>
              <w:t>单月需要技术支持的作品数</w:t>
            </w:r>
          </w:p>
        </w:tc>
        <w:tc>
          <w:tcPr>
            <w:tcW w:w="2551" w:type="dxa"/>
            <w:vAlign w:val="center"/>
          </w:tcPr>
          <w:p>
            <w:pPr>
              <w:pStyle w:val="30"/>
            </w:pPr>
            <w:r>
              <w:t>&gt;2部</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项目总成本</w:t>
            </w:r>
          </w:p>
        </w:tc>
        <w:tc>
          <w:tcPr>
            <w:tcW w:w="2835" w:type="dxa"/>
            <w:vAlign w:val="center"/>
          </w:tcPr>
          <w:p>
            <w:pPr>
              <w:pStyle w:val="30"/>
            </w:pPr>
            <w:r>
              <w:t>将成本控制在预算内，合理利用预算</w:t>
            </w:r>
          </w:p>
        </w:tc>
        <w:tc>
          <w:tcPr>
            <w:tcW w:w="2551" w:type="dxa"/>
            <w:vAlign w:val="center"/>
          </w:tcPr>
          <w:p>
            <w:pPr>
              <w:pStyle w:val="30"/>
            </w:pPr>
            <w:r>
              <w:t>≤5万元</w:t>
            </w:r>
          </w:p>
        </w:tc>
        <w:tc>
          <w:tcPr>
            <w:tcW w:w="2268" w:type="dxa"/>
            <w:vAlign w:val="center"/>
          </w:tcPr>
          <w:p>
            <w:pPr>
              <w:pStyle w:val="3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上级选用稿件</w:t>
            </w:r>
          </w:p>
        </w:tc>
        <w:tc>
          <w:tcPr>
            <w:tcW w:w="2835" w:type="dxa"/>
            <w:vAlign w:val="center"/>
          </w:tcPr>
          <w:p>
            <w:pPr>
              <w:pStyle w:val="30"/>
            </w:pPr>
            <w:r>
              <w:t>上级选用中心稿件次数，提高宣传藁城知名度</w:t>
            </w:r>
          </w:p>
        </w:tc>
        <w:tc>
          <w:tcPr>
            <w:tcW w:w="2551" w:type="dxa"/>
            <w:vAlign w:val="center"/>
          </w:tcPr>
          <w:p>
            <w:pPr>
              <w:pStyle w:val="30"/>
            </w:pPr>
            <w:r>
              <w:t>高质量稿件数量</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领导满意度</w:t>
            </w:r>
          </w:p>
        </w:tc>
        <w:tc>
          <w:tcPr>
            <w:tcW w:w="2835" w:type="dxa"/>
            <w:vAlign w:val="center"/>
          </w:tcPr>
          <w:p>
            <w:pPr>
              <w:pStyle w:val="30"/>
            </w:pPr>
            <w:r>
              <w:t>中心领导对记者工作情况满意度</w:t>
            </w:r>
          </w:p>
        </w:tc>
        <w:tc>
          <w:tcPr>
            <w:tcW w:w="2551" w:type="dxa"/>
            <w:vAlign w:val="center"/>
          </w:tcPr>
          <w:p>
            <w:pPr>
              <w:pStyle w:val="30"/>
            </w:pPr>
            <w:r>
              <w:t>≥95%</w:t>
            </w:r>
          </w:p>
        </w:tc>
        <w:tc>
          <w:tcPr>
            <w:tcW w:w="2268" w:type="dxa"/>
            <w:vAlign w:val="center"/>
          </w:tcPr>
          <w:p>
            <w:pPr>
              <w:pStyle w:val="30"/>
            </w:pPr>
            <w:r>
              <w:t>调查问卷</w:t>
            </w:r>
          </w:p>
        </w:tc>
      </w:tr>
    </w:tbl>
    <w:p>
      <w:pPr>
        <w:pStyle w:val="28"/>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2022年，石家庄市藁城区融媒体中心本级安排政府采购预算0.00万元。具体内容见下表。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907001石家庄市藁城区融媒体中心本级</w:t>
            </w:r>
          </w:p>
        </w:tc>
        <w:tc>
          <w:tcPr>
            <w:tcW w:w="8676"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石家庄市藁城区融媒体中心本级上年末固定资产金额为2350.71万元（详见下表）。本年度拟购置固定资产总额为0.00万元，已按要求列入政府采购预算，详见政府采购预算表。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907001石家庄市藁城区融媒体中心本级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2350.71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7499.57</w:t>
            </w:r>
          </w:p>
        </w:tc>
        <w:tc>
          <w:tcPr>
            <w:tcW w:w="2835" w:type="dxa"/>
            <w:vAlign w:val="center"/>
          </w:tcPr>
          <w:p>
            <w:pPr>
              <w:pStyle w:val="15"/>
            </w:pPr>
            <w:r>
              <w:t>1645.01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5000</w:t>
            </w:r>
          </w:p>
        </w:tc>
        <w:tc>
          <w:tcPr>
            <w:tcW w:w="2835" w:type="dxa"/>
            <w:vAlign w:val="center"/>
          </w:tcPr>
          <w:p>
            <w:pPr>
              <w:pStyle w:val="15"/>
            </w:pPr>
            <w:r>
              <w:t>1593.53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10.99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355</w:t>
            </w:r>
          </w:p>
        </w:tc>
        <w:tc>
          <w:tcPr>
            <w:tcW w:w="2835" w:type="dxa"/>
            <w:vAlign w:val="center"/>
          </w:tcPr>
          <w:p>
            <w:pPr>
              <w:pStyle w:val="15"/>
            </w:pPr>
            <w:r>
              <w:t>694.72</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区</w:t>
      </w:r>
      <w:r>
        <w:rPr>
          <w:rFonts w:hint="eastAsia" w:eastAsia="方正仿宋_GBK"/>
          <w:color w:val="000000"/>
          <w:sz w:val="28"/>
          <w:lang w:eastAsia="zh-CN"/>
        </w:rPr>
        <w:t>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区</w:t>
      </w:r>
      <w:r>
        <w:rPr>
          <w:rFonts w:hint="eastAsia" w:eastAsia="方正仿宋_GBK"/>
          <w:color w:val="000000"/>
          <w:sz w:val="28"/>
          <w:lang w:eastAsia="zh-CN"/>
        </w:rPr>
        <w:t>县级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w:t>
      </w:r>
      <w:r>
        <w:rPr>
          <w:rFonts w:hint="eastAsia" w:eastAsia="方正仿宋_GBK"/>
          <w:color w:val="000000"/>
          <w:sz w:val="28"/>
          <w:lang w:eastAsia="zh-CN"/>
        </w:rPr>
        <w:t>固定资产较上年增幅较大，原因为2</w:t>
      </w:r>
      <w:r>
        <w:rPr>
          <w:rFonts w:eastAsia="方正仿宋_GBK"/>
          <w:color w:val="000000"/>
          <w:sz w:val="28"/>
          <w:lang w:eastAsia="zh-CN"/>
        </w:rPr>
        <w:t>021</w:t>
      </w:r>
      <w:r>
        <w:rPr>
          <w:rFonts w:hint="eastAsia" w:eastAsia="方正仿宋_GBK"/>
          <w:color w:val="000000"/>
          <w:sz w:val="28"/>
          <w:lang w:eastAsia="zh-CN"/>
        </w:rPr>
        <w:t>年并入原藁城区广播电视台固定资产。</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WJmNTAxYTA0NTllZTU0OWY5NWY0MWNlMzBjNGU2OTYifQ=="/>
  </w:docVars>
  <w:rsids>
    <w:rsidRoot w:val="006416E2"/>
    <w:rsid w:val="000B44CD"/>
    <w:rsid w:val="000E7806"/>
    <w:rsid w:val="001B0A75"/>
    <w:rsid w:val="002A6F15"/>
    <w:rsid w:val="006416E2"/>
    <w:rsid w:val="006C36E3"/>
    <w:rsid w:val="006E0945"/>
    <w:rsid w:val="00723161"/>
    <w:rsid w:val="0078692E"/>
    <w:rsid w:val="00A041EE"/>
    <w:rsid w:val="00A4647C"/>
    <w:rsid w:val="00AE74D7"/>
    <w:rsid w:val="00B002DA"/>
    <w:rsid w:val="00B60676"/>
    <w:rsid w:val="00CF3FA5"/>
    <w:rsid w:val="00D22120"/>
    <w:rsid w:val="00E0465E"/>
    <w:rsid w:val="00F82B7F"/>
    <w:rsid w:val="2C233F25"/>
    <w:rsid w:val="354E7486"/>
    <w:rsid w:val="399908F5"/>
    <w:rsid w:val="493D02DA"/>
    <w:rsid w:val="5A084735"/>
    <w:rsid w:val="65B551E3"/>
    <w:rsid w:val="67DC0B0B"/>
    <w:rsid w:val="73E878BD"/>
    <w:rsid w:val="774F5F00"/>
    <w:rsid w:val="7C6F1B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8"/>
    <w:unhideWhenUsed/>
    <w:qFormat/>
    <w:uiPriority w:val="99"/>
    <w:pPr>
      <w:tabs>
        <w:tab w:val="center" w:pos="4153"/>
        <w:tab w:val="right" w:pos="8306"/>
      </w:tabs>
      <w:snapToGrid w:val="0"/>
    </w:pPr>
    <w:rPr>
      <w:sz w:val="18"/>
      <w:szCs w:val="18"/>
    </w:rPr>
  </w:style>
  <w:style w:type="paragraph" w:styleId="4">
    <w:name w:val="header"/>
    <w:basedOn w:val="1"/>
    <w:link w:val="37"/>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Normal_982d7b2a-1224-40e9-96a6-280769a2fdfd"/>
    <w:qFormat/>
    <w:uiPriority w:val="0"/>
    <w:rPr>
      <w:rFonts w:ascii="Times New Roman" w:hAnsi="Times New Roman" w:eastAsia="Times New Roman" w:cs="Times New Roman"/>
      <w:sz w:val="24"/>
      <w:szCs w:val="24"/>
      <w:lang w:val="en-US" w:eastAsia="uk-UA" w:bidi="ar-SA"/>
    </w:rPr>
  </w:style>
  <w:style w:type="paragraph" w:customStyle="1" w:styleId="29">
    <w:name w:val="单元格样式1_e58f8c20-b6bd-4f3b-9b27-c0b4f5d49d7f"/>
    <w:basedOn w:val="1"/>
    <w:qFormat/>
    <w:uiPriority w:val="0"/>
    <w:pPr>
      <w:jc w:val="center"/>
    </w:pPr>
    <w:rPr>
      <w:rFonts w:ascii="方正书宋_GBK" w:hAnsi="方正书宋_GBK" w:eastAsia="方正书宋_GBK" w:cs="方正书宋_GBK"/>
      <w:b/>
      <w:sz w:val="21"/>
    </w:rPr>
  </w:style>
  <w:style w:type="paragraph" w:customStyle="1" w:styleId="30">
    <w:name w:val="单元格样式2_47365fd2-e220-479d-923e-8aefaac5e892"/>
    <w:basedOn w:val="1"/>
    <w:qFormat/>
    <w:uiPriority w:val="0"/>
    <w:rPr>
      <w:rFonts w:ascii="方正书宋_GBK" w:hAnsi="方正书宋_GBK" w:eastAsia="方正书宋_GBK" w:cs="方正书宋_GBK"/>
      <w:sz w:val="21"/>
    </w:rPr>
  </w:style>
  <w:style w:type="paragraph" w:customStyle="1" w:styleId="31">
    <w:name w:val="单元格样式3_65ce98d0-5b4a-4ed3-bb12-80e78e002431"/>
    <w:basedOn w:val="1"/>
    <w:qFormat/>
    <w:uiPriority w:val="0"/>
    <w:pPr>
      <w:jc w:val="center"/>
    </w:pPr>
    <w:rPr>
      <w:rFonts w:ascii="方正书宋_GBK" w:hAnsi="方正书宋_GBK" w:eastAsia="方正书宋_GBK" w:cs="方正书宋_GBK"/>
      <w:sz w:val="21"/>
    </w:rPr>
  </w:style>
  <w:style w:type="paragraph" w:customStyle="1" w:styleId="32">
    <w:name w:val="单元格样式23"/>
    <w:basedOn w:val="1"/>
    <w:qFormat/>
    <w:uiPriority w:val="0"/>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0"/>
    <w:pPr>
      <w:spacing w:line="500" w:lineRule="exact"/>
      <w:ind w:firstLine="560"/>
    </w:pPr>
    <w:rPr>
      <w:rFonts w:eastAsia="方正仿宋_GBK"/>
      <w:sz w:val="28"/>
    </w:rPr>
  </w:style>
  <w:style w:type="paragraph" w:customStyle="1" w:styleId="3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7">
    <w:name w:val="页眉 字符"/>
    <w:basedOn w:val="10"/>
    <w:link w:val="4"/>
    <w:qFormat/>
    <w:uiPriority w:val="99"/>
    <w:rPr>
      <w:rFonts w:eastAsia="Times New Roman"/>
      <w:sz w:val="18"/>
      <w:szCs w:val="18"/>
      <w:lang w:eastAsia="uk-UA"/>
    </w:rPr>
  </w:style>
  <w:style w:type="character" w:customStyle="1" w:styleId="38">
    <w:name w:val="页脚 字符"/>
    <w:basedOn w:val="10"/>
    <w:link w:val="3"/>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2022-02-14T17:59:25Z</dcterms:created>
  <dcterms:modified xsi:type="dcterms:W3CDTF">2022-02-14T09:59:25Z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2022-02-14T17:59:04Z</dcterms:created>
  <dcterms:modified xsi:type="dcterms:W3CDTF">2022-02-14T09:59:04Z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2022-02-14T18:00:29Z</dcterms:created>
  <dcterms:modified xsi:type="dcterms:W3CDTF">2022-02-14T10:00:29Z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2022-02-14T17:59:55Z</dcterms:created>
  <dcterms:modified xsi:type="dcterms:W3CDTF">2022-02-14T09:59:55Z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4C42366-F2BF-4F89-A2F4-E4CC002DECDD}">
  <ds:schemaRefs/>
</ds:datastoreItem>
</file>

<file path=customXml/itemProps3.xml><?xml version="1.0" encoding="utf-8"?>
<ds:datastoreItem xmlns:ds="http://schemas.openxmlformats.org/officeDocument/2006/customXml" ds:itemID="{13829BD6-7033-4E3A-BD5C-DA5227F3DAD8}">
  <ds:schemaRefs/>
</ds:datastoreItem>
</file>

<file path=customXml/itemProps4.xml><?xml version="1.0" encoding="utf-8"?>
<ds:datastoreItem xmlns:ds="http://schemas.openxmlformats.org/officeDocument/2006/customXml" ds:itemID="{B7F5A75A-37ED-4EE2-A6FB-2045605FE27D}">
  <ds:schemaRefs/>
</ds:datastoreItem>
</file>

<file path=customXml/itemProps5.xml><?xml version="1.0" encoding="utf-8"?>
<ds:datastoreItem xmlns:ds="http://schemas.openxmlformats.org/officeDocument/2006/customXml" ds:itemID="{3C8DFABF-66E5-4D86-969F-231987C867F8}">
  <ds:schemaRefs/>
</ds:datastoreItem>
</file>

<file path=customXml/itemProps6.xml><?xml version="1.0" encoding="utf-8"?>
<ds:datastoreItem xmlns:ds="http://schemas.openxmlformats.org/officeDocument/2006/customXml" ds:itemID="{D65BA03E-DC09-4F67-A90A-29AED38CC7DC}">
  <ds:schemaRefs/>
</ds:datastoreItem>
</file>

<file path=customXml/itemProps7.xml><?xml version="1.0" encoding="utf-8"?>
<ds:datastoreItem xmlns:ds="http://schemas.openxmlformats.org/officeDocument/2006/customXml" ds:itemID="{C42E7134-CBB8-425D-8C58-A5DEC4A4A23F}">
  <ds:schemaRefs/>
</ds:datastoreItem>
</file>

<file path=customXml/itemProps8.xml><?xml version="1.0" encoding="utf-8"?>
<ds:datastoreItem xmlns:ds="http://schemas.openxmlformats.org/officeDocument/2006/customXml" ds:itemID="{73245DD0-84BA-4C1E-8AAE-FDB1BE029DE9}">
  <ds:schemaRefs/>
</ds:datastoreItem>
</file>

<file path=customXml/itemProps9.xml><?xml version="1.0" encoding="utf-8"?>
<ds:datastoreItem xmlns:ds="http://schemas.openxmlformats.org/officeDocument/2006/customXml" ds:itemID="{E2E00BC5-531A-4006-8C3E-8C56A7A33514}">
  <ds:schemaRefs/>
</ds:datastoreItem>
</file>

<file path=docProps/app.xml><?xml version="1.0" encoding="utf-8"?>
<Properties xmlns="http://schemas.openxmlformats.org/officeDocument/2006/extended-properties" xmlns:vt="http://schemas.openxmlformats.org/officeDocument/2006/docPropsVTypes">
  <Template>Normal.dotm</Template>
  <Pages>52</Pages>
  <Words>3730</Words>
  <Characters>21262</Characters>
  <Lines>177</Lines>
  <Paragraphs>49</Paragraphs>
  <TotalTime>5</TotalTime>
  <ScaleCrop>false</ScaleCrop>
  <LinksUpToDate>false</LinksUpToDate>
  <CharactersWithSpaces>24943</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2022-02-14T18:00:00Z</dcterms:created>
  <dc:creator>DELL</dc:creator>
  <cp:lastModifiedBy>涵*^_^*</cp:lastModifiedBy>
  <dcterms:modified xsi:type="dcterms:W3CDTF">2023-09-05T01:48:53Z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10A654E023BD4BB4AD50136101B7A3F7</vt:lpwstr>
  </property>
</Properties>
</file>