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r>
        <w:rPr>
          <w:rFonts w:ascii="黑体" w:hAnsi="黑体" w:eastAsia="黑体" w:cs="黑体"/>
          <w:b/>
          <w:color w:val="000000"/>
          <w:sz w:val="44"/>
        </w:rPr>
        <w:t>中共石家庄市藁城区委员会办公室部门所属单位2022年度预算公开</w:t>
      </w:r>
    </w:p>
    <w:p>
      <w:pPr>
        <w:spacing w:before="0" w:after="0" w:line="240" w:lineRule="auto"/>
        <w:ind w:firstLine="0"/>
        <w:jc w:val="center"/>
        <w:outlineLvl w:val="0"/>
      </w:pP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一、中共石家庄市藁城区委员会办公室本级收支预算</w:t>
      </w:r>
      <w:r>
        <w:tab/>
      </w:r>
      <w:r>
        <w:fldChar w:fldCharType="begin"/>
      </w:r>
      <w:r>
        <w:instrText xml:space="preserve">PAGEREF _Toc_4_4_0000000019 \h</w:instrText>
      </w:r>
      <w:r>
        <w:fldChar w:fldCharType="separate"/>
      </w:r>
      <w:r>
        <w:t>39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both"/>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一、中共石家庄市藁城区委员会办公室本级收支预算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1269.46</w:t>
            </w:r>
          </w:p>
        </w:tc>
        <w:tc>
          <w:tcPr>
            <w:tcW w:w="4535" w:type="dxa"/>
            <w:vAlign w:val="center"/>
          </w:tcPr>
          <w:p>
            <w:pPr>
              <w:pStyle w:val="15"/>
            </w:pPr>
            <w:r>
              <w:t>一、一般公共服务支出</w:t>
            </w:r>
          </w:p>
        </w:tc>
        <w:tc>
          <w:tcPr>
            <w:tcW w:w="2126" w:type="dxa"/>
            <w:vAlign w:val="center"/>
          </w:tcPr>
          <w:p>
            <w:pPr>
              <w:pStyle w:val="14"/>
            </w:pPr>
            <w:r>
              <w:t>1269.46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1269.46</w:t>
            </w:r>
          </w:p>
        </w:tc>
        <w:tc>
          <w:tcPr>
            <w:tcW w:w="4535" w:type="dxa"/>
            <w:vAlign w:val="center"/>
          </w:tcPr>
          <w:p>
            <w:pPr>
              <w:pStyle w:val="17"/>
            </w:pPr>
            <w:r>
              <w:t>本年支出合计</w:t>
            </w:r>
          </w:p>
        </w:tc>
        <w:tc>
          <w:tcPr>
            <w:tcW w:w="2126" w:type="dxa"/>
            <w:vAlign w:val="center"/>
          </w:tcPr>
          <w:p>
            <w:pPr>
              <w:pStyle w:val="18"/>
            </w:pPr>
            <w:r>
              <w:t>1269.46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1269.46</w:t>
            </w:r>
          </w:p>
        </w:tc>
        <w:tc>
          <w:tcPr>
            <w:tcW w:w="4535" w:type="dxa"/>
            <w:vAlign w:val="center"/>
          </w:tcPr>
          <w:p>
            <w:pPr>
              <w:pStyle w:val="17"/>
            </w:pPr>
            <w:r>
              <w:t>支出总计</w:t>
            </w:r>
          </w:p>
        </w:tc>
        <w:tc>
          <w:tcPr>
            <w:tcW w:w="2126" w:type="dxa"/>
            <w:vAlign w:val="center"/>
          </w:tcPr>
          <w:p>
            <w:pPr>
              <w:pStyle w:val="18"/>
            </w:pPr>
            <w:r>
              <w:t>1269.46</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1"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1269.46</w:t>
            </w:r>
          </w:p>
        </w:tc>
        <w:tc>
          <w:tcPr>
            <w:tcW w:w="1134" w:type="dxa"/>
            <w:vAlign w:val="center"/>
          </w:tcPr>
          <w:p>
            <w:pPr>
              <w:pStyle w:val="18"/>
            </w:pPr>
            <w:r>
              <w:t>1269.46</w:t>
            </w:r>
          </w:p>
        </w:tc>
        <w:tc>
          <w:tcPr>
            <w:tcW w:w="1134" w:type="dxa"/>
            <w:vAlign w:val="center"/>
          </w:tcPr>
          <w:p>
            <w:pPr>
              <w:pStyle w:val="18"/>
            </w:pPr>
            <w:r>
              <w:t>1269.46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20131</w:t>
            </w:r>
          </w:p>
        </w:tc>
        <w:tc>
          <w:tcPr>
            <w:tcW w:w="1559" w:type="dxa"/>
            <w:vAlign w:val="center"/>
          </w:tcPr>
          <w:p>
            <w:pPr>
              <w:pStyle w:val="15"/>
            </w:pPr>
            <w:r>
              <w:t>党委办公厅（室）及相关机构事务</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r>
              <w:t>1269.46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2013101</w:t>
            </w:r>
          </w:p>
        </w:tc>
        <w:tc>
          <w:tcPr>
            <w:tcW w:w="1559" w:type="dxa"/>
            <w:vAlign w:val="center"/>
          </w:tcPr>
          <w:p>
            <w:pPr>
              <w:pStyle w:val="15"/>
            </w:pPr>
            <w:r>
              <w:t>行政运行</w:t>
            </w:r>
          </w:p>
        </w:tc>
        <w:tc>
          <w:tcPr>
            <w:tcW w:w="1134" w:type="dxa"/>
            <w:vAlign w:val="center"/>
          </w:tcPr>
          <w:p>
            <w:pPr>
              <w:pStyle w:val="14"/>
            </w:pPr>
            <w:r>
              <w:t>979.11</w:t>
            </w:r>
          </w:p>
        </w:tc>
        <w:tc>
          <w:tcPr>
            <w:tcW w:w="1134" w:type="dxa"/>
            <w:vAlign w:val="center"/>
          </w:tcPr>
          <w:p>
            <w:pPr>
              <w:pStyle w:val="14"/>
            </w:pPr>
            <w:r>
              <w:t>979.11</w:t>
            </w:r>
          </w:p>
        </w:tc>
        <w:tc>
          <w:tcPr>
            <w:tcW w:w="1134" w:type="dxa"/>
            <w:vAlign w:val="center"/>
          </w:tcPr>
          <w:p>
            <w:pPr>
              <w:pStyle w:val="14"/>
            </w:pPr>
            <w:r>
              <w:t>979.11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2013102</w:t>
            </w:r>
          </w:p>
        </w:tc>
        <w:tc>
          <w:tcPr>
            <w:tcW w:w="1559" w:type="dxa"/>
            <w:vAlign w:val="center"/>
          </w:tcPr>
          <w:p>
            <w:pPr>
              <w:pStyle w:val="15"/>
            </w:pPr>
            <w:r>
              <w:t>一般行政管理事务</w:t>
            </w:r>
          </w:p>
        </w:tc>
        <w:tc>
          <w:tcPr>
            <w:tcW w:w="1134" w:type="dxa"/>
            <w:vAlign w:val="center"/>
          </w:tcPr>
          <w:p>
            <w:pPr>
              <w:pStyle w:val="14"/>
            </w:pPr>
            <w:r>
              <w:t>230.65</w:t>
            </w:r>
          </w:p>
        </w:tc>
        <w:tc>
          <w:tcPr>
            <w:tcW w:w="1134" w:type="dxa"/>
            <w:vAlign w:val="center"/>
          </w:tcPr>
          <w:p>
            <w:pPr>
              <w:pStyle w:val="14"/>
            </w:pPr>
            <w:r>
              <w:t>230.65</w:t>
            </w:r>
          </w:p>
        </w:tc>
        <w:tc>
          <w:tcPr>
            <w:tcW w:w="1134" w:type="dxa"/>
            <w:vAlign w:val="center"/>
          </w:tcPr>
          <w:p>
            <w:pPr>
              <w:pStyle w:val="14"/>
            </w:pPr>
            <w:r>
              <w:t>230.65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2013105</w:t>
            </w:r>
          </w:p>
        </w:tc>
        <w:tc>
          <w:tcPr>
            <w:tcW w:w="1559" w:type="dxa"/>
            <w:vAlign w:val="center"/>
          </w:tcPr>
          <w:p>
            <w:pPr>
              <w:pStyle w:val="15"/>
            </w:pPr>
            <w:r>
              <w:t>专项业务</w:t>
            </w:r>
          </w:p>
        </w:tc>
        <w:tc>
          <w:tcPr>
            <w:tcW w:w="1134" w:type="dxa"/>
            <w:vAlign w:val="center"/>
          </w:tcPr>
          <w:p>
            <w:pPr>
              <w:pStyle w:val="14"/>
            </w:pPr>
            <w:r>
              <w:t>59.70</w:t>
            </w:r>
          </w:p>
        </w:tc>
        <w:tc>
          <w:tcPr>
            <w:tcW w:w="1134" w:type="dxa"/>
            <w:vAlign w:val="center"/>
          </w:tcPr>
          <w:p>
            <w:pPr>
              <w:pStyle w:val="14"/>
            </w:pPr>
            <w:r>
              <w:t>59.70</w:t>
            </w:r>
          </w:p>
        </w:tc>
        <w:tc>
          <w:tcPr>
            <w:tcW w:w="1134" w:type="dxa"/>
            <w:vAlign w:val="center"/>
          </w:tcPr>
          <w:p>
            <w:pPr>
              <w:pStyle w:val="14"/>
            </w:pPr>
            <w:r>
              <w:t>59.70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721"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1269.46</w:t>
            </w:r>
          </w:p>
        </w:tc>
        <w:tc>
          <w:tcPr>
            <w:tcW w:w="1361" w:type="dxa"/>
            <w:vAlign w:val="center"/>
          </w:tcPr>
          <w:p>
            <w:pPr>
              <w:pStyle w:val="18"/>
            </w:pPr>
            <w:r>
              <w:t>979.11</w:t>
            </w:r>
          </w:p>
        </w:tc>
        <w:tc>
          <w:tcPr>
            <w:tcW w:w="1361" w:type="dxa"/>
            <w:vAlign w:val="center"/>
          </w:tcPr>
          <w:p>
            <w:pPr>
              <w:pStyle w:val="18"/>
            </w:pPr>
            <w:r>
              <w:t>290.35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1269.46</w:t>
            </w:r>
          </w:p>
        </w:tc>
        <w:tc>
          <w:tcPr>
            <w:tcW w:w="1361" w:type="dxa"/>
            <w:vAlign w:val="center"/>
          </w:tcPr>
          <w:p>
            <w:pPr>
              <w:pStyle w:val="14"/>
            </w:pPr>
            <w:r>
              <w:t>979.11</w:t>
            </w:r>
          </w:p>
        </w:tc>
        <w:tc>
          <w:tcPr>
            <w:tcW w:w="1361" w:type="dxa"/>
            <w:vAlign w:val="center"/>
          </w:tcPr>
          <w:p>
            <w:pPr>
              <w:pStyle w:val="14"/>
            </w:pPr>
            <w:r>
              <w:t>290.35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20131</w:t>
            </w:r>
          </w:p>
        </w:tc>
        <w:tc>
          <w:tcPr>
            <w:tcW w:w="4535" w:type="dxa"/>
            <w:vAlign w:val="center"/>
          </w:tcPr>
          <w:p>
            <w:pPr>
              <w:pStyle w:val="15"/>
            </w:pPr>
            <w:r>
              <w:t>党委办公厅（室）及相关机构事务</w:t>
            </w:r>
          </w:p>
        </w:tc>
        <w:tc>
          <w:tcPr>
            <w:tcW w:w="1361" w:type="dxa"/>
            <w:vAlign w:val="center"/>
          </w:tcPr>
          <w:p>
            <w:pPr>
              <w:pStyle w:val="14"/>
            </w:pPr>
            <w:r>
              <w:t>1269.46</w:t>
            </w:r>
          </w:p>
        </w:tc>
        <w:tc>
          <w:tcPr>
            <w:tcW w:w="1361" w:type="dxa"/>
            <w:vAlign w:val="center"/>
          </w:tcPr>
          <w:p>
            <w:pPr>
              <w:pStyle w:val="14"/>
            </w:pPr>
            <w:r>
              <w:t>979.11</w:t>
            </w:r>
          </w:p>
        </w:tc>
        <w:tc>
          <w:tcPr>
            <w:tcW w:w="1361" w:type="dxa"/>
            <w:vAlign w:val="center"/>
          </w:tcPr>
          <w:p>
            <w:pPr>
              <w:pStyle w:val="14"/>
            </w:pPr>
            <w:r>
              <w:t>290.35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2013101</w:t>
            </w:r>
          </w:p>
        </w:tc>
        <w:tc>
          <w:tcPr>
            <w:tcW w:w="4535" w:type="dxa"/>
            <w:vAlign w:val="center"/>
          </w:tcPr>
          <w:p>
            <w:pPr>
              <w:pStyle w:val="15"/>
            </w:pPr>
            <w:r>
              <w:t>行政运行</w:t>
            </w:r>
          </w:p>
        </w:tc>
        <w:tc>
          <w:tcPr>
            <w:tcW w:w="1361" w:type="dxa"/>
            <w:vAlign w:val="center"/>
          </w:tcPr>
          <w:p>
            <w:pPr>
              <w:pStyle w:val="14"/>
            </w:pPr>
            <w:r>
              <w:t>979.11</w:t>
            </w:r>
          </w:p>
        </w:tc>
        <w:tc>
          <w:tcPr>
            <w:tcW w:w="1361" w:type="dxa"/>
            <w:vAlign w:val="center"/>
          </w:tcPr>
          <w:p>
            <w:pPr>
              <w:pStyle w:val="14"/>
            </w:pPr>
            <w:r>
              <w:t>979.11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2013102</w:t>
            </w:r>
          </w:p>
        </w:tc>
        <w:tc>
          <w:tcPr>
            <w:tcW w:w="4535" w:type="dxa"/>
            <w:vAlign w:val="center"/>
          </w:tcPr>
          <w:p>
            <w:pPr>
              <w:pStyle w:val="15"/>
            </w:pPr>
            <w:r>
              <w:t>一般行政管理事务</w:t>
            </w:r>
          </w:p>
        </w:tc>
        <w:tc>
          <w:tcPr>
            <w:tcW w:w="1361" w:type="dxa"/>
            <w:vAlign w:val="center"/>
          </w:tcPr>
          <w:p>
            <w:pPr>
              <w:pStyle w:val="14"/>
            </w:pPr>
            <w:r>
              <w:t>230.65</w:t>
            </w:r>
          </w:p>
        </w:tc>
        <w:tc>
          <w:tcPr>
            <w:tcW w:w="1361" w:type="dxa"/>
            <w:vAlign w:val="center"/>
          </w:tcPr>
          <w:p>
            <w:pPr>
              <w:pStyle w:val="14"/>
            </w:pPr>
          </w:p>
        </w:tc>
        <w:tc>
          <w:tcPr>
            <w:tcW w:w="1361" w:type="dxa"/>
            <w:vAlign w:val="center"/>
          </w:tcPr>
          <w:p>
            <w:pPr>
              <w:pStyle w:val="14"/>
            </w:pPr>
            <w:r>
              <w:t>230.65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2013105</w:t>
            </w:r>
          </w:p>
        </w:tc>
        <w:tc>
          <w:tcPr>
            <w:tcW w:w="4535" w:type="dxa"/>
            <w:vAlign w:val="center"/>
          </w:tcPr>
          <w:p>
            <w:pPr>
              <w:pStyle w:val="15"/>
            </w:pPr>
            <w:r>
              <w:t>专项业务</w:t>
            </w:r>
          </w:p>
        </w:tc>
        <w:tc>
          <w:tcPr>
            <w:tcW w:w="1361" w:type="dxa"/>
            <w:vAlign w:val="center"/>
          </w:tcPr>
          <w:p>
            <w:pPr>
              <w:pStyle w:val="14"/>
            </w:pPr>
            <w:r>
              <w:t>59.70</w:t>
            </w:r>
          </w:p>
        </w:tc>
        <w:tc>
          <w:tcPr>
            <w:tcW w:w="1361" w:type="dxa"/>
            <w:vAlign w:val="center"/>
          </w:tcPr>
          <w:p>
            <w:pPr>
              <w:pStyle w:val="14"/>
            </w:pPr>
          </w:p>
        </w:tc>
        <w:tc>
          <w:tcPr>
            <w:tcW w:w="1361" w:type="dxa"/>
            <w:vAlign w:val="center"/>
          </w:tcPr>
          <w:p>
            <w:pPr>
              <w:pStyle w:val="14"/>
            </w:pPr>
            <w:r>
              <w:t>59.70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1269.46</w:t>
            </w:r>
          </w:p>
        </w:tc>
        <w:tc>
          <w:tcPr>
            <w:tcW w:w="3402" w:type="dxa"/>
            <w:vAlign w:val="center"/>
          </w:tcPr>
          <w:p>
            <w:pPr>
              <w:pStyle w:val="15"/>
            </w:pPr>
            <w:r>
              <w:t>一、一般公共服务支出</w:t>
            </w:r>
          </w:p>
        </w:tc>
        <w:tc>
          <w:tcPr>
            <w:tcW w:w="1474" w:type="dxa"/>
            <w:vAlign w:val="center"/>
          </w:tcPr>
          <w:p>
            <w:pPr>
              <w:pStyle w:val="14"/>
            </w:pPr>
            <w:r>
              <w:t>1269.46</w:t>
            </w:r>
          </w:p>
        </w:tc>
        <w:tc>
          <w:tcPr>
            <w:tcW w:w="1474" w:type="dxa"/>
            <w:vAlign w:val="center"/>
          </w:tcPr>
          <w:p>
            <w:pPr>
              <w:pStyle w:val="14"/>
            </w:pPr>
            <w:r>
              <w:t>1269.46</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7"/>
            </w:pPr>
            <w:r>
              <w:t>本年收入合计</w:t>
            </w:r>
          </w:p>
        </w:tc>
        <w:tc>
          <w:tcPr>
            <w:tcW w:w="1474" w:type="dxa"/>
            <w:vAlign w:val="center"/>
          </w:tcPr>
          <w:p>
            <w:pPr>
              <w:pStyle w:val="18"/>
            </w:pPr>
            <w:r>
              <w:t>1269.46</w:t>
            </w:r>
          </w:p>
        </w:tc>
        <w:tc>
          <w:tcPr>
            <w:tcW w:w="3402" w:type="dxa"/>
            <w:vAlign w:val="center"/>
          </w:tcPr>
          <w:p>
            <w:pPr>
              <w:pStyle w:val="17"/>
            </w:pPr>
            <w:r>
              <w:t>本年支出合计</w:t>
            </w:r>
          </w:p>
        </w:tc>
        <w:tc>
          <w:tcPr>
            <w:tcW w:w="1474" w:type="dxa"/>
            <w:vAlign w:val="center"/>
          </w:tcPr>
          <w:p>
            <w:pPr>
              <w:pStyle w:val="18"/>
            </w:pPr>
            <w:r>
              <w:t>1269.46</w:t>
            </w:r>
          </w:p>
        </w:tc>
        <w:tc>
          <w:tcPr>
            <w:tcW w:w="1474" w:type="dxa"/>
            <w:vAlign w:val="center"/>
          </w:tcPr>
          <w:p>
            <w:pPr>
              <w:pStyle w:val="18"/>
            </w:pPr>
            <w:r>
              <w:t>1269.46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7"/>
            </w:pPr>
            <w:r>
              <w:t>收入总计</w:t>
            </w:r>
          </w:p>
        </w:tc>
        <w:tc>
          <w:tcPr>
            <w:tcW w:w="1474" w:type="dxa"/>
            <w:vAlign w:val="center"/>
          </w:tcPr>
          <w:p>
            <w:pPr>
              <w:pStyle w:val="18"/>
            </w:pPr>
            <w:r>
              <w:t>1269.46</w:t>
            </w:r>
          </w:p>
        </w:tc>
        <w:tc>
          <w:tcPr>
            <w:tcW w:w="3402" w:type="dxa"/>
            <w:vAlign w:val="center"/>
          </w:tcPr>
          <w:p>
            <w:pPr>
              <w:pStyle w:val="17"/>
            </w:pPr>
            <w:r>
              <w:t>支出总计</w:t>
            </w:r>
          </w:p>
        </w:tc>
        <w:tc>
          <w:tcPr>
            <w:tcW w:w="1474" w:type="dxa"/>
            <w:vAlign w:val="center"/>
          </w:tcPr>
          <w:p>
            <w:pPr>
              <w:pStyle w:val="18"/>
            </w:pPr>
            <w:r>
              <w:t>1269.46</w:t>
            </w:r>
          </w:p>
        </w:tc>
        <w:tc>
          <w:tcPr>
            <w:tcW w:w="1474" w:type="dxa"/>
            <w:vAlign w:val="center"/>
          </w:tcPr>
          <w:p>
            <w:pPr>
              <w:pStyle w:val="18"/>
            </w:pPr>
            <w:r>
              <w:t>1269.46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1269.46</w:t>
            </w:r>
          </w:p>
        </w:tc>
        <w:tc>
          <w:tcPr>
            <w:tcW w:w="2551" w:type="dxa"/>
            <w:vAlign w:val="center"/>
          </w:tcPr>
          <w:p>
            <w:pPr>
              <w:pStyle w:val="18"/>
            </w:pPr>
            <w:r>
              <w:t>979.11</w:t>
            </w:r>
          </w:p>
        </w:tc>
        <w:tc>
          <w:tcPr>
            <w:tcW w:w="2551" w:type="dxa"/>
            <w:vAlign w:val="center"/>
          </w:tcPr>
          <w:p>
            <w:pPr>
              <w:pStyle w:val="18"/>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1269.46</w:t>
            </w:r>
          </w:p>
        </w:tc>
        <w:tc>
          <w:tcPr>
            <w:tcW w:w="2551" w:type="dxa"/>
            <w:vAlign w:val="center"/>
          </w:tcPr>
          <w:p>
            <w:pPr>
              <w:pStyle w:val="14"/>
            </w:pPr>
            <w:r>
              <w:t>979.11</w:t>
            </w:r>
          </w:p>
        </w:tc>
        <w:tc>
          <w:tcPr>
            <w:tcW w:w="2551" w:type="dxa"/>
            <w:vAlign w:val="center"/>
          </w:tcPr>
          <w:p>
            <w:pPr>
              <w:pStyle w:val="14"/>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20131</w:t>
            </w:r>
          </w:p>
        </w:tc>
        <w:tc>
          <w:tcPr>
            <w:tcW w:w="4535" w:type="dxa"/>
            <w:vAlign w:val="center"/>
          </w:tcPr>
          <w:p>
            <w:pPr>
              <w:pStyle w:val="15"/>
            </w:pPr>
            <w:r>
              <w:t>党委办公厅（室）及相关机构事务</w:t>
            </w:r>
          </w:p>
        </w:tc>
        <w:tc>
          <w:tcPr>
            <w:tcW w:w="2551" w:type="dxa"/>
            <w:vAlign w:val="center"/>
          </w:tcPr>
          <w:p>
            <w:pPr>
              <w:pStyle w:val="14"/>
            </w:pPr>
            <w:r>
              <w:t>1269.46</w:t>
            </w:r>
          </w:p>
        </w:tc>
        <w:tc>
          <w:tcPr>
            <w:tcW w:w="2551" w:type="dxa"/>
            <w:vAlign w:val="center"/>
          </w:tcPr>
          <w:p>
            <w:pPr>
              <w:pStyle w:val="14"/>
            </w:pPr>
            <w:r>
              <w:t>979.11</w:t>
            </w:r>
          </w:p>
        </w:tc>
        <w:tc>
          <w:tcPr>
            <w:tcW w:w="2551" w:type="dxa"/>
            <w:vAlign w:val="center"/>
          </w:tcPr>
          <w:p>
            <w:pPr>
              <w:pStyle w:val="14"/>
            </w:pPr>
            <w:r>
              <w:t>290.35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6"/>
            </w:pPr>
            <w:r>
              <w:t>4</w:t>
            </w:r>
          </w:p>
        </w:tc>
        <w:tc>
          <w:tcPr>
            <w:tcW w:w="1191" w:type="dxa"/>
            <w:vAlign w:val="center"/>
          </w:tcPr>
          <w:p>
            <w:pPr>
              <w:pStyle w:val="15"/>
            </w:pPr>
            <w:r>
              <w:t>2013101</w:t>
            </w:r>
          </w:p>
        </w:tc>
        <w:tc>
          <w:tcPr>
            <w:tcW w:w="4535" w:type="dxa"/>
            <w:vAlign w:val="center"/>
          </w:tcPr>
          <w:p>
            <w:pPr>
              <w:pStyle w:val="15"/>
            </w:pPr>
            <w:r>
              <w:t>行政运行</w:t>
            </w:r>
          </w:p>
        </w:tc>
        <w:tc>
          <w:tcPr>
            <w:tcW w:w="2551" w:type="dxa"/>
            <w:vAlign w:val="center"/>
          </w:tcPr>
          <w:p>
            <w:pPr>
              <w:pStyle w:val="14"/>
            </w:pPr>
            <w:r>
              <w:t>979.11</w:t>
            </w:r>
          </w:p>
        </w:tc>
        <w:tc>
          <w:tcPr>
            <w:tcW w:w="2551" w:type="dxa"/>
            <w:vAlign w:val="center"/>
          </w:tcPr>
          <w:p>
            <w:pPr>
              <w:pStyle w:val="14"/>
            </w:pPr>
            <w:r>
              <w:t>979.11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2013102</w:t>
            </w:r>
          </w:p>
        </w:tc>
        <w:tc>
          <w:tcPr>
            <w:tcW w:w="4535" w:type="dxa"/>
            <w:vAlign w:val="center"/>
          </w:tcPr>
          <w:p>
            <w:pPr>
              <w:pStyle w:val="15"/>
            </w:pPr>
            <w:r>
              <w:t>一般行政管理事务</w:t>
            </w:r>
          </w:p>
        </w:tc>
        <w:tc>
          <w:tcPr>
            <w:tcW w:w="2551" w:type="dxa"/>
            <w:vAlign w:val="center"/>
          </w:tcPr>
          <w:p>
            <w:pPr>
              <w:pStyle w:val="14"/>
            </w:pPr>
            <w:r>
              <w:t>230.65</w:t>
            </w:r>
          </w:p>
        </w:tc>
        <w:tc>
          <w:tcPr>
            <w:tcW w:w="2551" w:type="dxa"/>
            <w:vAlign w:val="center"/>
          </w:tcPr>
          <w:p>
            <w:pPr>
              <w:pStyle w:val="14"/>
            </w:pPr>
          </w:p>
        </w:tc>
        <w:tc>
          <w:tcPr>
            <w:tcW w:w="2551" w:type="dxa"/>
            <w:vAlign w:val="center"/>
          </w:tcPr>
          <w:p>
            <w:pPr>
              <w:pStyle w:val="14"/>
            </w:pPr>
            <w:r>
              <w:t>230.65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2013105</w:t>
            </w:r>
          </w:p>
        </w:tc>
        <w:tc>
          <w:tcPr>
            <w:tcW w:w="4535" w:type="dxa"/>
            <w:vAlign w:val="center"/>
          </w:tcPr>
          <w:p>
            <w:pPr>
              <w:pStyle w:val="15"/>
            </w:pPr>
            <w:r>
              <w:t>专项业务</w:t>
            </w:r>
          </w:p>
        </w:tc>
        <w:tc>
          <w:tcPr>
            <w:tcW w:w="2551" w:type="dxa"/>
            <w:vAlign w:val="center"/>
          </w:tcPr>
          <w:p>
            <w:pPr>
              <w:pStyle w:val="14"/>
            </w:pPr>
            <w:r>
              <w:t>59.70</w:t>
            </w:r>
          </w:p>
        </w:tc>
        <w:tc>
          <w:tcPr>
            <w:tcW w:w="2551" w:type="dxa"/>
            <w:vAlign w:val="center"/>
          </w:tcPr>
          <w:p>
            <w:pPr>
              <w:pStyle w:val="14"/>
            </w:pPr>
          </w:p>
        </w:tc>
        <w:tc>
          <w:tcPr>
            <w:tcW w:w="2551" w:type="dxa"/>
            <w:vAlign w:val="center"/>
          </w:tcPr>
          <w:p>
            <w:pPr>
              <w:pStyle w:val="14"/>
            </w:pPr>
            <w:r>
              <w:t>59.70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979.11</w:t>
            </w:r>
          </w:p>
        </w:tc>
        <w:tc>
          <w:tcPr>
            <w:tcW w:w="2551" w:type="dxa"/>
            <w:vAlign w:val="center"/>
          </w:tcPr>
          <w:p>
            <w:pPr>
              <w:pStyle w:val="18"/>
            </w:pPr>
            <w:r>
              <w:t>755.66</w:t>
            </w:r>
          </w:p>
        </w:tc>
        <w:tc>
          <w:tcPr>
            <w:tcW w:w="2551" w:type="dxa"/>
            <w:vAlign w:val="center"/>
          </w:tcPr>
          <w:p>
            <w:pPr>
              <w:pStyle w:val="18"/>
            </w:pPr>
            <w:r>
              <w:t>223.45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755.66</w:t>
            </w:r>
          </w:p>
        </w:tc>
        <w:tc>
          <w:tcPr>
            <w:tcW w:w="2551" w:type="dxa"/>
            <w:vAlign w:val="center"/>
          </w:tcPr>
          <w:p>
            <w:pPr>
              <w:pStyle w:val="14"/>
            </w:pPr>
            <w:r>
              <w:t>755.66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166.10</w:t>
            </w:r>
          </w:p>
        </w:tc>
        <w:tc>
          <w:tcPr>
            <w:tcW w:w="2551" w:type="dxa"/>
            <w:vAlign w:val="center"/>
          </w:tcPr>
          <w:p>
            <w:pPr>
              <w:pStyle w:val="14"/>
            </w:pPr>
            <w:r>
              <w:t>166.10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304.22</w:t>
            </w:r>
          </w:p>
        </w:tc>
        <w:tc>
          <w:tcPr>
            <w:tcW w:w="2551" w:type="dxa"/>
            <w:vAlign w:val="center"/>
          </w:tcPr>
          <w:p>
            <w:pPr>
              <w:pStyle w:val="14"/>
            </w:pPr>
            <w:r>
              <w:t>304.22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10.71</w:t>
            </w:r>
          </w:p>
        </w:tc>
        <w:tc>
          <w:tcPr>
            <w:tcW w:w="2551" w:type="dxa"/>
            <w:vAlign w:val="center"/>
          </w:tcPr>
          <w:p>
            <w:pPr>
              <w:pStyle w:val="14"/>
            </w:pPr>
            <w:r>
              <w:t>10.71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30.23</w:t>
            </w:r>
          </w:p>
        </w:tc>
        <w:tc>
          <w:tcPr>
            <w:tcW w:w="2551" w:type="dxa"/>
            <w:vAlign w:val="center"/>
          </w:tcPr>
          <w:p>
            <w:pPr>
              <w:pStyle w:val="14"/>
            </w:pPr>
            <w:r>
              <w:t>30.23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65.88</w:t>
            </w:r>
          </w:p>
        </w:tc>
        <w:tc>
          <w:tcPr>
            <w:tcW w:w="2551" w:type="dxa"/>
            <w:vAlign w:val="center"/>
          </w:tcPr>
          <w:p>
            <w:pPr>
              <w:pStyle w:val="14"/>
            </w:pPr>
            <w:r>
              <w:t>65.88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34.59</w:t>
            </w:r>
          </w:p>
        </w:tc>
        <w:tc>
          <w:tcPr>
            <w:tcW w:w="2551" w:type="dxa"/>
            <w:vAlign w:val="center"/>
          </w:tcPr>
          <w:p>
            <w:pPr>
              <w:pStyle w:val="14"/>
            </w:pPr>
            <w:r>
              <w:t>34.59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26.77</w:t>
            </w:r>
          </w:p>
        </w:tc>
        <w:tc>
          <w:tcPr>
            <w:tcW w:w="2551" w:type="dxa"/>
            <w:vAlign w:val="center"/>
          </w:tcPr>
          <w:p>
            <w:pPr>
              <w:pStyle w:val="14"/>
            </w:pPr>
            <w:r>
              <w:t>26.77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62.54</w:t>
            </w:r>
          </w:p>
        </w:tc>
        <w:tc>
          <w:tcPr>
            <w:tcW w:w="2551" w:type="dxa"/>
            <w:vAlign w:val="center"/>
          </w:tcPr>
          <w:p>
            <w:pPr>
              <w:pStyle w:val="14"/>
            </w:pPr>
            <w:r>
              <w:t>62.54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54.63</w:t>
            </w:r>
          </w:p>
        </w:tc>
        <w:tc>
          <w:tcPr>
            <w:tcW w:w="2551" w:type="dxa"/>
            <w:vAlign w:val="center"/>
          </w:tcPr>
          <w:p>
            <w:pPr>
              <w:pStyle w:val="14"/>
            </w:pPr>
            <w:r>
              <w:t>54.63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223.45</w:t>
            </w:r>
          </w:p>
        </w:tc>
        <w:tc>
          <w:tcPr>
            <w:tcW w:w="2551" w:type="dxa"/>
            <w:vAlign w:val="center"/>
          </w:tcPr>
          <w:p>
            <w:pPr>
              <w:pStyle w:val="14"/>
            </w:pPr>
          </w:p>
        </w:tc>
        <w:tc>
          <w:tcPr>
            <w:tcW w:w="2551" w:type="dxa"/>
            <w:vAlign w:val="center"/>
          </w:tcPr>
          <w:p>
            <w:pPr>
              <w:pStyle w:val="14"/>
            </w:pPr>
            <w:r>
              <w:t>223.45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79.50</w:t>
            </w:r>
          </w:p>
        </w:tc>
        <w:tc>
          <w:tcPr>
            <w:tcW w:w="2551" w:type="dxa"/>
            <w:vAlign w:val="center"/>
          </w:tcPr>
          <w:p>
            <w:pPr>
              <w:pStyle w:val="14"/>
            </w:pPr>
          </w:p>
        </w:tc>
        <w:tc>
          <w:tcPr>
            <w:tcW w:w="2551" w:type="dxa"/>
            <w:vAlign w:val="center"/>
          </w:tcPr>
          <w:p>
            <w:pPr>
              <w:pStyle w:val="14"/>
            </w:pPr>
            <w:r>
              <w:t>79.50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30202</w:t>
            </w:r>
          </w:p>
        </w:tc>
        <w:tc>
          <w:tcPr>
            <w:tcW w:w="4535" w:type="dxa"/>
            <w:vAlign w:val="center"/>
          </w:tcPr>
          <w:p>
            <w:pPr>
              <w:pStyle w:val="15"/>
            </w:pPr>
            <w:r>
              <w:t>印刷费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25.16</w:t>
            </w:r>
          </w:p>
        </w:tc>
        <w:tc>
          <w:tcPr>
            <w:tcW w:w="2551" w:type="dxa"/>
            <w:vAlign w:val="center"/>
          </w:tcPr>
          <w:p>
            <w:pPr>
              <w:pStyle w:val="14"/>
            </w:pPr>
          </w:p>
        </w:tc>
        <w:tc>
          <w:tcPr>
            <w:tcW w:w="2551" w:type="dxa"/>
            <w:vAlign w:val="center"/>
          </w:tcPr>
          <w:p>
            <w:pPr>
              <w:pStyle w:val="14"/>
            </w:pPr>
            <w:r>
              <w:t>25.16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30212</w:t>
            </w:r>
          </w:p>
        </w:tc>
        <w:tc>
          <w:tcPr>
            <w:tcW w:w="4535" w:type="dxa"/>
            <w:vAlign w:val="center"/>
          </w:tcPr>
          <w:p>
            <w:pPr>
              <w:pStyle w:val="15"/>
            </w:pPr>
            <w:r>
              <w:t>因公出国（境）费用</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3021202</w:t>
            </w:r>
          </w:p>
        </w:tc>
        <w:tc>
          <w:tcPr>
            <w:tcW w:w="4535" w:type="dxa"/>
            <w:vAlign w:val="center"/>
          </w:tcPr>
          <w:p>
            <w:pPr>
              <w:pStyle w:val="15"/>
            </w:pPr>
            <w:r>
              <w:t>其他因公出国（境）费</w:t>
            </w:r>
          </w:p>
        </w:tc>
        <w:tc>
          <w:tcPr>
            <w:tcW w:w="2551" w:type="dxa"/>
            <w:vAlign w:val="center"/>
          </w:tcPr>
          <w:p>
            <w:pPr>
              <w:pStyle w:val="14"/>
            </w:pPr>
            <w:r>
              <w:t>20.00</w:t>
            </w:r>
          </w:p>
        </w:tc>
        <w:tc>
          <w:tcPr>
            <w:tcW w:w="2551" w:type="dxa"/>
            <w:vAlign w:val="center"/>
          </w:tcPr>
          <w:p>
            <w:pPr>
              <w:pStyle w:val="14"/>
            </w:pPr>
          </w:p>
        </w:tc>
        <w:tc>
          <w:tcPr>
            <w:tcW w:w="2551" w:type="dxa"/>
            <w:vAlign w:val="center"/>
          </w:tcPr>
          <w:p>
            <w:pPr>
              <w:pStyle w:val="14"/>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30226</w:t>
            </w:r>
          </w:p>
        </w:tc>
        <w:tc>
          <w:tcPr>
            <w:tcW w:w="4535" w:type="dxa"/>
            <w:vAlign w:val="center"/>
          </w:tcPr>
          <w:p>
            <w:pPr>
              <w:pStyle w:val="15"/>
            </w:pPr>
            <w:r>
              <w:t>劳务费</w:t>
            </w:r>
          </w:p>
        </w:tc>
        <w:tc>
          <w:tcPr>
            <w:tcW w:w="2551" w:type="dxa"/>
            <w:vAlign w:val="center"/>
          </w:tcPr>
          <w:p>
            <w:pPr>
              <w:pStyle w:val="14"/>
            </w:pPr>
            <w:r>
              <w:t>28.30</w:t>
            </w:r>
          </w:p>
        </w:tc>
        <w:tc>
          <w:tcPr>
            <w:tcW w:w="2551" w:type="dxa"/>
            <w:vAlign w:val="center"/>
          </w:tcPr>
          <w:p>
            <w:pPr>
              <w:pStyle w:val="14"/>
            </w:pPr>
          </w:p>
        </w:tc>
        <w:tc>
          <w:tcPr>
            <w:tcW w:w="2551" w:type="dxa"/>
            <w:vAlign w:val="center"/>
          </w:tcPr>
          <w:p>
            <w:pPr>
              <w:pStyle w:val="14"/>
            </w:pPr>
            <w:r>
              <w:t>28.30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30228</w:t>
            </w:r>
          </w:p>
        </w:tc>
        <w:tc>
          <w:tcPr>
            <w:tcW w:w="4535" w:type="dxa"/>
            <w:vAlign w:val="center"/>
          </w:tcPr>
          <w:p>
            <w:pPr>
              <w:pStyle w:val="15"/>
            </w:pPr>
            <w:r>
              <w:t>工会经费</w:t>
            </w:r>
          </w:p>
        </w:tc>
        <w:tc>
          <w:tcPr>
            <w:tcW w:w="2551" w:type="dxa"/>
            <w:vAlign w:val="center"/>
          </w:tcPr>
          <w:p>
            <w:pPr>
              <w:pStyle w:val="14"/>
            </w:pPr>
            <w:r>
              <w:t>3.76</w:t>
            </w:r>
          </w:p>
        </w:tc>
        <w:tc>
          <w:tcPr>
            <w:tcW w:w="2551" w:type="dxa"/>
            <w:vAlign w:val="center"/>
          </w:tcPr>
          <w:p>
            <w:pPr>
              <w:pStyle w:val="14"/>
            </w:pPr>
          </w:p>
        </w:tc>
        <w:tc>
          <w:tcPr>
            <w:tcW w:w="2551" w:type="dxa"/>
            <w:vAlign w:val="center"/>
          </w:tcPr>
          <w:p>
            <w:pPr>
              <w:pStyle w:val="14"/>
            </w:pPr>
            <w:r>
              <w:t>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30229</w:t>
            </w:r>
          </w:p>
        </w:tc>
        <w:tc>
          <w:tcPr>
            <w:tcW w:w="4535" w:type="dxa"/>
            <w:vAlign w:val="center"/>
          </w:tcPr>
          <w:p>
            <w:pPr>
              <w:pStyle w:val="15"/>
            </w:pPr>
            <w:r>
              <w:t>福利费</w:t>
            </w:r>
          </w:p>
        </w:tc>
        <w:tc>
          <w:tcPr>
            <w:tcW w:w="2551" w:type="dxa"/>
            <w:vAlign w:val="center"/>
          </w:tcPr>
          <w:p>
            <w:pPr>
              <w:pStyle w:val="14"/>
            </w:pPr>
            <w:r>
              <w:t>4.15</w:t>
            </w:r>
          </w:p>
        </w:tc>
        <w:tc>
          <w:tcPr>
            <w:tcW w:w="2551" w:type="dxa"/>
            <w:vAlign w:val="center"/>
          </w:tcPr>
          <w:p>
            <w:pPr>
              <w:pStyle w:val="14"/>
            </w:pPr>
          </w:p>
        </w:tc>
        <w:tc>
          <w:tcPr>
            <w:tcW w:w="2551" w:type="dxa"/>
            <w:vAlign w:val="center"/>
          </w:tcPr>
          <w:p>
            <w:pPr>
              <w:pStyle w:val="14"/>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17.60</w:t>
            </w:r>
          </w:p>
        </w:tc>
        <w:tc>
          <w:tcPr>
            <w:tcW w:w="2551" w:type="dxa"/>
            <w:vAlign w:val="center"/>
          </w:tcPr>
          <w:p>
            <w:pPr>
              <w:pStyle w:val="14"/>
            </w:pPr>
          </w:p>
        </w:tc>
        <w:tc>
          <w:tcPr>
            <w:tcW w:w="2551" w:type="dxa"/>
            <w:vAlign w:val="center"/>
          </w:tcPr>
          <w:p>
            <w:pPr>
              <w:pStyle w:val="14"/>
            </w:pPr>
            <w:r>
              <w:t>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23.14</w:t>
            </w:r>
          </w:p>
        </w:tc>
        <w:tc>
          <w:tcPr>
            <w:tcW w:w="2551" w:type="dxa"/>
            <w:vAlign w:val="center"/>
          </w:tcPr>
          <w:p>
            <w:pPr>
              <w:pStyle w:val="14"/>
            </w:pPr>
          </w:p>
        </w:tc>
        <w:tc>
          <w:tcPr>
            <w:tcW w:w="2551" w:type="dxa"/>
            <w:vAlign w:val="center"/>
          </w:tcPr>
          <w:p>
            <w:pPr>
              <w:pStyle w:val="14"/>
            </w:pPr>
            <w:r>
              <w:t>23.14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30299</w:t>
            </w:r>
          </w:p>
        </w:tc>
        <w:tc>
          <w:tcPr>
            <w:tcW w:w="4535" w:type="dxa"/>
            <w:vAlign w:val="center"/>
          </w:tcPr>
          <w:p>
            <w:pPr>
              <w:pStyle w:val="15"/>
            </w:pPr>
            <w:r>
              <w:t>其他商品和服务支出</w:t>
            </w:r>
          </w:p>
        </w:tc>
        <w:tc>
          <w:tcPr>
            <w:tcW w:w="2551" w:type="dxa"/>
            <w:vAlign w:val="center"/>
          </w:tcPr>
          <w:p>
            <w:pPr>
              <w:pStyle w:val="14"/>
            </w:pPr>
            <w:r>
              <w:t>1.84</w:t>
            </w:r>
          </w:p>
        </w:tc>
        <w:tc>
          <w:tcPr>
            <w:tcW w:w="2551" w:type="dxa"/>
            <w:vAlign w:val="center"/>
          </w:tcPr>
          <w:p>
            <w:pPr>
              <w:pStyle w:val="14"/>
            </w:pPr>
          </w:p>
        </w:tc>
        <w:tc>
          <w:tcPr>
            <w:tcW w:w="2551" w:type="dxa"/>
            <w:vAlign w:val="center"/>
          </w:tcPr>
          <w:p>
            <w:pPr>
              <w:pStyle w:val="14"/>
            </w:pPr>
            <w:r>
              <w:t>1.84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1643" w:type="dxa"/>
            <w:tcBorders>
              <w:top w:val="single" w:color="FFFFFF" w:sz="6" w:space="0"/>
              <w:left w:val="single" w:color="FFFFFF" w:sz="6" w:space="0"/>
              <w:right w:val="single" w:color="FFFFFF" w:sz="6" w:space="0"/>
            </w:tcBorders>
            <w:vAlign w:val="center"/>
          </w:tcPr>
          <w:p>
            <w:pPr>
              <w:pStyle w:val="11"/>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1</w:t>
            </w:r>
          </w:p>
        </w:tc>
        <w:tc>
          <w:tcPr>
            <w:tcW w:w="1643" w:type="dxa"/>
            <w:vAlign w:val="center"/>
          </w:tcPr>
          <w:p>
            <w:pPr>
              <w:pStyle w:val="17"/>
            </w:pPr>
            <w:r>
              <w:t>合计</w:t>
            </w:r>
          </w:p>
        </w:tc>
        <w:tc>
          <w:tcPr>
            <w:tcW w:w="1643" w:type="dxa"/>
            <w:vAlign w:val="center"/>
          </w:tcPr>
          <w:p>
            <w:pPr>
              <w:pStyle w:val="18"/>
              <w:rPr>
                <w:rFonts w:hint="default"/>
              </w:rPr>
            </w:pPr>
            <w:r>
              <w:rPr>
                <w:rFonts w:hint="default"/>
              </w:rPr>
              <w:t>118.6</w:t>
            </w:r>
          </w:p>
        </w:tc>
        <w:tc>
          <w:tcPr>
            <w:tcW w:w="1643" w:type="dxa"/>
            <w:vAlign w:val="center"/>
          </w:tcPr>
          <w:p>
            <w:pPr>
              <w:pStyle w:val="18"/>
              <w:rPr>
                <w:rFonts w:hint="default"/>
              </w:rPr>
            </w:pPr>
            <w:r>
              <w:rPr>
                <w:rFonts w:hint="default"/>
              </w:rPr>
              <w:t>118.6</w:t>
            </w:r>
          </w:p>
        </w:tc>
        <w:tc>
          <w:tcPr>
            <w:tcW w:w="1643" w:type="dxa"/>
            <w:vAlign w:val="center"/>
          </w:tcPr>
          <w:p>
            <w:pPr>
              <w:pStyle w:val="18"/>
              <w:ind w:firstLine="0" w:firstLineChars="0"/>
              <w:rPr>
                <w:rFonts w:hint="default" w:ascii="方正书宋_GBK" w:hAnsi="方正书宋_GBK" w:eastAsia="方正书宋_GBK" w:cs="方正书宋_GBK"/>
                <w:b/>
                <w:sz w:val="21"/>
                <w:szCs w:val="24"/>
                <w:lang w:val="en-US" w:eastAsia="uk-UA" w:bidi="ar-SA"/>
              </w:rPr>
            </w:pPr>
            <w:bookmarkStart w:id="1" w:name="_GoBack"/>
            <w:bookmarkEnd w:id="1"/>
          </w:p>
        </w:tc>
        <w:tc>
          <w:tcPr>
            <w:tcW w:w="1643" w:type="dxa"/>
            <w:vAlign w:val="center"/>
          </w:tcPr>
          <w:p>
            <w:pPr>
              <w:pStyle w:val="18"/>
              <w:ind w:firstLine="0" w:firstLineChars="0"/>
              <w:rPr>
                <w:rFonts w:hint="default"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2</w:t>
            </w:r>
          </w:p>
        </w:tc>
        <w:tc>
          <w:tcPr>
            <w:tcW w:w="1643" w:type="dxa"/>
            <w:vAlign w:val="center"/>
          </w:tcPr>
          <w:p>
            <w:pPr>
              <w:pStyle w:val="15"/>
            </w:pPr>
            <w:r>
              <w:t>“三公”经费小计</w:t>
            </w:r>
          </w:p>
        </w:tc>
        <w:tc>
          <w:tcPr>
            <w:tcW w:w="1643" w:type="dxa"/>
            <w:vAlign w:val="center"/>
          </w:tcPr>
          <w:p>
            <w:pPr>
              <w:pStyle w:val="14"/>
              <w:rPr>
                <w:rFonts w:hint="default"/>
              </w:rPr>
            </w:pPr>
            <w:r>
              <w:rPr>
                <w:rFonts w:hint="default"/>
              </w:rPr>
              <w:t>118.6</w:t>
            </w:r>
          </w:p>
        </w:tc>
        <w:tc>
          <w:tcPr>
            <w:tcW w:w="1643" w:type="dxa"/>
            <w:vAlign w:val="center"/>
          </w:tcPr>
          <w:p>
            <w:pPr>
              <w:pStyle w:val="14"/>
              <w:rPr>
                <w:rFonts w:hint="default"/>
              </w:rPr>
            </w:pPr>
            <w:r>
              <w:rPr>
                <w:rFonts w:hint="default"/>
              </w:rPr>
              <w:t>118.6</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3</w:t>
            </w:r>
          </w:p>
        </w:tc>
        <w:tc>
          <w:tcPr>
            <w:tcW w:w="1643" w:type="dxa"/>
            <w:vAlign w:val="center"/>
          </w:tcPr>
          <w:p>
            <w:pPr>
              <w:pStyle w:val="15"/>
            </w:pPr>
            <w:r>
              <w:t>一、因公出国（境）费</w:t>
            </w:r>
          </w:p>
        </w:tc>
        <w:tc>
          <w:tcPr>
            <w:tcW w:w="1643" w:type="dxa"/>
            <w:vAlign w:val="center"/>
          </w:tcPr>
          <w:p>
            <w:pPr>
              <w:pStyle w:val="14"/>
              <w:rPr>
                <w:rFonts w:hint="default"/>
              </w:rPr>
            </w:pPr>
            <w:r>
              <w:rPr>
                <w:rFonts w:hint="default"/>
              </w:rPr>
              <w:t>20</w:t>
            </w:r>
          </w:p>
        </w:tc>
        <w:tc>
          <w:tcPr>
            <w:tcW w:w="1643" w:type="dxa"/>
            <w:vAlign w:val="center"/>
          </w:tcPr>
          <w:p>
            <w:pPr>
              <w:pStyle w:val="14"/>
              <w:rPr>
                <w:rFonts w:hint="default"/>
              </w:rPr>
            </w:pPr>
            <w:r>
              <w:rPr>
                <w:rFonts w:hint="default"/>
              </w:rPr>
              <w:t>20</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4</w:t>
            </w:r>
          </w:p>
        </w:tc>
        <w:tc>
          <w:tcPr>
            <w:tcW w:w="1643" w:type="dxa"/>
            <w:vAlign w:val="center"/>
          </w:tcPr>
          <w:p>
            <w:pPr>
              <w:pStyle w:val="15"/>
            </w:pPr>
            <w:r>
              <w:t xml:space="preserve">    其中：教学科研人员因公出国（境）费</w:t>
            </w:r>
          </w:p>
        </w:tc>
        <w:tc>
          <w:tcPr>
            <w:tcW w:w="1643" w:type="dxa"/>
            <w:vAlign w:val="center"/>
          </w:tcPr>
          <w:p>
            <w:pPr>
              <w:pStyle w:val="14"/>
            </w:pPr>
          </w:p>
        </w:tc>
        <w:tc>
          <w:tcPr>
            <w:tcW w:w="1643" w:type="dxa"/>
            <w:vAlign w:val="center"/>
          </w:tcPr>
          <w:p>
            <w:pPr>
              <w:pStyle w:val="14"/>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5</w:t>
            </w:r>
          </w:p>
        </w:tc>
        <w:tc>
          <w:tcPr>
            <w:tcW w:w="1643" w:type="dxa"/>
            <w:vAlign w:val="center"/>
          </w:tcPr>
          <w:p>
            <w:pPr>
              <w:pStyle w:val="15"/>
            </w:pPr>
            <w:r>
              <w:t xml:space="preserve">          其他因公出国（境）费</w:t>
            </w:r>
          </w:p>
        </w:tc>
        <w:tc>
          <w:tcPr>
            <w:tcW w:w="1643" w:type="dxa"/>
            <w:vAlign w:val="center"/>
          </w:tcPr>
          <w:p>
            <w:pPr>
              <w:pStyle w:val="14"/>
            </w:pPr>
            <w:r>
              <w:t>20.00</w:t>
            </w:r>
          </w:p>
        </w:tc>
        <w:tc>
          <w:tcPr>
            <w:tcW w:w="1643" w:type="dxa"/>
            <w:vAlign w:val="center"/>
          </w:tcPr>
          <w:p>
            <w:pPr>
              <w:pStyle w:val="14"/>
            </w:pPr>
            <w:r>
              <w:t>20.00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6</w:t>
            </w:r>
          </w:p>
        </w:tc>
        <w:tc>
          <w:tcPr>
            <w:tcW w:w="1643" w:type="dxa"/>
            <w:vAlign w:val="center"/>
          </w:tcPr>
          <w:p>
            <w:pPr>
              <w:pStyle w:val="15"/>
            </w:pPr>
            <w:r>
              <w:t>二、公务用车购置及运维费</w:t>
            </w:r>
          </w:p>
        </w:tc>
        <w:tc>
          <w:tcPr>
            <w:tcW w:w="1643" w:type="dxa"/>
            <w:vAlign w:val="center"/>
          </w:tcPr>
          <w:p>
            <w:pPr>
              <w:pStyle w:val="14"/>
              <w:rPr>
                <w:rFonts w:hint="default"/>
              </w:rPr>
            </w:pPr>
            <w:r>
              <w:rPr>
                <w:rFonts w:hint="default"/>
              </w:rPr>
              <w:t>98.6</w:t>
            </w:r>
          </w:p>
        </w:tc>
        <w:tc>
          <w:tcPr>
            <w:tcW w:w="1643" w:type="dxa"/>
            <w:vAlign w:val="center"/>
          </w:tcPr>
          <w:p>
            <w:pPr>
              <w:pStyle w:val="14"/>
              <w:rPr>
                <w:rFonts w:hint="default"/>
              </w:rPr>
            </w:pPr>
            <w:r>
              <w:rPr>
                <w:rFonts w:hint="default"/>
              </w:rPr>
              <w:t>98.6</w:t>
            </w: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hint="default"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7</w:t>
            </w:r>
          </w:p>
        </w:tc>
        <w:tc>
          <w:tcPr>
            <w:tcW w:w="1643" w:type="dxa"/>
            <w:vAlign w:val="center"/>
          </w:tcPr>
          <w:p>
            <w:pPr>
              <w:pStyle w:val="15"/>
            </w:pPr>
            <w:r>
              <w:t xml:space="preserve">    其中：公务用车购置费</w:t>
            </w:r>
          </w:p>
        </w:tc>
        <w:tc>
          <w:tcPr>
            <w:tcW w:w="1643" w:type="dxa"/>
            <w:vAlign w:val="center"/>
          </w:tcPr>
          <w:p>
            <w:pPr>
              <w:pStyle w:val="14"/>
            </w:pPr>
            <w:r>
              <w:t>81.00</w:t>
            </w:r>
          </w:p>
        </w:tc>
        <w:tc>
          <w:tcPr>
            <w:tcW w:w="1643" w:type="dxa"/>
            <w:vAlign w:val="center"/>
          </w:tcPr>
          <w:p>
            <w:pPr>
              <w:pStyle w:val="14"/>
            </w:pPr>
            <w:r>
              <w:t>81.00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8</w:t>
            </w:r>
          </w:p>
        </w:tc>
        <w:tc>
          <w:tcPr>
            <w:tcW w:w="1643" w:type="dxa"/>
            <w:vAlign w:val="center"/>
          </w:tcPr>
          <w:p>
            <w:pPr>
              <w:pStyle w:val="15"/>
            </w:pPr>
            <w:r>
              <w:t xml:space="preserve">          公务用车运行维护费</w:t>
            </w:r>
          </w:p>
        </w:tc>
        <w:tc>
          <w:tcPr>
            <w:tcW w:w="1643" w:type="dxa"/>
            <w:vAlign w:val="center"/>
          </w:tcPr>
          <w:p>
            <w:pPr>
              <w:pStyle w:val="14"/>
            </w:pPr>
            <w:r>
              <w:t>17.60</w:t>
            </w:r>
          </w:p>
        </w:tc>
        <w:tc>
          <w:tcPr>
            <w:tcW w:w="1643" w:type="dxa"/>
            <w:vAlign w:val="center"/>
          </w:tcPr>
          <w:p>
            <w:pPr>
              <w:pStyle w:val="14"/>
            </w:pPr>
            <w:r>
              <w:t>17.60</w:t>
            </w: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r>
              <w:t>9</w:t>
            </w:r>
          </w:p>
        </w:tc>
        <w:tc>
          <w:tcPr>
            <w:tcW w:w="1643" w:type="dxa"/>
            <w:vAlign w:val="center"/>
          </w:tcPr>
          <w:p>
            <w:pPr>
              <w:pStyle w:val="15"/>
            </w:pPr>
            <w:r>
              <w:t>三、公务接待费</w:t>
            </w: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中共石家庄市藁城区委员会办公室本级2022年单位预算信息公开情况说明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按照《预算法》、《地方预决算公开操作规程》和《关于进一步推进预算公开工作的实施意见》规定，现将中共石家庄市藁城区委员会办公室本级2022年单位预算公开如下：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0"/>
      </w:pPr>
      <w:r>
        <w:rPr>
          <w:rFonts w:ascii="方正楷体_GBK" w:hAnsi="方正楷体_GBK" w:eastAsia="方正楷体_GBK" w:cs="方正楷体_GBK"/>
          <w:b/>
          <w:color w:val="000000"/>
          <w:sz w:val="32"/>
        </w:rPr>
        <w:t>单位职责：</w:t>
      </w:r>
      <w:r>
        <w:t>中共石家庄市藁城区委员会办公室负责区委、区委领导交办的文稿起草、修改工作；围绕区委总体部署开展调查研究；区委文件制发。负责区委、区委领导交办的文稿起草、修改工作；围绕区委总体部署开展调查研究；区委文件制发。负责全区党政系统密码通信和密码管理。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5"/>
            </w:pPr>
            <w:r>
              <w:t>中共石家庄市藁城区委员会办公室本级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w:t>
      </w:r>
      <w:r>
        <w:rPr>
          <w:rFonts w:hint="default" w:eastAsia="仿宋" w:cs="Times New Roman"/>
          <w:sz w:val="32"/>
          <w:szCs w:val="32"/>
        </w:rPr>
        <w:t>单位</w:t>
      </w:r>
      <w:r>
        <w:rPr>
          <w:rFonts w:hint="eastAsia" w:ascii="Times New Roman" w:hAnsi="Times New Roman" w:eastAsia="仿宋" w:cs="Times New Roman"/>
          <w:sz w:val="32"/>
          <w:szCs w:val="32"/>
        </w:rPr>
        <w:t>当年全部收入。2022年预算收入</w:t>
      </w:r>
      <w:r>
        <w:rPr>
          <w:rFonts w:hint="default" w:eastAsia="仿宋" w:cs="Times New Roman"/>
          <w:sz w:val="32"/>
          <w:szCs w:val="32"/>
        </w:rPr>
        <w:t>1269.46</w:t>
      </w:r>
      <w:r>
        <w:rPr>
          <w:rFonts w:hint="eastAsia" w:ascii="Times New Roman" w:hAnsi="Times New Roman" w:eastAsia="仿宋" w:cs="Times New Roman"/>
          <w:sz w:val="32"/>
          <w:szCs w:val="32"/>
        </w:rPr>
        <w:t>万元，其中：一般公共预算收入</w:t>
      </w:r>
      <w:r>
        <w:rPr>
          <w:rFonts w:hint="default" w:eastAsia="仿宋" w:cs="Times New Roman"/>
          <w:sz w:val="32"/>
          <w:szCs w:val="32"/>
        </w:rPr>
        <w:t>1269.46</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w:t>
      </w:r>
      <w:r>
        <w:rPr>
          <w:rFonts w:hint="default" w:eastAsia="仿宋" w:cs="Times New Roman"/>
          <w:sz w:val="32"/>
          <w:szCs w:val="32"/>
        </w:rPr>
        <w:t>单位</w:t>
      </w:r>
      <w:r>
        <w:rPr>
          <w:rFonts w:hint="eastAsia" w:ascii="Times New Roman" w:hAnsi="Times New Roman" w:eastAsia="仿宋" w:cs="Times New Roman"/>
          <w:sz w:val="32"/>
          <w:szCs w:val="32"/>
        </w:rPr>
        <w:t>预算中支出预算的总体情况。2022年</w:t>
      </w:r>
      <w:r>
        <w:rPr>
          <w:rFonts w:hint="default" w:eastAsia="仿宋" w:cs="Times New Roman"/>
          <w:sz w:val="32"/>
          <w:szCs w:val="32"/>
        </w:rPr>
        <w:t>单位</w:t>
      </w:r>
      <w:r>
        <w:rPr>
          <w:rFonts w:hint="eastAsia" w:ascii="Times New Roman" w:hAnsi="Times New Roman" w:eastAsia="仿宋" w:cs="Times New Roman"/>
          <w:sz w:val="32"/>
          <w:szCs w:val="32"/>
        </w:rPr>
        <w:t>支出预算为</w:t>
      </w:r>
      <w:r>
        <w:rPr>
          <w:rFonts w:hint="default" w:eastAsia="仿宋" w:cs="Times New Roman"/>
          <w:sz w:val="32"/>
          <w:szCs w:val="32"/>
        </w:rPr>
        <w:t>1269.46</w:t>
      </w:r>
      <w:r>
        <w:rPr>
          <w:rFonts w:hint="eastAsia" w:ascii="Times New Roman" w:hAnsi="Times New Roman" w:eastAsia="仿宋" w:cs="Times New Roman"/>
          <w:sz w:val="32"/>
          <w:szCs w:val="32"/>
        </w:rPr>
        <w:t>万元，其中基本支出</w:t>
      </w:r>
      <w:r>
        <w:rPr>
          <w:rFonts w:hint="default" w:eastAsia="仿宋" w:cs="Times New Roman"/>
          <w:sz w:val="32"/>
          <w:szCs w:val="32"/>
        </w:rPr>
        <w:t>979.11</w:t>
      </w:r>
      <w:r>
        <w:rPr>
          <w:rFonts w:hint="eastAsia" w:ascii="Times New Roman" w:hAnsi="Times New Roman" w:eastAsia="仿宋" w:cs="Times New Roman"/>
          <w:sz w:val="32"/>
          <w:szCs w:val="32"/>
        </w:rPr>
        <w:t>万元，包括人员经费</w:t>
      </w:r>
      <w:r>
        <w:rPr>
          <w:rFonts w:hint="default" w:eastAsia="仿宋" w:cs="Times New Roman"/>
          <w:sz w:val="32"/>
          <w:szCs w:val="32"/>
        </w:rPr>
        <w:t>755.66</w:t>
      </w:r>
      <w:r>
        <w:rPr>
          <w:rFonts w:hint="eastAsia" w:ascii="Times New Roman" w:hAnsi="Times New Roman" w:eastAsia="仿宋" w:cs="Times New Roman"/>
          <w:sz w:val="32"/>
          <w:szCs w:val="32"/>
        </w:rPr>
        <w:t>万元和日常公用经费</w:t>
      </w:r>
      <w:r>
        <w:rPr>
          <w:rFonts w:hint="default" w:eastAsia="仿宋" w:cs="Times New Roman"/>
          <w:sz w:val="32"/>
          <w:szCs w:val="32"/>
        </w:rPr>
        <w:t>223.45</w:t>
      </w:r>
      <w:r>
        <w:rPr>
          <w:rFonts w:hint="eastAsia" w:ascii="Times New Roman" w:hAnsi="Times New Roman" w:eastAsia="仿宋" w:cs="Times New Roman"/>
          <w:sz w:val="32"/>
          <w:szCs w:val="32"/>
        </w:rPr>
        <w:t>万元；项目支出</w:t>
      </w:r>
      <w:r>
        <w:rPr>
          <w:rFonts w:hint="default" w:eastAsia="仿宋" w:cs="Times New Roman"/>
          <w:sz w:val="32"/>
          <w:szCs w:val="32"/>
        </w:rPr>
        <w:t>290.35</w:t>
      </w:r>
      <w:r>
        <w:rPr>
          <w:rFonts w:hint="eastAsia" w:ascii="Times New Roman" w:hAnsi="Times New Roman" w:eastAsia="仿宋" w:cs="Times New Roman"/>
          <w:sz w:val="32"/>
          <w:szCs w:val="32"/>
        </w:rPr>
        <w:t>万元，主要为</w:t>
      </w:r>
      <w:r>
        <w:rPr>
          <w:rFonts w:hint="default" w:eastAsia="仿宋" w:cs="Times New Roman"/>
          <w:sz w:val="32"/>
          <w:szCs w:val="32"/>
        </w:rPr>
        <w:t>深化改革管理系统维护费5万元，“纠风”活动经费4.5万元，档案管理经费5万元，地方志年鉴编纂经费10万元，国家安全宣传经费5万元，三重四创五优化办公经费5万元，省委应急值守综合指挥调度平台运营费5万元，市级应急值守平台运营费1.8万元，新型决策咨询智库运营经费50万元，应急保障公务用车81万元，其他项目涉密不予公开</w:t>
      </w:r>
      <w:r>
        <w:rPr>
          <w:rFonts w:hint="eastAsia" w:ascii="Times New Roman" w:hAnsi="Times New Roman" w:eastAsia="仿宋" w:cs="Times New Roman"/>
          <w:sz w:val="32"/>
          <w:szCs w:val="32"/>
        </w:rPr>
        <w:t>；其他支出0万元。</w:t>
      </w:r>
    </w:p>
    <w:p>
      <w:pPr>
        <w:numPr>
          <w:ilvl w:val="0"/>
          <w:numId w:val="0"/>
        </w:numPr>
        <w:spacing w:line="460" w:lineRule="exact"/>
        <w:ind w:firstLine="640" w:firstLineChars="200"/>
        <w:rPr>
          <w:rFonts w:ascii="Times New Roman" w:hAnsi="Times New Roman" w:eastAsia="仿宋" w:cs="Times New Roman"/>
          <w:sz w:val="32"/>
          <w:szCs w:val="32"/>
        </w:rPr>
      </w:pPr>
      <w:r>
        <w:rPr>
          <w:rFonts w:hint="default" w:eastAsia="仿宋" w:cs="Times New Roman"/>
          <w:sz w:val="32"/>
          <w:szCs w:val="32"/>
        </w:rPr>
        <w:t>3、</w:t>
      </w:r>
      <w:r>
        <w:rPr>
          <w:rFonts w:ascii="Times New Roman" w:hAnsi="Times New Roman" w:eastAsia="仿宋" w:cs="Times New Roman"/>
          <w:sz w:val="32"/>
          <w:szCs w:val="32"/>
        </w:rPr>
        <w:t>比上年增减情况</w:t>
      </w:r>
    </w:p>
    <w:p>
      <w:pPr>
        <w:numPr>
          <w:ilvl w:val="0"/>
          <w:numId w:val="0"/>
        </w:numPr>
        <w:spacing w:line="460" w:lineRule="exact"/>
        <w:ind w:firstLine="640" w:firstLineChars="200"/>
        <w:rPr>
          <w:rFonts w:ascii="黑体" w:hAnsi="黑体" w:eastAsia="黑体" w:cs="黑体"/>
          <w:color w:val="000000"/>
          <w:sz w:val="32"/>
        </w:rPr>
      </w:pPr>
      <w:r>
        <w:rPr>
          <w:rFonts w:hint="eastAsia" w:ascii="Times New Roman" w:hAnsi="Times New Roman" w:eastAsia="仿宋" w:cs="Times New Roman"/>
          <w:color w:val="000000"/>
          <w:sz w:val="32"/>
          <w:szCs w:val="32"/>
        </w:rPr>
        <w:t>2022年</w:t>
      </w:r>
      <w:r>
        <w:rPr>
          <w:rFonts w:hint="default" w:eastAsia="仿宋" w:cs="Times New Roman"/>
          <w:color w:val="000000"/>
          <w:sz w:val="32"/>
          <w:szCs w:val="32"/>
        </w:rPr>
        <w:t>单位</w:t>
      </w:r>
      <w:r>
        <w:rPr>
          <w:rFonts w:hint="eastAsia" w:ascii="Times New Roman" w:hAnsi="Times New Roman" w:eastAsia="仿宋" w:cs="Times New Roman"/>
          <w:color w:val="000000"/>
          <w:sz w:val="32"/>
          <w:szCs w:val="32"/>
        </w:rPr>
        <w:t>预算收支安排</w:t>
      </w:r>
      <w:r>
        <w:rPr>
          <w:rFonts w:hint="default" w:eastAsia="仿宋" w:cs="Times New Roman"/>
          <w:sz w:val="32"/>
          <w:szCs w:val="32"/>
        </w:rPr>
        <w:t>1269.46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default" w:eastAsia="仿宋" w:cs="Times New Roman"/>
          <w:sz w:val="32"/>
          <w:szCs w:val="32"/>
        </w:rPr>
        <w:t>198.68</w:t>
      </w:r>
      <w:r>
        <w:rPr>
          <w:rFonts w:hint="eastAsia" w:ascii="Times New Roman" w:hAnsi="Times New Roman" w:eastAsia="仿宋" w:cs="Times New Roman"/>
          <w:sz w:val="32"/>
          <w:szCs w:val="32"/>
        </w:rPr>
        <w:t>万元，其中：基本支出</w:t>
      </w:r>
      <w:r>
        <w:rPr>
          <w:rFonts w:hint="default" w:eastAsia="仿宋" w:cs="Times New Roman"/>
          <w:sz w:val="32"/>
          <w:szCs w:val="32"/>
        </w:rPr>
        <w:t>增加163.92</w:t>
      </w:r>
      <w:r>
        <w:rPr>
          <w:rFonts w:hint="eastAsia" w:ascii="Times New Roman" w:hAnsi="Times New Roman" w:eastAsia="仿宋" w:cs="Times New Roman"/>
          <w:sz w:val="32"/>
          <w:szCs w:val="32"/>
        </w:rPr>
        <w:t>万元，主要是人员</w:t>
      </w:r>
      <w:r>
        <w:rPr>
          <w:rFonts w:hint="default" w:eastAsia="仿宋" w:cs="Times New Roman"/>
          <w:sz w:val="32"/>
          <w:szCs w:val="32"/>
        </w:rPr>
        <w:t>增加</w:t>
      </w:r>
      <w:r>
        <w:rPr>
          <w:rFonts w:hint="eastAsia" w:ascii="Times New Roman" w:hAnsi="Times New Roman" w:eastAsia="仿宋" w:cs="Times New Roman"/>
          <w:sz w:val="32"/>
          <w:szCs w:val="32"/>
        </w:rPr>
        <w:t>，相应</w:t>
      </w:r>
      <w:r>
        <w:rPr>
          <w:rFonts w:hint="default" w:eastAsia="仿宋" w:cs="Times New Roman"/>
          <w:sz w:val="32"/>
          <w:szCs w:val="32"/>
        </w:rPr>
        <w:t>增加</w:t>
      </w:r>
      <w:r>
        <w:rPr>
          <w:rFonts w:hint="eastAsia" w:ascii="Times New Roman" w:hAnsi="Times New Roman" w:eastAsia="仿宋" w:cs="Times New Roman"/>
          <w:sz w:val="32"/>
          <w:szCs w:val="32"/>
        </w:rPr>
        <w:t>人员经费和日常公用经费；</w:t>
      </w:r>
      <w:r>
        <w:rPr>
          <w:rFonts w:hint="eastAsia" w:ascii="Times New Roman" w:hAnsi="Times New Roman" w:eastAsia="仿宋" w:cs="Times New Roman"/>
          <w:b w:val="0"/>
          <w:bCs w:val="0"/>
          <w:sz w:val="32"/>
          <w:szCs w:val="32"/>
        </w:rPr>
        <w:t>项目支出增加</w:t>
      </w:r>
      <w:r>
        <w:rPr>
          <w:rFonts w:hint="default" w:eastAsia="仿宋" w:cs="Times New Roman"/>
          <w:b w:val="0"/>
          <w:bCs w:val="0"/>
          <w:sz w:val="32"/>
          <w:szCs w:val="32"/>
        </w:rPr>
        <w:t>34.76</w:t>
      </w:r>
      <w:r>
        <w:rPr>
          <w:rFonts w:hint="eastAsia" w:ascii="Times New Roman" w:hAnsi="Times New Roman" w:eastAsia="仿宋" w:cs="Times New Roman"/>
          <w:b w:val="0"/>
          <w:bCs w:val="0"/>
          <w:sz w:val="32"/>
          <w:szCs w:val="32"/>
        </w:rPr>
        <w:t>万元，主要是增加</w:t>
      </w:r>
      <w:r>
        <w:rPr>
          <w:rFonts w:hint="default" w:eastAsia="仿宋" w:cs="Times New Roman"/>
          <w:b w:val="0"/>
          <w:bCs w:val="0"/>
          <w:sz w:val="32"/>
          <w:szCs w:val="32"/>
        </w:rPr>
        <w:t>涉密项目支出</w:t>
      </w:r>
      <w:r>
        <w:rPr>
          <w:rFonts w:hint="eastAsia" w:ascii="Times New Roman" w:hAnsi="Times New Roman" w:eastAsia="仿宋" w:cs="Times New Roman"/>
          <w:b w:val="0"/>
          <w:bCs w:val="0"/>
          <w:sz w:val="32"/>
          <w:szCs w:val="32"/>
        </w:rPr>
        <w:t>；</w:t>
      </w:r>
      <w:r>
        <w:rPr>
          <w:rFonts w:hint="eastAsia" w:ascii="Times New Roman" w:hAnsi="Times New Roman" w:eastAsia="仿宋" w:cs="Times New Roman"/>
          <w:sz w:val="32"/>
          <w:szCs w:val="32"/>
        </w:rPr>
        <w:t>其他支出无增减变化。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bidi w:val="0"/>
        <w:ind w:firstLine="640" w:firstLineChars="200"/>
        <w:rPr>
          <w:rFonts w:hint="eastAsia"/>
          <w:sz w:val="32"/>
          <w:szCs w:val="32"/>
        </w:rPr>
      </w:pPr>
      <w:r>
        <w:rPr>
          <w:rFonts w:hint="eastAsia"/>
          <w:sz w:val="32"/>
          <w:szCs w:val="32"/>
        </w:rPr>
        <w:t>2022年，我</w:t>
      </w:r>
      <w:r>
        <w:rPr>
          <w:rFonts w:hint="default"/>
          <w:sz w:val="32"/>
          <w:szCs w:val="32"/>
        </w:rPr>
        <w:t>单位</w:t>
      </w:r>
      <w:r>
        <w:rPr>
          <w:rFonts w:hint="eastAsia"/>
          <w:sz w:val="32"/>
          <w:szCs w:val="32"/>
        </w:rPr>
        <w:t>机关运行经费共计安排</w:t>
      </w:r>
      <w:r>
        <w:rPr>
          <w:rFonts w:hint="default"/>
          <w:sz w:val="32"/>
          <w:szCs w:val="32"/>
        </w:rPr>
        <w:t>223.45</w:t>
      </w:r>
      <w:r>
        <w:rPr>
          <w:rFonts w:hint="eastAsia"/>
          <w:sz w:val="32"/>
          <w:szCs w:val="32"/>
        </w:rPr>
        <w:t>万元，主要用于保证机关正常运转的办公及印刷费、邮电费、差旅费、会议费、福利费、专用材料及一般设备购置费</w:t>
      </w:r>
      <w:r>
        <w:rPr>
          <w:rFonts w:hint="default"/>
          <w:sz w:val="32"/>
          <w:szCs w:val="32"/>
        </w:rPr>
        <w:t>、</w:t>
      </w:r>
      <w:r>
        <w:rPr>
          <w:rFonts w:hint="eastAsia"/>
          <w:sz w:val="32"/>
          <w:szCs w:val="32"/>
        </w:rPr>
        <w:t>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bidi w:val="0"/>
        <w:ind w:firstLine="640" w:firstLineChars="200"/>
        <w:rPr>
          <w:sz w:val="32"/>
          <w:szCs w:val="32"/>
        </w:rPr>
      </w:pPr>
      <w:r>
        <w:rPr>
          <w:rFonts w:hint="eastAsia"/>
          <w:sz w:val="32"/>
          <w:szCs w:val="32"/>
        </w:rPr>
        <w:t>2022年，</w:t>
      </w:r>
      <w:r>
        <w:rPr>
          <w:rFonts w:hint="default"/>
          <w:sz w:val="32"/>
          <w:szCs w:val="32"/>
        </w:rPr>
        <w:t>本单位</w:t>
      </w:r>
      <w:r>
        <w:rPr>
          <w:rFonts w:hint="eastAsia"/>
          <w:sz w:val="32"/>
          <w:szCs w:val="32"/>
        </w:rPr>
        <w:t>财政拨款“三公”经费预算安排</w:t>
      </w:r>
      <w:r>
        <w:rPr>
          <w:rFonts w:hint="default"/>
          <w:sz w:val="32"/>
          <w:szCs w:val="32"/>
        </w:rPr>
        <w:t>118.6</w:t>
      </w:r>
      <w:r>
        <w:rPr>
          <w:rFonts w:hint="eastAsia"/>
          <w:sz w:val="32"/>
          <w:szCs w:val="32"/>
        </w:rPr>
        <w:t>万元，其中：因公出国（境）费</w:t>
      </w:r>
      <w:r>
        <w:rPr>
          <w:rFonts w:hint="default"/>
          <w:sz w:val="32"/>
          <w:szCs w:val="32"/>
        </w:rPr>
        <w:t>20</w:t>
      </w:r>
      <w:r>
        <w:rPr>
          <w:rFonts w:hint="eastAsia"/>
          <w:sz w:val="32"/>
          <w:szCs w:val="32"/>
        </w:rPr>
        <w:t>万元</w:t>
      </w:r>
      <w:r>
        <w:rPr>
          <w:rFonts w:hint="default"/>
          <w:sz w:val="32"/>
          <w:szCs w:val="32"/>
        </w:rPr>
        <w:t>，与上年持平</w:t>
      </w:r>
      <w:r>
        <w:rPr>
          <w:rFonts w:hint="eastAsia"/>
          <w:sz w:val="32"/>
          <w:szCs w:val="32"/>
        </w:rPr>
        <w:t>；公务用车购置及运维费</w:t>
      </w:r>
      <w:r>
        <w:rPr>
          <w:rFonts w:hint="default"/>
          <w:sz w:val="32"/>
          <w:szCs w:val="32"/>
        </w:rPr>
        <w:t>98.6</w:t>
      </w:r>
      <w:r>
        <w:rPr>
          <w:rFonts w:hint="eastAsia"/>
          <w:sz w:val="32"/>
          <w:szCs w:val="32"/>
        </w:rPr>
        <w:t>万元（其中：公务用车购置费</w:t>
      </w:r>
      <w:r>
        <w:rPr>
          <w:rFonts w:hint="default"/>
          <w:sz w:val="32"/>
          <w:szCs w:val="32"/>
        </w:rPr>
        <w:t>81</w:t>
      </w:r>
      <w:r>
        <w:rPr>
          <w:rFonts w:hint="eastAsia"/>
          <w:sz w:val="32"/>
          <w:szCs w:val="32"/>
        </w:rPr>
        <w:t>万元，</w:t>
      </w:r>
      <w:r>
        <w:rPr>
          <w:rFonts w:hint="default"/>
          <w:sz w:val="32"/>
          <w:szCs w:val="32"/>
        </w:rPr>
        <w:t>较上年增加81万元，增加原因是原有公车报废需购置新车；</w:t>
      </w:r>
      <w:r>
        <w:rPr>
          <w:rFonts w:hint="eastAsia"/>
          <w:sz w:val="32"/>
          <w:szCs w:val="32"/>
        </w:rPr>
        <w:t>公务用车运行维护费</w:t>
      </w:r>
      <w:r>
        <w:rPr>
          <w:rFonts w:hint="default"/>
          <w:sz w:val="32"/>
          <w:szCs w:val="32"/>
        </w:rPr>
        <w:t>17.6</w:t>
      </w:r>
      <w:r>
        <w:rPr>
          <w:rFonts w:hint="eastAsia"/>
          <w:sz w:val="32"/>
          <w:szCs w:val="32"/>
        </w:rPr>
        <w:t>万元</w:t>
      </w:r>
      <w:r>
        <w:rPr>
          <w:rFonts w:hint="default"/>
          <w:sz w:val="32"/>
          <w:szCs w:val="32"/>
        </w:rPr>
        <w:t>，与上年持平</w:t>
      </w:r>
      <w:r>
        <w:rPr>
          <w:rFonts w:hint="eastAsia"/>
          <w:sz w:val="32"/>
          <w:szCs w:val="32"/>
        </w:rPr>
        <w:t>)；公务接待费</w:t>
      </w:r>
      <w:r>
        <w:rPr>
          <w:rFonts w:hint="default"/>
          <w:sz w:val="32"/>
          <w:szCs w:val="32"/>
        </w:rPr>
        <w:t>0</w:t>
      </w:r>
      <w:r>
        <w:rPr>
          <w:rFonts w:hint="eastAsia"/>
          <w:sz w:val="32"/>
          <w:szCs w:val="32"/>
        </w:rPr>
        <w:t>万元</w:t>
      </w:r>
      <w:r>
        <w:rPr>
          <w:rFonts w:hint="default"/>
          <w:sz w:val="32"/>
          <w:szCs w:val="32"/>
        </w:rPr>
        <w:t>，与上年持平</w:t>
      </w:r>
      <w:r>
        <w:rPr>
          <w:rFonts w:hint="eastAsia"/>
          <w:sz w:val="32"/>
          <w:szCs w:val="32"/>
        </w:rPr>
        <w:t>。</w:t>
      </w:r>
      <w:r>
        <w:rPr>
          <w:rFonts w:hint="default"/>
          <w:sz w:val="32"/>
          <w:szCs w:val="32"/>
        </w:rPr>
        <w:t>与2021年相比，</w:t>
      </w:r>
      <w:r>
        <w:rPr>
          <w:rFonts w:hint="eastAsia"/>
          <w:sz w:val="32"/>
          <w:szCs w:val="32"/>
        </w:rPr>
        <w:t>“三公”经费</w:t>
      </w:r>
      <w:r>
        <w:rPr>
          <w:rFonts w:hint="default"/>
          <w:sz w:val="32"/>
          <w:szCs w:val="32"/>
        </w:rPr>
        <w:t>比</w:t>
      </w:r>
      <w:r>
        <w:rPr>
          <w:rFonts w:hint="eastAsia"/>
          <w:sz w:val="32"/>
          <w:szCs w:val="32"/>
        </w:rPr>
        <w:t>上年</w:t>
      </w:r>
      <w:r>
        <w:rPr>
          <w:rFonts w:hint="default"/>
          <w:sz w:val="32"/>
          <w:szCs w:val="32"/>
        </w:rPr>
        <w:t>增加81万元</w:t>
      </w:r>
      <w:r>
        <w:rPr>
          <w:rFonts w:hint="eastAsia"/>
          <w:sz w:val="32"/>
          <w:szCs w:val="32"/>
        </w:rPr>
        <w:t>，</w:t>
      </w:r>
      <w:r>
        <w:rPr>
          <w:rFonts w:hint="default"/>
          <w:sz w:val="32"/>
          <w:szCs w:val="32"/>
        </w:rPr>
        <w:t>增加的原因是原有公车报废，按照规定购买新车</w:t>
      </w:r>
      <w:r>
        <w:rPr>
          <w:rFonts w:hint="eastAsia"/>
          <w:sz w:val="32"/>
          <w:szCs w:val="32"/>
        </w:rPr>
        <w:t>。</w:t>
      </w:r>
    </w:p>
    <w:p>
      <w:pPr>
        <w:spacing w:before="10" w:after="10" w:line="240" w:lineRule="auto"/>
        <w:ind w:firstLine="640" w:firstLineChars="200"/>
        <w:jc w:val="left"/>
        <w:outlineLvl w:val="5"/>
      </w:pPr>
      <w:r>
        <w:rPr>
          <w:rFonts w:ascii="黑体" w:hAnsi="黑体" w:eastAsia="黑体" w:cs="黑体"/>
          <w:color w:val="000000"/>
          <w:sz w:val="32"/>
        </w:rPr>
        <w:t>五、预算绩效信息</w:t>
      </w:r>
    </w:p>
    <w:p>
      <w:pPr>
        <w:pStyle w:val="27"/>
        <w:spacing w:before="0" w:after="0"/>
        <w:ind w:firstLine="560"/>
        <w:jc w:val="left"/>
        <w:outlineLvl w:val="9"/>
      </w:pPr>
      <w:r>
        <w:rPr>
          <w:rFonts w:ascii="方正仿宋_GBK" w:hAnsi="方正仿宋_GBK" w:eastAsia="方正仿宋_GBK" w:cs="方正仿宋_GBK"/>
          <w:b/>
          <w:color w:val="000000"/>
          <w:sz w:val="28"/>
        </w:rPr>
        <w:t>1、“纠风”活动经费绩效目标表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1.完成“纠风”任务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印制文件份数</w:t>
            </w:r>
          </w:p>
        </w:tc>
        <w:tc>
          <w:tcPr>
            <w:tcW w:w="2835" w:type="dxa"/>
            <w:vAlign w:val="center"/>
          </w:tcPr>
          <w:p>
            <w:pPr>
              <w:pStyle w:val="29"/>
            </w:pPr>
            <w:r>
              <w:t>打印文件份数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印制质量合格率</w:t>
            </w:r>
          </w:p>
        </w:tc>
        <w:tc>
          <w:tcPr>
            <w:tcW w:w="2835" w:type="dxa"/>
            <w:vAlign w:val="center"/>
          </w:tcPr>
          <w:p>
            <w:pPr>
              <w:pStyle w:val="29"/>
            </w:pPr>
            <w:r>
              <w:t>打印文件质量合格率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打印工作完成率</w:t>
            </w:r>
          </w:p>
        </w:tc>
        <w:tc>
          <w:tcPr>
            <w:tcW w:w="2835" w:type="dxa"/>
            <w:vAlign w:val="center"/>
          </w:tcPr>
          <w:p>
            <w:pPr>
              <w:pStyle w:val="29"/>
            </w:pPr>
            <w:r>
              <w:t>打印文件工作完成率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打印文件成本</w:t>
            </w:r>
          </w:p>
        </w:tc>
        <w:tc>
          <w:tcPr>
            <w:tcW w:w="2835" w:type="dxa"/>
            <w:vAlign w:val="center"/>
          </w:tcPr>
          <w:p>
            <w:pPr>
              <w:pStyle w:val="29"/>
            </w:pPr>
            <w:r>
              <w:t>打印文件费用</w:t>
            </w:r>
          </w:p>
        </w:tc>
        <w:tc>
          <w:tcPr>
            <w:tcW w:w="2551" w:type="dxa"/>
            <w:vAlign w:val="center"/>
          </w:tcPr>
          <w:p>
            <w:pPr>
              <w:pStyle w:val="29"/>
            </w:pPr>
            <w:r>
              <w:t>≤4.5万元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2</w:t>
      </w:r>
      <w:r>
        <w:rPr>
          <w:rFonts w:ascii="方正仿宋_GBK" w:hAnsi="方正仿宋_GBK" w:eastAsia="方正仿宋_GBK" w:cs="方正仿宋_GBK"/>
          <w:b/>
          <w:color w:val="000000"/>
          <w:sz w:val="28"/>
        </w:rPr>
        <w:t>、档案管理经费绩效目标表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1.完成全区档案管理工作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印制文件份数</w:t>
            </w:r>
          </w:p>
        </w:tc>
        <w:tc>
          <w:tcPr>
            <w:tcW w:w="2835" w:type="dxa"/>
            <w:vAlign w:val="center"/>
          </w:tcPr>
          <w:p>
            <w:pPr>
              <w:pStyle w:val="29"/>
            </w:pPr>
            <w:r>
              <w:t>打印文件份数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印制质量合格率</w:t>
            </w:r>
          </w:p>
        </w:tc>
        <w:tc>
          <w:tcPr>
            <w:tcW w:w="2835" w:type="dxa"/>
            <w:vAlign w:val="center"/>
          </w:tcPr>
          <w:p>
            <w:pPr>
              <w:pStyle w:val="29"/>
            </w:pPr>
            <w:r>
              <w:t>打印文件质量合格率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打印工作完成率</w:t>
            </w:r>
          </w:p>
        </w:tc>
        <w:tc>
          <w:tcPr>
            <w:tcW w:w="2835" w:type="dxa"/>
            <w:vAlign w:val="center"/>
          </w:tcPr>
          <w:p>
            <w:pPr>
              <w:pStyle w:val="29"/>
            </w:pPr>
            <w:r>
              <w:t>打印文件工作完成率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打印文件成本</w:t>
            </w:r>
          </w:p>
        </w:tc>
        <w:tc>
          <w:tcPr>
            <w:tcW w:w="2835" w:type="dxa"/>
            <w:vAlign w:val="center"/>
          </w:tcPr>
          <w:p>
            <w:pPr>
              <w:pStyle w:val="29"/>
            </w:pPr>
            <w:r>
              <w:t>打印文件费用</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rPr>
          <w:rFonts w:hint="default" w:ascii="方正仿宋_GBK" w:hAnsi="方正仿宋_GBK" w:eastAsia="方正仿宋_GBK" w:cs="方正仿宋_GBK"/>
          <w:b/>
          <w:color w:val="000000"/>
          <w:sz w:val="28"/>
        </w:rPr>
      </w:pPr>
    </w:p>
    <w:p>
      <w:pPr>
        <w:pStyle w:val="27"/>
        <w:spacing w:before="0" w:after="0"/>
        <w:ind w:firstLine="560"/>
        <w:jc w:val="left"/>
        <w:outlineLvl w:val="9"/>
      </w:pPr>
      <w:r>
        <w:rPr>
          <w:rFonts w:hint="default" w:ascii="方正仿宋_GBK" w:hAnsi="方正仿宋_GBK" w:eastAsia="方正仿宋_GBK" w:cs="方正仿宋_GBK"/>
          <w:b/>
          <w:color w:val="000000"/>
          <w:sz w:val="28"/>
        </w:rPr>
        <w:t>3</w:t>
      </w:r>
      <w:r>
        <w:rPr>
          <w:rFonts w:ascii="方正仿宋_GBK" w:hAnsi="方正仿宋_GBK" w:eastAsia="方正仿宋_GBK" w:cs="方正仿宋_GBK"/>
          <w:b/>
          <w:color w:val="000000"/>
          <w:sz w:val="28"/>
        </w:rPr>
        <w:t>、地方志年鉴编纂经费绩效目标表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1.完成地方志编纂工作任务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年鉴份数</w:t>
            </w:r>
          </w:p>
        </w:tc>
        <w:tc>
          <w:tcPr>
            <w:tcW w:w="2835" w:type="dxa"/>
            <w:vAlign w:val="center"/>
          </w:tcPr>
          <w:p>
            <w:pPr>
              <w:pStyle w:val="29"/>
            </w:pPr>
            <w:r>
              <w:t>印制2021卷年鉴份数</w:t>
            </w:r>
          </w:p>
        </w:tc>
        <w:tc>
          <w:tcPr>
            <w:tcW w:w="2551" w:type="dxa"/>
            <w:vAlign w:val="center"/>
          </w:tcPr>
          <w:p>
            <w:pPr>
              <w:pStyle w:val="29"/>
            </w:pPr>
            <w:r>
              <w:t>≥1600份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年鉴编纂完成率</w:t>
            </w:r>
          </w:p>
        </w:tc>
        <w:tc>
          <w:tcPr>
            <w:tcW w:w="2835" w:type="dxa"/>
            <w:vAlign w:val="center"/>
          </w:tcPr>
          <w:p>
            <w:pPr>
              <w:pStyle w:val="29"/>
            </w:pPr>
            <w:r>
              <w:t>地方志年鉴编纂完成率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年鉴编纂经费到位率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年鉴编纂单价</w:t>
            </w:r>
          </w:p>
        </w:tc>
        <w:tc>
          <w:tcPr>
            <w:tcW w:w="2835" w:type="dxa"/>
            <w:vAlign w:val="center"/>
          </w:tcPr>
          <w:p>
            <w:pPr>
              <w:pStyle w:val="29"/>
            </w:pPr>
            <w:r>
              <w:t>印制2022卷年鉴单价</w:t>
            </w:r>
          </w:p>
        </w:tc>
        <w:tc>
          <w:tcPr>
            <w:tcW w:w="2551" w:type="dxa"/>
            <w:vAlign w:val="center"/>
          </w:tcPr>
          <w:p>
            <w:pPr>
              <w:pStyle w:val="29"/>
            </w:pPr>
            <w:r>
              <w:t>根据市场价确定</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确保地方志工作按时完成</w:t>
            </w:r>
          </w:p>
        </w:tc>
        <w:tc>
          <w:tcPr>
            <w:tcW w:w="2835" w:type="dxa"/>
            <w:vAlign w:val="center"/>
          </w:tcPr>
          <w:p>
            <w:pPr>
              <w:pStyle w:val="29"/>
            </w:pPr>
            <w:r>
              <w:t>确保地方志工作按时完成</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各单位对地方志年鉴的满意程度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4</w:t>
      </w:r>
      <w:r>
        <w:rPr>
          <w:rFonts w:ascii="方正仿宋_GBK" w:hAnsi="方正仿宋_GBK" w:eastAsia="方正仿宋_GBK" w:cs="方正仿宋_GBK"/>
          <w:b/>
          <w:color w:val="000000"/>
          <w:sz w:val="28"/>
        </w:rPr>
        <w:t>、国家安全宣传经费绩效目标表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1.完成国家安全教育宣传任务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购置展牌数量</w:t>
            </w:r>
          </w:p>
        </w:tc>
        <w:tc>
          <w:tcPr>
            <w:tcW w:w="2835" w:type="dxa"/>
            <w:vAlign w:val="center"/>
          </w:tcPr>
          <w:p>
            <w:pPr>
              <w:pStyle w:val="29"/>
            </w:pPr>
            <w:r>
              <w:t>购置展牌数量</w:t>
            </w:r>
          </w:p>
        </w:tc>
        <w:tc>
          <w:tcPr>
            <w:tcW w:w="2551" w:type="dxa"/>
            <w:vAlign w:val="center"/>
          </w:tcPr>
          <w:p>
            <w:pPr>
              <w:pStyle w:val="29"/>
            </w:pPr>
            <w:r>
              <w:t>≥100块</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展牌质量合格率</w:t>
            </w:r>
          </w:p>
        </w:tc>
        <w:tc>
          <w:tcPr>
            <w:tcW w:w="2835" w:type="dxa"/>
            <w:vAlign w:val="center"/>
          </w:tcPr>
          <w:p>
            <w:pPr>
              <w:pStyle w:val="29"/>
            </w:pPr>
            <w:r>
              <w:t>确保展牌数量合格</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宣传及时率</w:t>
            </w:r>
          </w:p>
        </w:tc>
        <w:tc>
          <w:tcPr>
            <w:tcW w:w="2835" w:type="dxa"/>
            <w:vAlign w:val="center"/>
          </w:tcPr>
          <w:p>
            <w:pPr>
              <w:pStyle w:val="29"/>
            </w:pPr>
            <w:r>
              <w:t>按规定完成对国家安全的宣传</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展牌价格</w:t>
            </w:r>
          </w:p>
        </w:tc>
        <w:tc>
          <w:tcPr>
            <w:tcW w:w="2835" w:type="dxa"/>
            <w:vAlign w:val="center"/>
          </w:tcPr>
          <w:p>
            <w:pPr>
              <w:pStyle w:val="29"/>
            </w:pPr>
            <w:r>
              <w:t>展牌价格</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社会影响力</w:t>
            </w:r>
          </w:p>
        </w:tc>
        <w:tc>
          <w:tcPr>
            <w:tcW w:w="2835" w:type="dxa"/>
            <w:vAlign w:val="center"/>
          </w:tcPr>
          <w:p>
            <w:pPr>
              <w:pStyle w:val="29"/>
            </w:pPr>
            <w:r>
              <w:t>社会影响力</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保障工作正常开展</w:t>
            </w:r>
          </w:p>
        </w:tc>
        <w:tc>
          <w:tcPr>
            <w:tcW w:w="2835" w:type="dxa"/>
            <w:vAlign w:val="center"/>
          </w:tcPr>
          <w:p>
            <w:pPr>
              <w:pStyle w:val="29"/>
            </w:pPr>
            <w:r>
              <w:t>涉密</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涉密</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5</w:t>
      </w:r>
      <w:r>
        <w:rPr>
          <w:rFonts w:ascii="方正仿宋_GBK" w:hAnsi="方正仿宋_GBK" w:eastAsia="方正仿宋_GBK" w:cs="方正仿宋_GBK"/>
          <w:b/>
          <w:color w:val="000000"/>
          <w:sz w:val="28"/>
        </w:rPr>
        <w:t>、三重四创五优化办公经费绩效目标表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1.完成三重四创五优化任务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打印文件份数</w:t>
            </w:r>
          </w:p>
        </w:tc>
        <w:tc>
          <w:tcPr>
            <w:tcW w:w="2835" w:type="dxa"/>
            <w:vAlign w:val="center"/>
          </w:tcPr>
          <w:p>
            <w:pPr>
              <w:pStyle w:val="29"/>
            </w:pPr>
            <w:r>
              <w:t>印制文件材料份数</w:t>
            </w:r>
          </w:p>
        </w:tc>
        <w:tc>
          <w:tcPr>
            <w:tcW w:w="2551" w:type="dxa"/>
            <w:vAlign w:val="center"/>
          </w:tcPr>
          <w:p>
            <w:pPr>
              <w:pStyle w:val="29"/>
            </w:pPr>
            <w:r>
              <w:t>≥2000份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文件质量合格率</w:t>
            </w:r>
          </w:p>
        </w:tc>
        <w:tc>
          <w:tcPr>
            <w:tcW w:w="2835" w:type="dxa"/>
            <w:vAlign w:val="center"/>
          </w:tcPr>
          <w:p>
            <w:pPr>
              <w:pStyle w:val="29"/>
            </w:pPr>
            <w:r>
              <w:t>确保文件质量合格</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按时完成率</w:t>
            </w:r>
          </w:p>
        </w:tc>
        <w:tc>
          <w:tcPr>
            <w:tcW w:w="2835" w:type="dxa"/>
            <w:vAlign w:val="center"/>
          </w:tcPr>
          <w:p>
            <w:pPr>
              <w:pStyle w:val="29"/>
            </w:pPr>
            <w:r>
              <w:t>按时完成工作率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严格控制预算</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保障工作顺利开展</w:t>
            </w:r>
          </w:p>
        </w:tc>
        <w:tc>
          <w:tcPr>
            <w:tcW w:w="2835" w:type="dxa"/>
            <w:vAlign w:val="center"/>
          </w:tcPr>
          <w:p>
            <w:pPr>
              <w:pStyle w:val="29"/>
            </w:pPr>
            <w:r>
              <w:t>保障工作正常开展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服务对象满意程度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6</w:t>
      </w:r>
      <w:r>
        <w:rPr>
          <w:rFonts w:ascii="方正仿宋_GBK" w:hAnsi="方正仿宋_GBK" w:eastAsia="方正仿宋_GBK" w:cs="方正仿宋_GBK"/>
          <w:b/>
          <w:color w:val="000000"/>
          <w:sz w:val="28"/>
        </w:rPr>
        <w:t>、省委应急值守综合指挥调度平台运营费绩效目标表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1.完成省委应急值守综合指挥调度平台运营任务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平台运营良好</w:t>
            </w:r>
          </w:p>
        </w:tc>
        <w:tc>
          <w:tcPr>
            <w:tcW w:w="2835" w:type="dxa"/>
            <w:vAlign w:val="center"/>
          </w:tcPr>
          <w:p>
            <w:pPr>
              <w:pStyle w:val="29"/>
            </w:pPr>
            <w:r>
              <w:t>平台发生故障时间少</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平台运营及时率</w:t>
            </w:r>
          </w:p>
        </w:tc>
        <w:tc>
          <w:tcPr>
            <w:tcW w:w="2835" w:type="dxa"/>
            <w:vAlign w:val="center"/>
          </w:tcPr>
          <w:p>
            <w:pPr>
              <w:pStyle w:val="29"/>
            </w:pPr>
            <w:r>
              <w:t>平台及时运营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平台运营良好运转</w:t>
            </w:r>
          </w:p>
        </w:tc>
        <w:tc>
          <w:tcPr>
            <w:tcW w:w="2835" w:type="dxa"/>
            <w:vAlign w:val="center"/>
          </w:tcPr>
          <w:p>
            <w:pPr>
              <w:pStyle w:val="29"/>
            </w:pPr>
            <w:r>
              <w:t>平台良好运营，工作顺利开展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对平台运营的满意度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7</w:t>
      </w:r>
      <w:r>
        <w:rPr>
          <w:rFonts w:ascii="方正仿宋_GBK" w:hAnsi="方正仿宋_GBK" w:eastAsia="方正仿宋_GBK" w:cs="方正仿宋_GBK"/>
          <w:b/>
          <w:color w:val="000000"/>
          <w:sz w:val="28"/>
        </w:rPr>
        <w:t>、市级应急值守平台运营费绩效目标表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1.完成市级应急值守平台运营任务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平台运营良好</w:t>
            </w:r>
          </w:p>
        </w:tc>
        <w:tc>
          <w:tcPr>
            <w:tcW w:w="2835" w:type="dxa"/>
            <w:vAlign w:val="center"/>
          </w:tcPr>
          <w:p>
            <w:pPr>
              <w:pStyle w:val="29"/>
            </w:pPr>
            <w:r>
              <w:t>平台发生故障时间少</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平台运营及时率</w:t>
            </w:r>
          </w:p>
        </w:tc>
        <w:tc>
          <w:tcPr>
            <w:tcW w:w="2835" w:type="dxa"/>
            <w:vAlign w:val="center"/>
          </w:tcPr>
          <w:p>
            <w:pPr>
              <w:pStyle w:val="29"/>
            </w:pPr>
            <w:r>
              <w:t>平台及时运营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≤1.8万元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平台运营良好运转</w:t>
            </w:r>
          </w:p>
        </w:tc>
        <w:tc>
          <w:tcPr>
            <w:tcW w:w="2835" w:type="dxa"/>
            <w:vAlign w:val="center"/>
          </w:tcPr>
          <w:p>
            <w:pPr>
              <w:pStyle w:val="29"/>
            </w:pPr>
            <w:r>
              <w:t>平台良好运营</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对平台运营的满意度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8</w:t>
      </w:r>
      <w:r>
        <w:rPr>
          <w:rFonts w:ascii="方正仿宋_GBK" w:hAnsi="方正仿宋_GBK" w:eastAsia="方正仿宋_GBK" w:cs="方正仿宋_GBK"/>
          <w:b/>
          <w:color w:val="000000"/>
          <w:sz w:val="28"/>
        </w:rPr>
        <w:t>、新型决策咨询智库运营经费绩效目标表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1.完成新型决策咨询智库工作任务</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办公耗材数量</w:t>
            </w:r>
          </w:p>
        </w:tc>
        <w:tc>
          <w:tcPr>
            <w:tcW w:w="2835" w:type="dxa"/>
            <w:vAlign w:val="center"/>
          </w:tcPr>
          <w:p>
            <w:pPr>
              <w:pStyle w:val="29"/>
            </w:pPr>
            <w:r>
              <w:t>购置办公产品数量</w:t>
            </w:r>
          </w:p>
        </w:tc>
        <w:tc>
          <w:tcPr>
            <w:tcW w:w="2551" w:type="dxa"/>
            <w:vAlign w:val="center"/>
          </w:tcPr>
          <w:p>
            <w:pPr>
              <w:pStyle w:val="29"/>
            </w:pPr>
            <w:r>
              <w:t>≥500份</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工作完成率</w:t>
            </w:r>
          </w:p>
        </w:tc>
        <w:tc>
          <w:tcPr>
            <w:tcW w:w="2835" w:type="dxa"/>
            <w:vAlign w:val="center"/>
          </w:tcPr>
          <w:p>
            <w:pPr>
              <w:pStyle w:val="29"/>
            </w:pPr>
            <w:r>
              <w:t>智库工作完成率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资金及时到位率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≤50万元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保障工作正常开展</w:t>
            </w:r>
          </w:p>
        </w:tc>
        <w:tc>
          <w:tcPr>
            <w:tcW w:w="2835" w:type="dxa"/>
            <w:vAlign w:val="center"/>
          </w:tcPr>
          <w:p>
            <w:pPr>
              <w:pStyle w:val="29"/>
            </w:pPr>
            <w:r>
              <w:t>保障智库工作正常开展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所提供服务的满意度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9</w:t>
      </w:r>
      <w:r>
        <w:rPr>
          <w:rFonts w:ascii="方正仿宋_GBK" w:hAnsi="方正仿宋_GBK" w:eastAsia="方正仿宋_GBK" w:cs="方正仿宋_GBK"/>
          <w:b/>
          <w:color w:val="000000"/>
          <w:sz w:val="28"/>
        </w:rPr>
        <w:t>、应急保障公务用车绩效目标表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1.购置应急保障公务用车</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购买公车数量</w:t>
            </w:r>
          </w:p>
        </w:tc>
        <w:tc>
          <w:tcPr>
            <w:tcW w:w="2835" w:type="dxa"/>
            <w:vAlign w:val="center"/>
          </w:tcPr>
          <w:p>
            <w:pPr>
              <w:pStyle w:val="29"/>
            </w:pPr>
            <w:r>
              <w:t>购买公车的数量</w:t>
            </w:r>
          </w:p>
        </w:tc>
        <w:tc>
          <w:tcPr>
            <w:tcW w:w="2551" w:type="dxa"/>
            <w:vAlign w:val="center"/>
          </w:tcPr>
          <w:p>
            <w:pPr>
              <w:pStyle w:val="29"/>
            </w:pPr>
            <w:r>
              <w:t>3辆</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公车质量合格率</w:t>
            </w:r>
          </w:p>
        </w:tc>
        <w:tc>
          <w:tcPr>
            <w:tcW w:w="2835" w:type="dxa"/>
            <w:vAlign w:val="center"/>
          </w:tcPr>
          <w:p>
            <w:pPr>
              <w:pStyle w:val="29"/>
            </w:pPr>
            <w:r>
              <w:t>公车质量的合格率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资金到位率</w:t>
            </w:r>
          </w:p>
        </w:tc>
        <w:tc>
          <w:tcPr>
            <w:tcW w:w="2835" w:type="dxa"/>
            <w:vAlign w:val="center"/>
          </w:tcPr>
          <w:p>
            <w:pPr>
              <w:pStyle w:val="29"/>
            </w:pPr>
            <w:r>
              <w:t>资金的到位率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控制预算成本</w:t>
            </w:r>
          </w:p>
        </w:tc>
        <w:tc>
          <w:tcPr>
            <w:tcW w:w="2551" w:type="dxa"/>
            <w:vAlign w:val="center"/>
          </w:tcPr>
          <w:p>
            <w:pPr>
              <w:pStyle w:val="29"/>
            </w:pPr>
            <w:r>
              <w:t>≤81万元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保障工作正常开展</w:t>
            </w:r>
          </w:p>
        </w:tc>
        <w:tc>
          <w:tcPr>
            <w:tcW w:w="2835" w:type="dxa"/>
            <w:vAlign w:val="center"/>
          </w:tcPr>
          <w:p>
            <w:pPr>
              <w:pStyle w:val="29"/>
            </w:pPr>
            <w:r>
              <w:t>保障工作顺利开展</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服务对象满意度</w:t>
            </w:r>
          </w:p>
        </w:tc>
        <w:tc>
          <w:tcPr>
            <w:tcW w:w="2835" w:type="dxa"/>
            <w:vAlign w:val="center"/>
          </w:tcPr>
          <w:p>
            <w:pPr>
              <w:pStyle w:val="29"/>
            </w:pPr>
            <w:r>
              <w:t>所服务对象的满意度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pPr>
    </w:p>
    <w:p>
      <w:pPr>
        <w:pStyle w:val="27"/>
        <w:spacing w:before="0" w:after="0"/>
        <w:ind w:firstLine="560"/>
        <w:jc w:val="left"/>
        <w:outlineLvl w:val="9"/>
      </w:pPr>
      <w:r>
        <w:rPr>
          <w:rFonts w:hint="default" w:ascii="方正仿宋_GBK" w:hAnsi="方正仿宋_GBK" w:eastAsia="方正仿宋_GBK" w:cs="方正仿宋_GBK"/>
          <w:b/>
          <w:color w:val="000000"/>
          <w:sz w:val="28"/>
        </w:rPr>
        <w:t>10</w:t>
      </w:r>
      <w:r>
        <w:rPr>
          <w:rFonts w:ascii="方正仿宋_GBK" w:hAnsi="方正仿宋_GBK" w:eastAsia="方正仿宋_GBK" w:cs="方正仿宋_GBK"/>
          <w:b/>
          <w:color w:val="000000"/>
          <w:sz w:val="28"/>
        </w:rPr>
        <w:t>、深化改革管理系统维护费绩效目标表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8"/>
            </w:pPr>
            <w:r>
              <w:t>绩效目标</w:t>
            </w:r>
          </w:p>
        </w:tc>
        <w:tc>
          <w:tcPr>
            <w:tcW w:w="12756" w:type="dxa"/>
            <w:tcBorders>
              <w:bottom w:val="single" w:color="FFFFFF" w:sz="6" w:space="0"/>
            </w:tcBorders>
            <w:vAlign w:val="center"/>
          </w:tcPr>
          <w:p>
            <w:pPr>
              <w:pStyle w:val="29"/>
            </w:pPr>
            <w:r>
              <w:t>1.完成深化改革管理系统维护工作</w:t>
            </w:r>
          </w:p>
        </w:tc>
      </w:tr>
    </w:tbl>
    <w:p>
      <w:pPr>
        <w:pStyle w:val="27"/>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8"/>
            </w:pPr>
            <w:r>
              <w:t>一级指标</w:t>
            </w:r>
          </w:p>
        </w:tc>
        <w:tc>
          <w:tcPr>
            <w:tcW w:w="2268" w:type="dxa"/>
            <w:vAlign w:val="center"/>
          </w:tcPr>
          <w:p>
            <w:pPr>
              <w:pStyle w:val="28"/>
            </w:pPr>
            <w:r>
              <w:t>二级指标</w:t>
            </w:r>
          </w:p>
        </w:tc>
        <w:tc>
          <w:tcPr>
            <w:tcW w:w="2835" w:type="dxa"/>
            <w:vAlign w:val="center"/>
          </w:tcPr>
          <w:p>
            <w:pPr>
              <w:pStyle w:val="28"/>
            </w:pPr>
            <w:r>
              <w:t>三级指标</w:t>
            </w:r>
          </w:p>
        </w:tc>
        <w:tc>
          <w:tcPr>
            <w:tcW w:w="2835" w:type="dxa"/>
            <w:vAlign w:val="center"/>
          </w:tcPr>
          <w:p>
            <w:pPr>
              <w:pStyle w:val="28"/>
            </w:pPr>
            <w:r>
              <w:t>绩效指标描述</w:t>
            </w:r>
          </w:p>
        </w:tc>
        <w:tc>
          <w:tcPr>
            <w:tcW w:w="2551" w:type="dxa"/>
            <w:vAlign w:val="center"/>
          </w:tcPr>
          <w:p>
            <w:pPr>
              <w:pStyle w:val="28"/>
            </w:pPr>
            <w:r>
              <w:t>指标值</w:t>
            </w:r>
          </w:p>
        </w:tc>
        <w:tc>
          <w:tcPr>
            <w:tcW w:w="2268" w:type="dxa"/>
            <w:vAlign w:val="center"/>
          </w:tcPr>
          <w:p>
            <w:pPr>
              <w:pStyle w:val="2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30"/>
            </w:pPr>
            <w:r>
              <w:t>产出指标</w:t>
            </w:r>
          </w:p>
        </w:tc>
        <w:tc>
          <w:tcPr>
            <w:tcW w:w="2268" w:type="dxa"/>
            <w:vAlign w:val="center"/>
          </w:tcPr>
          <w:p>
            <w:pPr>
              <w:pStyle w:val="29"/>
            </w:pPr>
            <w:r>
              <w:t>数量指标</w:t>
            </w:r>
          </w:p>
        </w:tc>
        <w:tc>
          <w:tcPr>
            <w:tcW w:w="2835" w:type="dxa"/>
            <w:vAlign w:val="center"/>
          </w:tcPr>
          <w:p>
            <w:pPr>
              <w:pStyle w:val="29"/>
            </w:pPr>
            <w:r>
              <w:t>系统覆盖率</w:t>
            </w:r>
          </w:p>
        </w:tc>
        <w:tc>
          <w:tcPr>
            <w:tcW w:w="2835" w:type="dxa"/>
            <w:vAlign w:val="center"/>
          </w:tcPr>
          <w:p>
            <w:pPr>
              <w:pStyle w:val="29"/>
            </w:pPr>
            <w:r>
              <w:t>系统使用覆盖率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质量指标</w:t>
            </w:r>
          </w:p>
        </w:tc>
        <w:tc>
          <w:tcPr>
            <w:tcW w:w="2835" w:type="dxa"/>
            <w:vAlign w:val="center"/>
          </w:tcPr>
          <w:p>
            <w:pPr>
              <w:pStyle w:val="29"/>
            </w:pPr>
            <w:r>
              <w:t>故障排除率</w:t>
            </w:r>
          </w:p>
        </w:tc>
        <w:tc>
          <w:tcPr>
            <w:tcW w:w="2835" w:type="dxa"/>
            <w:vAlign w:val="center"/>
          </w:tcPr>
          <w:p>
            <w:pPr>
              <w:pStyle w:val="29"/>
            </w:pPr>
            <w:r>
              <w:t>系统故障排除率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时效指标</w:t>
            </w:r>
          </w:p>
        </w:tc>
        <w:tc>
          <w:tcPr>
            <w:tcW w:w="2835" w:type="dxa"/>
            <w:vAlign w:val="center"/>
          </w:tcPr>
          <w:p>
            <w:pPr>
              <w:pStyle w:val="29"/>
            </w:pPr>
            <w:r>
              <w:t>系统完成率</w:t>
            </w:r>
          </w:p>
        </w:tc>
        <w:tc>
          <w:tcPr>
            <w:tcW w:w="2835" w:type="dxa"/>
            <w:vAlign w:val="center"/>
          </w:tcPr>
          <w:p>
            <w:pPr>
              <w:pStyle w:val="29"/>
            </w:pPr>
            <w:r>
              <w:t>系统按时完成率</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7"/>
            </w:pPr>
          </w:p>
        </w:tc>
        <w:tc>
          <w:tcPr>
            <w:tcW w:w="2268" w:type="dxa"/>
            <w:vAlign w:val="center"/>
          </w:tcPr>
          <w:p>
            <w:pPr>
              <w:pStyle w:val="29"/>
            </w:pPr>
            <w:r>
              <w:t>成本指标</w:t>
            </w:r>
          </w:p>
        </w:tc>
        <w:tc>
          <w:tcPr>
            <w:tcW w:w="2835" w:type="dxa"/>
            <w:vAlign w:val="center"/>
          </w:tcPr>
          <w:p>
            <w:pPr>
              <w:pStyle w:val="29"/>
            </w:pPr>
            <w:r>
              <w:t>预算成本</w:t>
            </w:r>
          </w:p>
        </w:tc>
        <w:tc>
          <w:tcPr>
            <w:tcW w:w="2835" w:type="dxa"/>
            <w:vAlign w:val="center"/>
          </w:tcPr>
          <w:p>
            <w:pPr>
              <w:pStyle w:val="29"/>
            </w:pPr>
            <w:r>
              <w:t>严格控制预算成本</w:t>
            </w:r>
          </w:p>
        </w:tc>
        <w:tc>
          <w:tcPr>
            <w:tcW w:w="2551" w:type="dxa"/>
            <w:vAlign w:val="center"/>
          </w:tcPr>
          <w:p>
            <w:pPr>
              <w:pStyle w:val="29"/>
            </w:pPr>
            <w:r>
              <w:t>≤5万元</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效益指标</w:t>
            </w:r>
          </w:p>
        </w:tc>
        <w:tc>
          <w:tcPr>
            <w:tcW w:w="2268" w:type="dxa"/>
            <w:vAlign w:val="center"/>
          </w:tcPr>
          <w:p>
            <w:pPr>
              <w:pStyle w:val="29"/>
            </w:pPr>
            <w:r>
              <w:t>可持续影响指标</w:t>
            </w:r>
          </w:p>
        </w:tc>
        <w:tc>
          <w:tcPr>
            <w:tcW w:w="2835" w:type="dxa"/>
            <w:vAlign w:val="center"/>
          </w:tcPr>
          <w:p>
            <w:pPr>
              <w:pStyle w:val="29"/>
            </w:pPr>
            <w:r>
              <w:t>保障系统正常运转</w:t>
            </w:r>
          </w:p>
        </w:tc>
        <w:tc>
          <w:tcPr>
            <w:tcW w:w="2835" w:type="dxa"/>
            <w:vAlign w:val="center"/>
          </w:tcPr>
          <w:p>
            <w:pPr>
              <w:pStyle w:val="29"/>
            </w:pPr>
            <w:r>
              <w:t>保障系统正常运转</w:t>
            </w:r>
          </w:p>
        </w:tc>
        <w:tc>
          <w:tcPr>
            <w:tcW w:w="2551" w:type="dxa"/>
            <w:vAlign w:val="center"/>
          </w:tcPr>
          <w:p>
            <w:pPr>
              <w:pStyle w:val="29"/>
            </w:pPr>
            <w:r>
              <w:t>≥98%</w:t>
            </w:r>
          </w:p>
        </w:tc>
        <w:tc>
          <w:tcPr>
            <w:tcW w:w="2268" w:type="dxa"/>
            <w:vAlign w:val="center"/>
          </w:tcPr>
          <w:p>
            <w:pPr>
              <w:pStyle w:val="29"/>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30"/>
            </w:pPr>
            <w:r>
              <w:t>满意度指标</w:t>
            </w:r>
          </w:p>
        </w:tc>
        <w:tc>
          <w:tcPr>
            <w:tcW w:w="2268" w:type="dxa"/>
            <w:vAlign w:val="center"/>
          </w:tcPr>
          <w:p>
            <w:pPr>
              <w:pStyle w:val="29"/>
            </w:pPr>
            <w:r>
              <w:t>服务对象满意度指标</w:t>
            </w:r>
          </w:p>
        </w:tc>
        <w:tc>
          <w:tcPr>
            <w:tcW w:w="2835" w:type="dxa"/>
            <w:vAlign w:val="center"/>
          </w:tcPr>
          <w:p>
            <w:pPr>
              <w:pStyle w:val="29"/>
            </w:pPr>
            <w:r>
              <w:t>用户使用满意度</w:t>
            </w:r>
          </w:p>
        </w:tc>
        <w:tc>
          <w:tcPr>
            <w:tcW w:w="2835" w:type="dxa"/>
            <w:vAlign w:val="center"/>
          </w:tcPr>
          <w:p>
            <w:pPr>
              <w:pStyle w:val="29"/>
            </w:pPr>
            <w:r>
              <w:t>用户使用平台的满意度</w:t>
            </w:r>
          </w:p>
        </w:tc>
        <w:tc>
          <w:tcPr>
            <w:tcW w:w="2551" w:type="dxa"/>
            <w:vAlign w:val="center"/>
          </w:tcPr>
          <w:p>
            <w:pPr>
              <w:pStyle w:val="29"/>
            </w:pPr>
            <w:r>
              <w:t>≥98%</w:t>
            </w:r>
          </w:p>
        </w:tc>
        <w:tc>
          <w:tcPr>
            <w:tcW w:w="2268" w:type="dxa"/>
            <w:vAlign w:val="center"/>
          </w:tcPr>
          <w:p>
            <w:pPr>
              <w:pStyle w:val="29"/>
            </w:pPr>
            <w:r>
              <w:t>年度工作计划</w:t>
            </w:r>
          </w:p>
        </w:tc>
      </w:tr>
    </w:tbl>
    <w:p>
      <w:pPr>
        <w:pStyle w:val="27"/>
        <w:sectPr>
          <w:pgSz w:w="16840" w:h="11900" w:orient="landscape"/>
          <w:pgMar w:top="1361" w:right="1020" w:bottom="1361"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2022年，中共石家庄市藁城区委员会办公室本级安排政府采购预算81.00万元。具体内容见下表。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7"/>
        <w:gridCol w:w="781"/>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8316" w:type="dxa"/>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3"/>
            </w:pPr>
            <w:r>
              <w:t>政府采购项目来源</w:t>
            </w:r>
          </w:p>
        </w:tc>
        <w:tc>
          <w:tcPr>
            <w:tcW w:w="924" w:type="dxa"/>
            <w:vMerge w:val="restart"/>
            <w:vAlign w:val="center"/>
          </w:tcPr>
          <w:p>
            <w:pPr>
              <w:pStyle w:val="13"/>
            </w:pPr>
            <w:r>
              <w:t>采购物品名称</w:t>
            </w:r>
          </w:p>
        </w:tc>
        <w:tc>
          <w:tcPr>
            <w:tcW w:w="924" w:type="dxa"/>
            <w:vMerge w:val="restart"/>
            <w:vAlign w:val="center"/>
          </w:tcPr>
          <w:p>
            <w:pPr>
              <w:pStyle w:val="13"/>
            </w:pPr>
            <w:r>
              <w:t>政府采购目录序号</w:t>
            </w:r>
          </w:p>
        </w:tc>
        <w:tc>
          <w:tcPr>
            <w:tcW w:w="924" w:type="dxa"/>
            <w:vMerge w:val="restart"/>
            <w:vAlign w:val="center"/>
          </w:tcPr>
          <w:p>
            <w:pPr>
              <w:pStyle w:val="13"/>
            </w:pPr>
            <w:r>
              <w:t>计量  单位</w:t>
            </w:r>
          </w:p>
        </w:tc>
        <w:tc>
          <w:tcPr>
            <w:tcW w:w="924" w:type="dxa"/>
            <w:vMerge w:val="restart"/>
            <w:vAlign w:val="center"/>
          </w:tcPr>
          <w:p>
            <w:pPr>
              <w:pStyle w:val="13"/>
            </w:pPr>
            <w:r>
              <w:t>数量</w:t>
            </w:r>
          </w:p>
        </w:tc>
        <w:tc>
          <w:tcPr>
            <w:tcW w:w="924" w:type="dxa"/>
            <w:vMerge w:val="restart"/>
            <w:vAlign w:val="center"/>
          </w:tcPr>
          <w:p>
            <w:pPr>
              <w:pStyle w:val="13"/>
            </w:pPr>
            <w:r>
              <w:t>单价</w:t>
            </w:r>
          </w:p>
        </w:tc>
        <w:tc>
          <w:tcPr>
            <w:tcW w:w="7392" w:type="dxa"/>
            <w:gridSpan w:val="8"/>
            <w:vAlign w:val="center"/>
          </w:tcPr>
          <w:p>
            <w:pPr>
              <w:pStyle w:val="13"/>
            </w:pPr>
            <w:r>
              <w:t>政府采购金额（当年部门预算安排资金）</w:t>
            </w:r>
          </w:p>
        </w:tc>
        <w:tc>
          <w:tcPr>
            <w:tcW w:w="924" w:type="dxa"/>
            <w:vMerge w:val="restart"/>
            <w:vAlign w:val="center"/>
          </w:tcPr>
          <w:p>
            <w:pPr>
              <w:pStyle w:val="13"/>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67" w:type="dxa"/>
            <w:vAlign w:val="center"/>
          </w:tcPr>
          <w:p>
            <w:pPr>
              <w:pStyle w:val="13"/>
            </w:pPr>
            <w:r>
              <w:t>项目名称</w:t>
            </w:r>
          </w:p>
        </w:tc>
        <w:tc>
          <w:tcPr>
            <w:tcW w:w="781" w:type="dxa"/>
            <w:vAlign w:val="center"/>
          </w:tcPr>
          <w:p>
            <w:pPr>
              <w:pStyle w:val="13"/>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3"/>
            </w:pPr>
            <w:r>
              <w:t>合计</w:t>
            </w:r>
          </w:p>
        </w:tc>
        <w:tc>
          <w:tcPr>
            <w:tcW w:w="924" w:type="dxa"/>
            <w:vAlign w:val="center"/>
          </w:tcPr>
          <w:p>
            <w:pPr>
              <w:pStyle w:val="13"/>
            </w:pPr>
            <w:r>
              <w:t>一般公共预算拨款</w:t>
            </w:r>
          </w:p>
        </w:tc>
        <w:tc>
          <w:tcPr>
            <w:tcW w:w="924" w:type="dxa"/>
            <w:vAlign w:val="center"/>
          </w:tcPr>
          <w:p>
            <w:pPr>
              <w:pStyle w:val="13"/>
            </w:pPr>
            <w:r>
              <w:t>基金预算拨款</w:t>
            </w:r>
          </w:p>
        </w:tc>
        <w:tc>
          <w:tcPr>
            <w:tcW w:w="924" w:type="dxa"/>
            <w:vAlign w:val="center"/>
          </w:tcPr>
          <w:p>
            <w:pPr>
              <w:pStyle w:val="13"/>
            </w:pPr>
            <w:r>
              <w:t>国有资本经营预算拨款</w:t>
            </w:r>
          </w:p>
        </w:tc>
        <w:tc>
          <w:tcPr>
            <w:tcW w:w="924" w:type="dxa"/>
            <w:vAlign w:val="center"/>
          </w:tcPr>
          <w:p>
            <w:pPr>
              <w:pStyle w:val="13"/>
            </w:pPr>
            <w:r>
              <w:t>财政专户核拨</w:t>
            </w:r>
          </w:p>
        </w:tc>
        <w:tc>
          <w:tcPr>
            <w:tcW w:w="924" w:type="dxa"/>
            <w:vAlign w:val="center"/>
          </w:tcPr>
          <w:p>
            <w:pPr>
              <w:pStyle w:val="13"/>
            </w:pPr>
            <w:r>
              <w:t>单位    资金</w:t>
            </w:r>
          </w:p>
        </w:tc>
        <w:tc>
          <w:tcPr>
            <w:tcW w:w="924" w:type="dxa"/>
            <w:vAlign w:val="center"/>
          </w:tcPr>
          <w:p>
            <w:pPr>
              <w:pStyle w:val="13"/>
            </w:pPr>
            <w:r>
              <w:t>财政拨    款结转</w:t>
            </w:r>
          </w:p>
        </w:tc>
        <w:tc>
          <w:tcPr>
            <w:tcW w:w="924" w:type="dxa"/>
            <w:vAlign w:val="center"/>
          </w:tcPr>
          <w:p>
            <w:pPr>
              <w:pStyle w:val="13"/>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67" w:type="dxa"/>
            <w:vAlign w:val="center"/>
          </w:tcPr>
          <w:p>
            <w:pPr>
              <w:pStyle w:val="17"/>
            </w:pPr>
            <w:r>
              <w:t>合  计</w:t>
            </w:r>
          </w:p>
        </w:tc>
        <w:tc>
          <w:tcPr>
            <w:tcW w:w="781"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81.00</w:t>
            </w:r>
          </w:p>
        </w:tc>
        <w:tc>
          <w:tcPr>
            <w:tcW w:w="924" w:type="dxa"/>
            <w:vAlign w:val="center"/>
          </w:tcPr>
          <w:p>
            <w:pPr>
              <w:pStyle w:val="18"/>
            </w:pPr>
            <w:r>
              <w:t>81.00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919" w:hRule="atLeast"/>
          <w:jc w:val="center"/>
        </w:trPr>
        <w:tc>
          <w:tcPr>
            <w:tcW w:w="1067" w:type="dxa"/>
            <w:vAlign w:val="center"/>
          </w:tcPr>
          <w:p>
            <w:pPr>
              <w:pStyle w:val="17"/>
            </w:pPr>
            <w:r>
              <w:t>中共石家庄市藁城区委员会办公室本级小计</w:t>
            </w:r>
          </w:p>
        </w:tc>
        <w:tc>
          <w:tcPr>
            <w:tcW w:w="781"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8"/>
            </w:pPr>
            <w:r>
              <w:t>81.00</w:t>
            </w:r>
          </w:p>
        </w:tc>
        <w:tc>
          <w:tcPr>
            <w:tcW w:w="924" w:type="dxa"/>
            <w:vAlign w:val="center"/>
          </w:tcPr>
          <w:p>
            <w:pPr>
              <w:pStyle w:val="18"/>
            </w:pPr>
            <w:r>
              <w:t>81.00</w:t>
            </w: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c>
          <w:tcPr>
            <w:tcW w:w="92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067" w:hRule="atLeast"/>
          <w:jc w:val="center"/>
        </w:trPr>
        <w:tc>
          <w:tcPr>
            <w:tcW w:w="1067" w:type="dxa"/>
            <w:vAlign w:val="center"/>
          </w:tcPr>
          <w:p>
            <w:pPr>
              <w:pStyle w:val="15"/>
            </w:pPr>
            <w:r>
              <w:t>应急保障公务用车</w:t>
            </w:r>
          </w:p>
        </w:tc>
        <w:tc>
          <w:tcPr>
            <w:tcW w:w="781" w:type="dxa"/>
            <w:vAlign w:val="center"/>
          </w:tcPr>
          <w:p>
            <w:pPr>
              <w:pStyle w:val="14"/>
            </w:pPr>
            <w:r>
              <w:t>81.00</w:t>
            </w:r>
          </w:p>
        </w:tc>
        <w:tc>
          <w:tcPr>
            <w:tcW w:w="924" w:type="dxa"/>
            <w:vAlign w:val="center"/>
          </w:tcPr>
          <w:p>
            <w:pPr>
              <w:pStyle w:val="15"/>
            </w:pPr>
            <w:r>
              <w:t>轿车</w:t>
            </w:r>
          </w:p>
        </w:tc>
        <w:tc>
          <w:tcPr>
            <w:tcW w:w="924" w:type="dxa"/>
            <w:vAlign w:val="center"/>
          </w:tcPr>
          <w:p>
            <w:pPr>
              <w:pStyle w:val="15"/>
            </w:pPr>
            <w:r>
              <w:t>A02030501</w:t>
            </w:r>
          </w:p>
        </w:tc>
        <w:tc>
          <w:tcPr>
            <w:tcW w:w="924" w:type="dxa"/>
            <w:vAlign w:val="center"/>
          </w:tcPr>
          <w:p>
            <w:pPr>
              <w:pStyle w:val="16"/>
            </w:pPr>
            <w:r>
              <w:t>辆</w:t>
            </w:r>
          </w:p>
        </w:tc>
        <w:tc>
          <w:tcPr>
            <w:tcW w:w="924" w:type="dxa"/>
            <w:vAlign w:val="center"/>
          </w:tcPr>
          <w:p>
            <w:pPr>
              <w:pStyle w:val="14"/>
            </w:pPr>
            <w:r>
              <w:t>2</w:t>
            </w:r>
          </w:p>
        </w:tc>
        <w:tc>
          <w:tcPr>
            <w:tcW w:w="924" w:type="dxa"/>
            <w:vAlign w:val="center"/>
          </w:tcPr>
          <w:p>
            <w:pPr>
              <w:pStyle w:val="14"/>
            </w:pPr>
            <w:r>
              <w:t>18.00</w:t>
            </w:r>
          </w:p>
        </w:tc>
        <w:tc>
          <w:tcPr>
            <w:tcW w:w="924" w:type="dxa"/>
            <w:vAlign w:val="center"/>
          </w:tcPr>
          <w:p>
            <w:pPr>
              <w:pStyle w:val="14"/>
            </w:pPr>
            <w:r>
              <w:t>36.00</w:t>
            </w:r>
          </w:p>
        </w:tc>
        <w:tc>
          <w:tcPr>
            <w:tcW w:w="924" w:type="dxa"/>
            <w:vAlign w:val="center"/>
          </w:tcPr>
          <w:p>
            <w:pPr>
              <w:pStyle w:val="14"/>
            </w:pPr>
            <w:r>
              <w:t>36.00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3" w:hRule="atLeast"/>
          <w:jc w:val="center"/>
        </w:trPr>
        <w:tc>
          <w:tcPr>
            <w:tcW w:w="1067" w:type="dxa"/>
            <w:vAlign w:val="center"/>
          </w:tcPr>
          <w:p>
            <w:pPr>
              <w:pStyle w:val="15"/>
            </w:pPr>
            <w:r>
              <w:t>应急保障公务用车</w:t>
            </w:r>
          </w:p>
        </w:tc>
        <w:tc>
          <w:tcPr>
            <w:tcW w:w="781" w:type="dxa"/>
            <w:vAlign w:val="center"/>
          </w:tcPr>
          <w:p>
            <w:pPr>
              <w:pStyle w:val="14"/>
            </w:pPr>
            <w:r>
              <w:t>81.00</w:t>
            </w:r>
          </w:p>
        </w:tc>
        <w:tc>
          <w:tcPr>
            <w:tcW w:w="924" w:type="dxa"/>
            <w:vAlign w:val="center"/>
          </w:tcPr>
          <w:p>
            <w:pPr>
              <w:pStyle w:val="15"/>
            </w:pPr>
            <w:r>
              <w:t>大中型客车</w:t>
            </w:r>
          </w:p>
        </w:tc>
        <w:tc>
          <w:tcPr>
            <w:tcW w:w="924" w:type="dxa"/>
            <w:vAlign w:val="center"/>
          </w:tcPr>
          <w:p>
            <w:pPr>
              <w:pStyle w:val="15"/>
            </w:pPr>
            <w:r>
              <w:t>A02030602</w:t>
            </w:r>
          </w:p>
        </w:tc>
        <w:tc>
          <w:tcPr>
            <w:tcW w:w="924" w:type="dxa"/>
            <w:vAlign w:val="center"/>
          </w:tcPr>
          <w:p>
            <w:pPr>
              <w:pStyle w:val="16"/>
            </w:pPr>
            <w:r>
              <w:t>辆</w:t>
            </w:r>
          </w:p>
        </w:tc>
        <w:tc>
          <w:tcPr>
            <w:tcW w:w="924" w:type="dxa"/>
            <w:vAlign w:val="center"/>
          </w:tcPr>
          <w:p>
            <w:pPr>
              <w:pStyle w:val="14"/>
            </w:pPr>
            <w:r>
              <w:t>1</w:t>
            </w:r>
          </w:p>
        </w:tc>
        <w:tc>
          <w:tcPr>
            <w:tcW w:w="924" w:type="dxa"/>
            <w:vAlign w:val="center"/>
          </w:tcPr>
          <w:p>
            <w:pPr>
              <w:pStyle w:val="14"/>
            </w:pPr>
            <w:r>
              <w:t>45.00</w:t>
            </w:r>
          </w:p>
        </w:tc>
        <w:tc>
          <w:tcPr>
            <w:tcW w:w="924" w:type="dxa"/>
            <w:vAlign w:val="center"/>
          </w:tcPr>
          <w:p>
            <w:pPr>
              <w:pStyle w:val="14"/>
            </w:pPr>
            <w:r>
              <w:t>45.00</w:t>
            </w:r>
          </w:p>
        </w:tc>
        <w:tc>
          <w:tcPr>
            <w:tcW w:w="924" w:type="dxa"/>
            <w:vAlign w:val="center"/>
          </w:tcPr>
          <w:p>
            <w:pPr>
              <w:pStyle w:val="14"/>
            </w:pPr>
            <w:r>
              <w:t>45.00</w:t>
            </w: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c>
          <w:tcPr>
            <w:tcW w:w="924" w:type="dxa"/>
            <w:vAlign w:val="center"/>
          </w:tcPr>
          <w:p>
            <w:pPr>
              <w:pStyle w:val="14"/>
            </w:pPr>
          </w:p>
        </w:tc>
      </w:tr>
    </w:tbl>
    <w:p>
      <w:pPr>
        <w:spacing w:before="0" w:after="0" w:line="500" w:lineRule="exact"/>
        <w:ind w:firstLine="420"/>
        <w:jc w:val="left"/>
        <w:outlineLvl w:val="9"/>
        <w:rPr>
          <w:rFonts w:ascii="黑体" w:hAnsi="黑体" w:eastAsia="黑体" w:cs="黑体"/>
          <w:color w:val="000000"/>
          <w:sz w:val="32"/>
        </w:r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中共石家庄市藁城区委员会办公室本级上年末固定资产金额为516.18万元（详见下表）。本年度拟购置固定资产总额为81.00万元，已按要求列入政府采购预算，详见政府采购预算表。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202001中共石家庄市藁城区委员会办公室本级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516.18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4</w:t>
            </w:r>
          </w:p>
        </w:tc>
        <w:tc>
          <w:tcPr>
            <w:tcW w:w="2835" w:type="dxa"/>
            <w:vAlign w:val="center"/>
          </w:tcPr>
          <w:p>
            <w:pPr>
              <w:pStyle w:val="14"/>
            </w:pPr>
            <w:r>
              <w:t>122.45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pPr>
            <w:r>
              <w:t>474.73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eastAsia="方正仿宋_GBK" w:cs="Times New Roman"/>
          <w:b w:val="0"/>
          <w:color w:val="000000"/>
          <w:sz w:val="28"/>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eastAsia="方正仿宋_GBK" w:cs="Times New Roman"/>
          <w:b w:val="0"/>
          <w:color w:val="000000"/>
          <w:sz w:val="28"/>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Droid Sans Fallback"/>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Droid Sans Fallback">
    <w:panose1 w:val="020B0502000000000001"/>
    <w:charset w:val="86"/>
    <w:family w:val="auto"/>
    <w:pitch w:val="default"/>
    <w:sig w:usb0="910002FF" w:usb1="2BDFFCFB" w:usb2="00000036" w:usb3="00000000" w:csb0="203F01FF" w:csb1="D7FF0000"/>
  </w:font>
  <w:font w:name="Microsoft YaHei">
    <w:altName w:val="方正黑体_GBK"/>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false"/>
  <w:bordersDoNotSurroundFooter w:val="false"/>
  <w:doNotTrackMoves/>
  <w:documentProtection w:enforcement="0"/>
  <w:defaultTabStop w:val="720"/>
  <w:evenAndOddHeaders w:val="true"/>
  <w:displayHorizontalDrawingGridEvery w:val="1"/>
  <w:displayVerticalDrawingGridEvery w:val="1"/>
  <w:noPunctuationKerning w:val="true"/>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000000"/>
    <w:rsid w:val="0F67A9D1"/>
    <w:rsid w:val="11D610B4"/>
    <w:rsid w:val="11FC5D62"/>
    <w:rsid w:val="1E3BD3F9"/>
    <w:rsid w:val="1F7F81C3"/>
    <w:rsid w:val="25D9F9E2"/>
    <w:rsid w:val="2BEF78DD"/>
    <w:rsid w:val="2CE2A7C8"/>
    <w:rsid w:val="2EFF33CC"/>
    <w:rsid w:val="2F87A830"/>
    <w:rsid w:val="2FA6DD37"/>
    <w:rsid w:val="2FBC814A"/>
    <w:rsid w:val="37FD4B62"/>
    <w:rsid w:val="3B1B1899"/>
    <w:rsid w:val="3BDF89D8"/>
    <w:rsid w:val="3C7F6BAA"/>
    <w:rsid w:val="3D792E4C"/>
    <w:rsid w:val="3E77EEE3"/>
    <w:rsid w:val="3EEBA5D9"/>
    <w:rsid w:val="3F91ACAB"/>
    <w:rsid w:val="3FDDEA52"/>
    <w:rsid w:val="47BA72C9"/>
    <w:rsid w:val="4EFFE45B"/>
    <w:rsid w:val="53DF0BBD"/>
    <w:rsid w:val="545F52CD"/>
    <w:rsid w:val="55BE5B6F"/>
    <w:rsid w:val="577FAE71"/>
    <w:rsid w:val="5BE040B6"/>
    <w:rsid w:val="5C6F82C5"/>
    <w:rsid w:val="5C731F0D"/>
    <w:rsid w:val="5D5D68DA"/>
    <w:rsid w:val="5DE3A7B3"/>
    <w:rsid w:val="5DFEA91A"/>
    <w:rsid w:val="5DFF9F26"/>
    <w:rsid w:val="5DFFC0D3"/>
    <w:rsid w:val="5FDF7255"/>
    <w:rsid w:val="5FE4C5A5"/>
    <w:rsid w:val="5FF91747"/>
    <w:rsid w:val="5FFF9E88"/>
    <w:rsid w:val="65F7F05B"/>
    <w:rsid w:val="669CF20B"/>
    <w:rsid w:val="67334AC6"/>
    <w:rsid w:val="67571E56"/>
    <w:rsid w:val="69FF63A7"/>
    <w:rsid w:val="6BF1ACC2"/>
    <w:rsid w:val="6DBF55DE"/>
    <w:rsid w:val="6DFDE9B1"/>
    <w:rsid w:val="6F3706ED"/>
    <w:rsid w:val="6F68D7A9"/>
    <w:rsid w:val="6FD84CC9"/>
    <w:rsid w:val="6FFD1C31"/>
    <w:rsid w:val="734F08C1"/>
    <w:rsid w:val="736DCE10"/>
    <w:rsid w:val="73FD4AF5"/>
    <w:rsid w:val="75ED25FB"/>
    <w:rsid w:val="75FDAACB"/>
    <w:rsid w:val="774F4BDD"/>
    <w:rsid w:val="776766DF"/>
    <w:rsid w:val="777F1EE5"/>
    <w:rsid w:val="77B35392"/>
    <w:rsid w:val="77ECB7B8"/>
    <w:rsid w:val="77FA12DA"/>
    <w:rsid w:val="77FDA5F9"/>
    <w:rsid w:val="77FFC8A7"/>
    <w:rsid w:val="78BF8085"/>
    <w:rsid w:val="79D3611B"/>
    <w:rsid w:val="7ACFA687"/>
    <w:rsid w:val="7AD15710"/>
    <w:rsid w:val="7ADAB76E"/>
    <w:rsid w:val="7AFE677A"/>
    <w:rsid w:val="7B27AD4E"/>
    <w:rsid w:val="7B3F6949"/>
    <w:rsid w:val="7BBF5F99"/>
    <w:rsid w:val="7BC72A79"/>
    <w:rsid w:val="7BFD94B1"/>
    <w:rsid w:val="7D7EC854"/>
    <w:rsid w:val="7DEE61E1"/>
    <w:rsid w:val="7DF97CE8"/>
    <w:rsid w:val="7DFC89AA"/>
    <w:rsid w:val="7EAF2BB1"/>
    <w:rsid w:val="7EB7D3EA"/>
    <w:rsid w:val="7EBB0BF6"/>
    <w:rsid w:val="7ECF0B29"/>
    <w:rsid w:val="7EDFC5D3"/>
    <w:rsid w:val="7EEEFB89"/>
    <w:rsid w:val="7EFD6FC9"/>
    <w:rsid w:val="7EFF4CB2"/>
    <w:rsid w:val="7EFFCD99"/>
    <w:rsid w:val="7F6260C1"/>
    <w:rsid w:val="7F7F4DB2"/>
    <w:rsid w:val="7FBB1AD1"/>
    <w:rsid w:val="7FBD283C"/>
    <w:rsid w:val="7FCF0EB3"/>
    <w:rsid w:val="7FD22AB5"/>
    <w:rsid w:val="7FDD51AD"/>
    <w:rsid w:val="7FFD6BEE"/>
    <w:rsid w:val="7FFF1787"/>
    <w:rsid w:val="7FFF25C9"/>
    <w:rsid w:val="7FFF4BE1"/>
    <w:rsid w:val="8FD62EB5"/>
    <w:rsid w:val="9BFFB253"/>
    <w:rsid w:val="9F6B579F"/>
    <w:rsid w:val="9F7F4186"/>
    <w:rsid w:val="9FF97D47"/>
    <w:rsid w:val="9FFF8BD0"/>
    <w:rsid w:val="AEE3BBDD"/>
    <w:rsid w:val="AF7F742D"/>
    <w:rsid w:val="AFFD4C50"/>
    <w:rsid w:val="B4E8CD8D"/>
    <w:rsid w:val="B541CB66"/>
    <w:rsid w:val="B5FE97B5"/>
    <w:rsid w:val="B9DB9430"/>
    <w:rsid w:val="BB7D3729"/>
    <w:rsid w:val="BBED4507"/>
    <w:rsid w:val="BBF3AB35"/>
    <w:rsid w:val="BCFF3C68"/>
    <w:rsid w:val="BD933B05"/>
    <w:rsid w:val="BEA7B0A6"/>
    <w:rsid w:val="BF97897A"/>
    <w:rsid w:val="BFADDD09"/>
    <w:rsid w:val="BFBEB416"/>
    <w:rsid w:val="BFD7C145"/>
    <w:rsid w:val="BFEFB17C"/>
    <w:rsid w:val="BFFF3E54"/>
    <w:rsid w:val="BFFFDC0B"/>
    <w:rsid w:val="C7DF132A"/>
    <w:rsid w:val="CDBD4FC6"/>
    <w:rsid w:val="D57104DE"/>
    <w:rsid w:val="D7D1C46F"/>
    <w:rsid w:val="DB7F8580"/>
    <w:rsid w:val="DBE78AFA"/>
    <w:rsid w:val="DBF0787B"/>
    <w:rsid w:val="DDE5FEB0"/>
    <w:rsid w:val="DDFDB1B8"/>
    <w:rsid w:val="DDFF29FF"/>
    <w:rsid w:val="DEDF0CB2"/>
    <w:rsid w:val="DF37967E"/>
    <w:rsid w:val="DF6F022D"/>
    <w:rsid w:val="DFB7FD6D"/>
    <w:rsid w:val="DFDDED86"/>
    <w:rsid w:val="DFDF0FFB"/>
    <w:rsid w:val="DFFFBE94"/>
    <w:rsid w:val="E73C22F1"/>
    <w:rsid w:val="EA7FB69B"/>
    <w:rsid w:val="EB7388E1"/>
    <w:rsid w:val="EBB68D5E"/>
    <w:rsid w:val="EBBB4019"/>
    <w:rsid w:val="EBCF4F67"/>
    <w:rsid w:val="EDB784B5"/>
    <w:rsid w:val="EDCB82DF"/>
    <w:rsid w:val="EE7F11A3"/>
    <w:rsid w:val="EEE42FDB"/>
    <w:rsid w:val="EF4BB1E7"/>
    <w:rsid w:val="EF639584"/>
    <w:rsid w:val="EF6F336E"/>
    <w:rsid w:val="EFADCA1B"/>
    <w:rsid w:val="EFDF3881"/>
    <w:rsid w:val="EFF7EDD8"/>
    <w:rsid w:val="F0ED2A1B"/>
    <w:rsid w:val="F1FD35EE"/>
    <w:rsid w:val="F2791946"/>
    <w:rsid w:val="F3669C52"/>
    <w:rsid w:val="F376788F"/>
    <w:rsid w:val="F3F30EFA"/>
    <w:rsid w:val="F57E1329"/>
    <w:rsid w:val="F5CF8350"/>
    <w:rsid w:val="F6AE010F"/>
    <w:rsid w:val="F6BB9306"/>
    <w:rsid w:val="F7778A57"/>
    <w:rsid w:val="F7CF906C"/>
    <w:rsid w:val="F7FEFFB4"/>
    <w:rsid w:val="F8ED852D"/>
    <w:rsid w:val="F9FFED50"/>
    <w:rsid w:val="FA2F4686"/>
    <w:rsid w:val="FA3D50BC"/>
    <w:rsid w:val="FA6F046F"/>
    <w:rsid w:val="FA87A45F"/>
    <w:rsid w:val="FAFB2A32"/>
    <w:rsid w:val="FB3D86CD"/>
    <w:rsid w:val="FB566E8B"/>
    <w:rsid w:val="FBFFA687"/>
    <w:rsid w:val="FC17D282"/>
    <w:rsid w:val="FD3F2F86"/>
    <w:rsid w:val="FD5AE9FB"/>
    <w:rsid w:val="FDBC2E78"/>
    <w:rsid w:val="FDEFDA49"/>
    <w:rsid w:val="FDEFFA65"/>
    <w:rsid w:val="FDFDCCDF"/>
    <w:rsid w:val="FE23D62C"/>
    <w:rsid w:val="FE2FFD07"/>
    <w:rsid w:val="FEEBA36C"/>
    <w:rsid w:val="FEF755FD"/>
    <w:rsid w:val="FEFD1B31"/>
    <w:rsid w:val="FEFDE94E"/>
    <w:rsid w:val="FF3F3467"/>
    <w:rsid w:val="FF3F5779"/>
    <w:rsid w:val="FF71FD08"/>
    <w:rsid w:val="FF7A8D21"/>
    <w:rsid w:val="FF7CC566"/>
    <w:rsid w:val="FFA185B1"/>
    <w:rsid w:val="FFBCD029"/>
    <w:rsid w:val="FFECA8E7"/>
    <w:rsid w:val="FFFB316D"/>
    <w:rsid w:val="FFFD2E98"/>
    <w:rsid w:val="FFFE81D4"/>
    <w:rsid w:val="FFFF969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styleId="6">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Normal_66f66b30-8e8d-4710-94da-618ad3b506b1"/>
    <w:qFormat/>
    <w:uiPriority w:val="0"/>
    <w:rPr>
      <w:rFonts w:ascii="Times New Roman" w:hAnsi="Times New Roman" w:eastAsia="Times New Roman" w:cstheme="minorBidi"/>
      <w:sz w:val="24"/>
      <w:szCs w:val="24"/>
      <w:lang w:val="en-US" w:eastAsia="uk-UA" w:bidi="ar-SA"/>
    </w:rPr>
  </w:style>
  <w:style w:type="paragraph" w:customStyle="1" w:styleId="28">
    <w:name w:val="单元格样式1_c0d56eeb-6faa-4198-abf8-7ddcf5b7d562"/>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9">
    <w:name w:val="单元格样式2_83c6c2e6-3157-4f51-923d-e23cd122f684"/>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0">
    <w:name w:val="单元格样式3_3d88eb94-0e36-4f12-84b9-4e334bff764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2">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4</TotalTime>
  <ScaleCrop>false</ScaleCrop>
  <LinksUpToDate>false</LinksUpToDate>
  <Application>WPS Office_11.1.0.10161_F1E327BC-269C-435d-A152-05C5408002CA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2022-02-17T17:21:00Z</dcterms:created>
  <dc:creator>uos</dc:creator>
  <cp:lastModifiedBy>uos</cp:lastModifiedBy>
  <cp:lastPrinted>2022-02-27T17:13:00Z</cp:lastPrinted>
  <dcterms:modified xsi:type="dcterms:W3CDTF">2023-09-05T10:26:53Z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