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r>
        <w:rPr>
          <w:rFonts w:ascii="黑体" w:hAnsi="黑体" w:eastAsia="黑体" w:cs="黑体"/>
          <w:b/>
          <w:color w:val="000000"/>
          <w:sz w:val="44"/>
        </w:rPr>
        <w:t>中共石家庄市藁城区委员会办公室部门2022年度预算公开</w:t>
      </w:r>
    </w:p>
    <w:p>
      <w:pPr>
        <w:spacing w:before="0" w:after="0" w:line="240" w:lineRule="auto"/>
        <w:ind w:firstLine="0"/>
        <w:jc w:val="center"/>
        <w:outlineLvl w:val="0"/>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800"/>
        </w:tabs>
      </w:pPr>
      <w:r>
        <w:fldChar w:fldCharType="begin"/>
      </w:r>
      <w:r>
        <w:instrText xml:space="preserve">TOC \o "2-2" \h \z \u</w:instrText>
      </w:r>
      <w:r>
        <w:fldChar w:fldCharType="separate"/>
      </w:r>
      <w:r>
        <w:fldChar w:fldCharType="begin"/>
      </w:r>
      <w:r>
        <w:instrText xml:space="preserve"> HYPERLINK \l _Toc572660336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_Toc572660336 </w:instrText>
      </w:r>
      <w:r>
        <w:fldChar w:fldCharType="separate"/>
      </w:r>
      <w:r>
        <w:t>2</w:t>
      </w:r>
      <w:r>
        <w:fldChar w:fldCharType="end"/>
      </w:r>
      <w:r>
        <w:fldChar w:fldCharType="end"/>
      </w:r>
    </w:p>
    <w:p>
      <w:pPr>
        <w:pStyle w:val="5"/>
        <w:tabs>
          <w:tab w:val="right" w:leader="dot" w:pos="14800"/>
        </w:tabs>
      </w:pPr>
      <w:r>
        <w:fldChar w:fldCharType="begin"/>
      </w:r>
      <w:r>
        <w:instrText xml:space="preserve"> HYPERLINK \l _Toc1159126505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_Toc1159126505 </w:instrText>
      </w:r>
      <w:r>
        <w:fldChar w:fldCharType="separate"/>
      </w:r>
      <w:r>
        <w:t>5</w:t>
      </w:r>
      <w:r>
        <w:fldChar w:fldCharType="end"/>
      </w:r>
      <w:r>
        <w:fldChar w:fldCharType="end"/>
      </w:r>
    </w:p>
    <w:p>
      <w:pPr>
        <w:pStyle w:val="5"/>
        <w:tabs>
          <w:tab w:val="right" w:leader="dot" w:pos="14800"/>
        </w:tabs>
      </w:pPr>
      <w:r>
        <w:fldChar w:fldCharType="begin"/>
      </w:r>
      <w:r>
        <w:instrText xml:space="preserve"> HYPERLINK \l _Toc805750846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_Toc805750846 </w:instrText>
      </w:r>
      <w:r>
        <w:fldChar w:fldCharType="separate"/>
      </w:r>
      <w:r>
        <w:t>7</w:t>
      </w:r>
      <w:r>
        <w:fldChar w:fldCharType="end"/>
      </w:r>
      <w:r>
        <w:fldChar w:fldCharType="end"/>
      </w:r>
    </w:p>
    <w:p>
      <w:pPr>
        <w:pStyle w:val="5"/>
        <w:tabs>
          <w:tab w:val="right" w:leader="dot" w:pos="14800"/>
        </w:tabs>
      </w:pPr>
      <w:r>
        <w:fldChar w:fldCharType="begin"/>
      </w:r>
      <w:r>
        <w:instrText xml:space="preserve"> HYPERLINK \l _Toc1632621729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_Toc1632621729 </w:instrText>
      </w:r>
      <w:r>
        <w:fldChar w:fldCharType="separate"/>
      </w:r>
      <w:r>
        <w:t>8</w:t>
      </w:r>
      <w:r>
        <w:fldChar w:fldCharType="end"/>
      </w:r>
      <w:r>
        <w:fldChar w:fldCharType="end"/>
      </w:r>
    </w:p>
    <w:p>
      <w:pPr>
        <w:pStyle w:val="5"/>
        <w:tabs>
          <w:tab w:val="right" w:leader="dot" w:pos="14800"/>
        </w:tabs>
      </w:pPr>
      <w:r>
        <w:fldChar w:fldCharType="begin"/>
      </w:r>
      <w:r>
        <w:instrText xml:space="preserve"> HYPERLINK \l _Toc1100661313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_Toc1100661313 </w:instrText>
      </w:r>
      <w:r>
        <w:fldChar w:fldCharType="separate"/>
      </w:r>
      <w:r>
        <w:t>14</w:t>
      </w:r>
      <w:r>
        <w:fldChar w:fldCharType="end"/>
      </w:r>
      <w:r>
        <w:fldChar w:fldCharType="end"/>
      </w:r>
    </w:p>
    <w:p>
      <w:pPr>
        <w:pStyle w:val="5"/>
        <w:tabs>
          <w:tab w:val="right" w:leader="dot" w:pos="14800"/>
        </w:tabs>
      </w:pPr>
      <w:r>
        <w:fldChar w:fldCharType="begin"/>
      </w:r>
      <w:r>
        <w:instrText xml:space="preserve"> HYPERLINK \l _Toc1433925857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_Toc1433925857 </w:instrText>
      </w:r>
      <w:r>
        <w:fldChar w:fldCharType="separate"/>
      </w:r>
      <w:r>
        <w:t>15</w:t>
      </w:r>
      <w:r>
        <w:fldChar w:fldCharType="end"/>
      </w:r>
      <w:r>
        <w:fldChar w:fldCharType="end"/>
      </w:r>
    </w:p>
    <w:p>
      <w:pPr>
        <w:pStyle w:val="5"/>
        <w:tabs>
          <w:tab w:val="right" w:leader="dot" w:pos="14800"/>
        </w:tabs>
      </w:pPr>
      <w:r>
        <w:fldChar w:fldCharType="begin"/>
      </w:r>
      <w:r>
        <w:instrText xml:space="preserve"> HYPERLINK \l _Toc1141616124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_Toc1141616124 </w:instrText>
      </w:r>
      <w:r>
        <w:fldChar w:fldCharType="separate"/>
      </w:r>
      <w:r>
        <w:t>17</w:t>
      </w:r>
      <w:r>
        <w:fldChar w:fldCharType="end"/>
      </w:r>
      <w:r>
        <w:fldChar w:fldCharType="end"/>
      </w:r>
    </w:p>
    <w:p>
      <w:pPr>
        <w:pStyle w:val="5"/>
        <w:tabs>
          <w:tab w:val="right" w:leader="dot" w:pos="14800"/>
        </w:tabs>
      </w:pPr>
      <w:r>
        <w:fldChar w:fldCharType="begin"/>
      </w:r>
      <w:r>
        <w:instrText xml:space="preserve"> HYPERLINK \l _Toc84353895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_Toc84353895 </w:instrText>
      </w:r>
      <w:r>
        <w:fldChar w:fldCharType="separate"/>
      </w:r>
      <w:r>
        <w:t>18</w:t>
      </w:r>
      <w:r>
        <w:fldChar w:fldCharType="end"/>
      </w:r>
      <w:r>
        <w:fldChar w:fldCharType="end"/>
      </w:r>
    </w:p>
    <w:p>
      <w:pPr>
        <w:pStyle w:val="5"/>
        <w:tabs>
          <w:tab w:val="right" w:leader="dot" w:pos="14800"/>
        </w:tabs>
      </w:pPr>
      <w:r>
        <w:fldChar w:fldCharType="begin"/>
      </w:r>
      <w:r>
        <w:instrText xml:space="preserve"> HYPERLINK \l _Toc939819582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_Toc939819582 </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_Toc749241873 </w:instrText>
      </w:r>
      <w:r>
        <w:fldChar w:fldCharType="separate"/>
      </w:r>
      <w:r>
        <w:rPr>
          <w:rFonts w:ascii="黑体" w:hAnsi="黑体" w:eastAsia="黑体" w:cs="黑体"/>
        </w:rPr>
        <w:t>一、部门职责及机构设置情况</w:t>
      </w:r>
      <w:r>
        <w:tab/>
      </w:r>
      <w:r>
        <w:fldChar w:fldCharType="begin"/>
      </w:r>
      <w:r>
        <w:instrText xml:space="preserve"> PAGEREF _Toc749241873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_Toc137806862 </w:instrText>
      </w:r>
      <w:r>
        <w:fldChar w:fldCharType="separate"/>
      </w:r>
      <w:r>
        <w:rPr>
          <w:rFonts w:ascii="黑体" w:hAnsi="黑体" w:eastAsia="黑体" w:cs="黑体"/>
        </w:rPr>
        <w:t>二、部门预算安排的总体情况</w:t>
      </w:r>
      <w:r>
        <w:tab/>
      </w:r>
      <w:r>
        <w:fldChar w:fldCharType="begin"/>
      </w:r>
      <w:r>
        <w:instrText xml:space="preserve"> PAGEREF _Toc137806862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_Toc42999170 </w:instrText>
      </w:r>
      <w:r>
        <w:fldChar w:fldCharType="separate"/>
      </w:r>
      <w:r>
        <w:rPr>
          <w:rFonts w:ascii="黑体" w:hAnsi="黑体" w:eastAsia="黑体" w:cs="黑体"/>
        </w:rPr>
        <w:t>三、机关运行经费安排情况</w:t>
      </w:r>
      <w:r>
        <w:tab/>
      </w:r>
      <w:r>
        <w:fldChar w:fldCharType="begin"/>
      </w:r>
      <w:r>
        <w:instrText xml:space="preserve"> PAGEREF _Toc42999170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_Toc982906996 </w:instrText>
      </w:r>
      <w:r>
        <w:fldChar w:fldCharType="separate"/>
      </w:r>
      <w:r>
        <w:rPr>
          <w:rFonts w:ascii="黑体" w:hAnsi="黑体" w:eastAsia="黑体" w:cs="黑体"/>
        </w:rPr>
        <w:t>四、财政拨款“三公”经费预算情况及增减变化原因</w:t>
      </w:r>
      <w:r>
        <w:tab/>
      </w:r>
      <w:r>
        <w:fldChar w:fldCharType="begin"/>
      </w:r>
      <w:r>
        <w:instrText xml:space="preserve"> PAGEREF _Toc982906996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_Toc135497281 </w:instrText>
      </w:r>
      <w:r>
        <w:fldChar w:fldCharType="separate"/>
      </w:r>
      <w:r>
        <w:rPr>
          <w:rFonts w:ascii="黑体" w:hAnsi="黑体" w:eastAsia="黑体" w:cs="黑体"/>
        </w:rPr>
        <w:t>五、预算绩效信息</w:t>
      </w:r>
      <w:r>
        <w:tab/>
      </w:r>
      <w:r>
        <w:fldChar w:fldCharType="begin"/>
      </w:r>
      <w:r>
        <w:instrText xml:space="preserve"> PAGEREF _Toc135497281 </w:instrText>
      </w:r>
      <w:r>
        <w:fldChar w:fldCharType="separate"/>
      </w:r>
      <w:r>
        <w:t>23</w:t>
      </w:r>
      <w:r>
        <w:fldChar w:fldCharType="end"/>
      </w:r>
      <w:r>
        <w:fldChar w:fldCharType="end"/>
      </w:r>
    </w:p>
    <w:p>
      <w:pPr>
        <w:pStyle w:val="2"/>
        <w:tabs>
          <w:tab w:val="right" w:leader="dot" w:pos="14800"/>
        </w:tabs>
      </w:pPr>
      <w:r>
        <w:fldChar w:fldCharType="begin"/>
      </w:r>
      <w:r>
        <w:instrText xml:space="preserve"> HYPERLINK \l _Toc511702305 </w:instrText>
      </w:r>
      <w:r>
        <w:fldChar w:fldCharType="separate"/>
      </w:r>
      <w:r>
        <w:rPr>
          <w:rFonts w:ascii="黑体" w:hAnsi="黑体" w:eastAsia="黑体" w:cs="黑体"/>
        </w:rPr>
        <w:t>六、政府采购预算情况</w:t>
      </w:r>
      <w:r>
        <w:tab/>
      </w:r>
      <w:r>
        <w:fldChar w:fldCharType="begin"/>
      </w:r>
      <w:r>
        <w:instrText xml:space="preserve"> PAGEREF _Toc511702305 </w:instrText>
      </w:r>
      <w:r>
        <w:fldChar w:fldCharType="separate"/>
      </w:r>
      <w:r>
        <w:t>31</w:t>
      </w:r>
      <w:r>
        <w:fldChar w:fldCharType="end"/>
      </w:r>
      <w:r>
        <w:fldChar w:fldCharType="end"/>
      </w:r>
    </w:p>
    <w:p>
      <w:pPr>
        <w:pStyle w:val="2"/>
        <w:tabs>
          <w:tab w:val="right" w:leader="dot" w:pos="14800"/>
        </w:tabs>
      </w:pPr>
      <w:r>
        <w:fldChar w:fldCharType="begin"/>
      </w:r>
      <w:r>
        <w:instrText xml:space="preserve"> HYPERLINK \l _Toc2084420925 </w:instrText>
      </w:r>
      <w:r>
        <w:fldChar w:fldCharType="separate"/>
      </w:r>
      <w:r>
        <w:rPr>
          <w:rFonts w:ascii="黑体" w:hAnsi="黑体" w:eastAsia="黑体" w:cs="黑体"/>
        </w:rPr>
        <w:t>七、国有资产信息</w:t>
      </w:r>
      <w:r>
        <w:tab/>
      </w:r>
      <w:r>
        <w:fldChar w:fldCharType="begin"/>
      </w:r>
      <w:r>
        <w:instrText xml:space="preserve"> PAGEREF _Toc2084420925 </w:instrText>
      </w:r>
      <w:r>
        <w:fldChar w:fldCharType="separate"/>
      </w:r>
      <w:r>
        <w:t>32</w:t>
      </w:r>
      <w:r>
        <w:fldChar w:fldCharType="end"/>
      </w:r>
      <w:r>
        <w:fldChar w:fldCharType="end"/>
      </w:r>
    </w:p>
    <w:p>
      <w:pPr>
        <w:pStyle w:val="2"/>
        <w:tabs>
          <w:tab w:val="right" w:leader="dot" w:pos="14800"/>
        </w:tabs>
      </w:pPr>
      <w:r>
        <w:fldChar w:fldCharType="begin"/>
      </w:r>
      <w:r>
        <w:instrText xml:space="preserve"> HYPERLINK \l _Toc1937477084 </w:instrText>
      </w:r>
      <w:r>
        <w:fldChar w:fldCharType="separate"/>
      </w:r>
      <w:r>
        <w:rPr>
          <w:rFonts w:ascii="黑体" w:hAnsi="黑体" w:eastAsia="黑体" w:cs="黑体"/>
        </w:rPr>
        <w:t>八、名词解释</w:t>
      </w:r>
      <w:r>
        <w:tab/>
      </w:r>
      <w:r>
        <w:fldChar w:fldCharType="begin"/>
      </w:r>
      <w:r>
        <w:instrText xml:space="preserve"> PAGEREF _Toc1937477084 </w:instrText>
      </w:r>
      <w:r>
        <w:fldChar w:fldCharType="separate"/>
      </w:r>
      <w:r>
        <w:t>32</w:t>
      </w:r>
      <w:r>
        <w:fldChar w:fldCharType="end"/>
      </w:r>
      <w:r>
        <w:fldChar w:fldCharType="end"/>
      </w:r>
    </w:p>
    <w:p>
      <w:pPr>
        <w:pStyle w:val="2"/>
        <w:tabs>
          <w:tab w:val="right" w:leader="dot" w:pos="14800"/>
        </w:tabs>
      </w:pPr>
      <w:r>
        <w:fldChar w:fldCharType="begin"/>
      </w:r>
      <w:r>
        <w:instrText xml:space="preserve"> HYPERLINK \l _Toc1827336327 </w:instrText>
      </w:r>
      <w:r>
        <w:fldChar w:fldCharType="separate"/>
      </w:r>
      <w:r>
        <w:rPr>
          <w:rFonts w:ascii="黑体" w:hAnsi="黑体" w:eastAsia="黑体" w:cs="黑体"/>
        </w:rPr>
        <w:t>九、其他需要说明的事项</w:t>
      </w:r>
      <w:r>
        <w:tab/>
      </w:r>
      <w:r>
        <w:fldChar w:fldCharType="begin"/>
      </w:r>
      <w:r>
        <w:instrText xml:space="preserve"> PAGEREF _Toc1827336327 </w:instrText>
      </w:r>
      <w:r>
        <w:fldChar w:fldCharType="separate"/>
      </w:r>
      <w:r>
        <w:t>33</w:t>
      </w:r>
      <w:r>
        <w:fldChar w:fldCharType="end"/>
      </w:r>
      <w:r>
        <w:fldChar w:fldCharType="end"/>
      </w:r>
    </w:p>
    <w:p>
      <w:pPr>
        <w:rPr>
          <w:rFonts w:ascii="方正小标宋_GBK" w:hAnsi="方正小标宋_GBK" w:eastAsia="方正小标宋_GBK" w:cs="方正小标宋_GBK"/>
          <w:color w:val="000000"/>
          <w:sz w:val="44"/>
        </w:r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572660336"/>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202中共石家庄市藁城区委员会办公室</w:t>
            </w:r>
          </w:p>
        </w:tc>
        <w:tc>
          <w:tcPr>
            <w:tcW w:w="2126" w:type="dxa"/>
            <w:tcBorders>
              <w:top w:val="single" w:color="FFFFFF" w:sz="6" w:space="0"/>
              <w:left w:val="single" w:color="FFFFFF" w:sz="6" w:space="0"/>
              <w:right w:val="single" w:color="FFFFFF" w:sz="6" w:space="0"/>
            </w:tcBorders>
            <w:vAlign w:val="center"/>
          </w:tcPr>
          <w:p>
            <w:pPr>
              <w:pStyle w:val="11"/>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1269.46</w:t>
            </w:r>
          </w:p>
        </w:tc>
        <w:tc>
          <w:tcPr>
            <w:tcW w:w="4535" w:type="dxa"/>
            <w:vAlign w:val="center"/>
          </w:tcPr>
          <w:p>
            <w:pPr>
              <w:pStyle w:val="15"/>
            </w:pPr>
            <w:r>
              <w:t>一、一般公共服务支出</w:t>
            </w:r>
          </w:p>
        </w:tc>
        <w:tc>
          <w:tcPr>
            <w:tcW w:w="2126" w:type="dxa"/>
            <w:vAlign w:val="center"/>
          </w:tcPr>
          <w:p>
            <w:pPr>
              <w:pStyle w:val="14"/>
            </w:pPr>
            <w:r>
              <w:t>1269.46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1269.46</w:t>
            </w:r>
          </w:p>
        </w:tc>
        <w:tc>
          <w:tcPr>
            <w:tcW w:w="4535" w:type="dxa"/>
            <w:vAlign w:val="center"/>
          </w:tcPr>
          <w:p>
            <w:pPr>
              <w:pStyle w:val="17"/>
            </w:pPr>
            <w:r>
              <w:t>本年支出合计</w:t>
            </w:r>
          </w:p>
        </w:tc>
        <w:tc>
          <w:tcPr>
            <w:tcW w:w="2126" w:type="dxa"/>
            <w:vAlign w:val="center"/>
          </w:tcPr>
          <w:p>
            <w:pPr>
              <w:pStyle w:val="18"/>
            </w:pPr>
            <w:r>
              <w:t>1269.46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1269.46</w:t>
            </w:r>
          </w:p>
        </w:tc>
        <w:tc>
          <w:tcPr>
            <w:tcW w:w="4535" w:type="dxa"/>
            <w:vAlign w:val="center"/>
          </w:tcPr>
          <w:p>
            <w:pPr>
              <w:pStyle w:val="17"/>
            </w:pPr>
            <w:r>
              <w:t>支出总计</w:t>
            </w:r>
          </w:p>
        </w:tc>
        <w:tc>
          <w:tcPr>
            <w:tcW w:w="2126" w:type="dxa"/>
            <w:vAlign w:val="center"/>
          </w:tcPr>
          <w:p>
            <w:pPr>
              <w:pStyle w:val="18"/>
            </w:pPr>
            <w:r>
              <w:t>1269.46</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1159126505"/>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202中共石家庄市藁城区委员会办公室</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1"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1269.46</w:t>
            </w:r>
          </w:p>
        </w:tc>
        <w:tc>
          <w:tcPr>
            <w:tcW w:w="1134" w:type="dxa"/>
            <w:vAlign w:val="center"/>
          </w:tcPr>
          <w:p>
            <w:pPr>
              <w:pStyle w:val="18"/>
            </w:pPr>
            <w:r>
              <w:t>1269.46</w:t>
            </w:r>
          </w:p>
        </w:tc>
        <w:tc>
          <w:tcPr>
            <w:tcW w:w="1134" w:type="dxa"/>
            <w:vAlign w:val="center"/>
          </w:tcPr>
          <w:p>
            <w:pPr>
              <w:pStyle w:val="18"/>
            </w:pPr>
            <w:r>
              <w:t>1269.46</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1269.46</w:t>
            </w:r>
          </w:p>
        </w:tc>
        <w:tc>
          <w:tcPr>
            <w:tcW w:w="1134" w:type="dxa"/>
            <w:vAlign w:val="center"/>
          </w:tcPr>
          <w:p>
            <w:pPr>
              <w:pStyle w:val="14"/>
            </w:pPr>
            <w:r>
              <w:t>1269.46</w:t>
            </w:r>
          </w:p>
        </w:tc>
        <w:tc>
          <w:tcPr>
            <w:tcW w:w="1134" w:type="dxa"/>
            <w:vAlign w:val="center"/>
          </w:tcPr>
          <w:p>
            <w:pPr>
              <w:pStyle w:val="14"/>
            </w:pPr>
            <w:r>
              <w:t>1269.46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20131</w:t>
            </w:r>
          </w:p>
        </w:tc>
        <w:tc>
          <w:tcPr>
            <w:tcW w:w="1559" w:type="dxa"/>
            <w:vAlign w:val="center"/>
          </w:tcPr>
          <w:p>
            <w:pPr>
              <w:pStyle w:val="15"/>
            </w:pPr>
            <w:r>
              <w:t>党委办公厅（室）及相关机构事务</w:t>
            </w:r>
          </w:p>
        </w:tc>
        <w:tc>
          <w:tcPr>
            <w:tcW w:w="1134" w:type="dxa"/>
            <w:vAlign w:val="center"/>
          </w:tcPr>
          <w:p>
            <w:pPr>
              <w:pStyle w:val="14"/>
            </w:pPr>
            <w:r>
              <w:t>1269.46</w:t>
            </w:r>
          </w:p>
        </w:tc>
        <w:tc>
          <w:tcPr>
            <w:tcW w:w="1134" w:type="dxa"/>
            <w:vAlign w:val="center"/>
          </w:tcPr>
          <w:p>
            <w:pPr>
              <w:pStyle w:val="14"/>
            </w:pPr>
            <w:r>
              <w:t>1269.46</w:t>
            </w:r>
          </w:p>
        </w:tc>
        <w:tc>
          <w:tcPr>
            <w:tcW w:w="1134" w:type="dxa"/>
            <w:vAlign w:val="center"/>
          </w:tcPr>
          <w:p>
            <w:pPr>
              <w:pStyle w:val="14"/>
            </w:pPr>
            <w:r>
              <w:t>1269.46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2013101</w:t>
            </w:r>
          </w:p>
        </w:tc>
        <w:tc>
          <w:tcPr>
            <w:tcW w:w="1559" w:type="dxa"/>
            <w:vAlign w:val="center"/>
          </w:tcPr>
          <w:p>
            <w:pPr>
              <w:pStyle w:val="15"/>
            </w:pPr>
            <w:r>
              <w:t>行政运行</w:t>
            </w:r>
          </w:p>
        </w:tc>
        <w:tc>
          <w:tcPr>
            <w:tcW w:w="1134" w:type="dxa"/>
            <w:vAlign w:val="center"/>
          </w:tcPr>
          <w:p>
            <w:pPr>
              <w:pStyle w:val="14"/>
            </w:pPr>
            <w:r>
              <w:t>979.11</w:t>
            </w:r>
          </w:p>
        </w:tc>
        <w:tc>
          <w:tcPr>
            <w:tcW w:w="1134" w:type="dxa"/>
            <w:vAlign w:val="center"/>
          </w:tcPr>
          <w:p>
            <w:pPr>
              <w:pStyle w:val="14"/>
            </w:pPr>
            <w:r>
              <w:t>979.11</w:t>
            </w:r>
          </w:p>
        </w:tc>
        <w:tc>
          <w:tcPr>
            <w:tcW w:w="1134" w:type="dxa"/>
            <w:vAlign w:val="center"/>
          </w:tcPr>
          <w:p>
            <w:pPr>
              <w:pStyle w:val="14"/>
            </w:pPr>
            <w:r>
              <w:t>979.11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2013102</w:t>
            </w:r>
          </w:p>
        </w:tc>
        <w:tc>
          <w:tcPr>
            <w:tcW w:w="1559" w:type="dxa"/>
            <w:vAlign w:val="center"/>
          </w:tcPr>
          <w:p>
            <w:pPr>
              <w:pStyle w:val="15"/>
            </w:pPr>
            <w:r>
              <w:t>一般行政管理事务</w:t>
            </w:r>
          </w:p>
        </w:tc>
        <w:tc>
          <w:tcPr>
            <w:tcW w:w="1134" w:type="dxa"/>
            <w:vAlign w:val="center"/>
          </w:tcPr>
          <w:p>
            <w:pPr>
              <w:pStyle w:val="14"/>
            </w:pPr>
            <w:r>
              <w:t>230.65</w:t>
            </w:r>
          </w:p>
        </w:tc>
        <w:tc>
          <w:tcPr>
            <w:tcW w:w="1134" w:type="dxa"/>
            <w:vAlign w:val="center"/>
          </w:tcPr>
          <w:p>
            <w:pPr>
              <w:pStyle w:val="14"/>
            </w:pPr>
            <w:r>
              <w:t>230.65</w:t>
            </w:r>
          </w:p>
        </w:tc>
        <w:tc>
          <w:tcPr>
            <w:tcW w:w="1134" w:type="dxa"/>
            <w:vAlign w:val="center"/>
          </w:tcPr>
          <w:p>
            <w:pPr>
              <w:pStyle w:val="14"/>
            </w:pPr>
            <w:r>
              <w:t>230.65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2013105</w:t>
            </w:r>
          </w:p>
        </w:tc>
        <w:tc>
          <w:tcPr>
            <w:tcW w:w="1559" w:type="dxa"/>
            <w:vAlign w:val="center"/>
          </w:tcPr>
          <w:p>
            <w:pPr>
              <w:pStyle w:val="15"/>
            </w:pPr>
            <w:r>
              <w:t>专项业务</w:t>
            </w:r>
          </w:p>
        </w:tc>
        <w:tc>
          <w:tcPr>
            <w:tcW w:w="1134" w:type="dxa"/>
            <w:vAlign w:val="center"/>
          </w:tcPr>
          <w:p>
            <w:pPr>
              <w:pStyle w:val="14"/>
            </w:pPr>
            <w:r>
              <w:t>59.70</w:t>
            </w:r>
          </w:p>
        </w:tc>
        <w:tc>
          <w:tcPr>
            <w:tcW w:w="1134" w:type="dxa"/>
            <w:vAlign w:val="center"/>
          </w:tcPr>
          <w:p>
            <w:pPr>
              <w:pStyle w:val="14"/>
            </w:pPr>
            <w:r>
              <w:t>59.70</w:t>
            </w:r>
          </w:p>
        </w:tc>
        <w:tc>
          <w:tcPr>
            <w:tcW w:w="1134" w:type="dxa"/>
            <w:vAlign w:val="center"/>
          </w:tcPr>
          <w:p>
            <w:pPr>
              <w:pStyle w:val="14"/>
            </w:pPr>
            <w:r>
              <w:t>59.70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805750846"/>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202中共石家庄市藁城区委员会办公室</w:t>
            </w:r>
          </w:p>
        </w:tc>
        <w:tc>
          <w:tcPr>
            <w:tcW w:w="2721"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8"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1269.46</w:t>
            </w:r>
          </w:p>
        </w:tc>
        <w:tc>
          <w:tcPr>
            <w:tcW w:w="1361" w:type="dxa"/>
            <w:vAlign w:val="center"/>
          </w:tcPr>
          <w:p>
            <w:pPr>
              <w:pStyle w:val="18"/>
            </w:pPr>
            <w:r>
              <w:t>979.11</w:t>
            </w:r>
          </w:p>
        </w:tc>
        <w:tc>
          <w:tcPr>
            <w:tcW w:w="1361" w:type="dxa"/>
            <w:vAlign w:val="center"/>
          </w:tcPr>
          <w:p>
            <w:pPr>
              <w:pStyle w:val="18"/>
            </w:pPr>
            <w:r>
              <w:t>290.35</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5" w:type="dxa"/>
            <w:vAlign w:val="center"/>
          </w:tcPr>
          <w:p>
            <w:pPr>
              <w:pStyle w:val="15"/>
            </w:pPr>
            <w:r>
              <w:t>一般公共服务支出</w:t>
            </w:r>
          </w:p>
        </w:tc>
        <w:tc>
          <w:tcPr>
            <w:tcW w:w="1361" w:type="dxa"/>
            <w:vAlign w:val="center"/>
          </w:tcPr>
          <w:p>
            <w:pPr>
              <w:pStyle w:val="14"/>
            </w:pPr>
            <w:r>
              <w:t>1269.46</w:t>
            </w:r>
          </w:p>
        </w:tc>
        <w:tc>
          <w:tcPr>
            <w:tcW w:w="1361" w:type="dxa"/>
            <w:vAlign w:val="center"/>
          </w:tcPr>
          <w:p>
            <w:pPr>
              <w:pStyle w:val="14"/>
            </w:pPr>
            <w:r>
              <w:t>979.11</w:t>
            </w:r>
          </w:p>
        </w:tc>
        <w:tc>
          <w:tcPr>
            <w:tcW w:w="1361" w:type="dxa"/>
            <w:vAlign w:val="center"/>
          </w:tcPr>
          <w:p>
            <w:pPr>
              <w:pStyle w:val="14"/>
            </w:pPr>
            <w:r>
              <w:t>290.35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20131</w:t>
            </w:r>
          </w:p>
        </w:tc>
        <w:tc>
          <w:tcPr>
            <w:tcW w:w="4535" w:type="dxa"/>
            <w:vAlign w:val="center"/>
          </w:tcPr>
          <w:p>
            <w:pPr>
              <w:pStyle w:val="15"/>
            </w:pPr>
            <w:r>
              <w:t>党委办公厅（室）及相关机构事务</w:t>
            </w:r>
          </w:p>
        </w:tc>
        <w:tc>
          <w:tcPr>
            <w:tcW w:w="1361" w:type="dxa"/>
            <w:vAlign w:val="center"/>
          </w:tcPr>
          <w:p>
            <w:pPr>
              <w:pStyle w:val="14"/>
            </w:pPr>
            <w:r>
              <w:t>1269.46</w:t>
            </w:r>
          </w:p>
        </w:tc>
        <w:tc>
          <w:tcPr>
            <w:tcW w:w="1361" w:type="dxa"/>
            <w:vAlign w:val="center"/>
          </w:tcPr>
          <w:p>
            <w:pPr>
              <w:pStyle w:val="14"/>
            </w:pPr>
            <w:r>
              <w:t>979.11</w:t>
            </w:r>
          </w:p>
        </w:tc>
        <w:tc>
          <w:tcPr>
            <w:tcW w:w="1361" w:type="dxa"/>
            <w:vAlign w:val="center"/>
          </w:tcPr>
          <w:p>
            <w:pPr>
              <w:pStyle w:val="14"/>
            </w:pPr>
            <w:r>
              <w:t>290.35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2013101</w:t>
            </w:r>
          </w:p>
        </w:tc>
        <w:tc>
          <w:tcPr>
            <w:tcW w:w="4535" w:type="dxa"/>
            <w:vAlign w:val="center"/>
          </w:tcPr>
          <w:p>
            <w:pPr>
              <w:pStyle w:val="15"/>
            </w:pPr>
            <w:r>
              <w:t>行政运行</w:t>
            </w:r>
          </w:p>
        </w:tc>
        <w:tc>
          <w:tcPr>
            <w:tcW w:w="1361" w:type="dxa"/>
            <w:vAlign w:val="center"/>
          </w:tcPr>
          <w:p>
            <w:pPr>
              <w:pStyle w:val="14"/>
            </w:pPr>
            <w:r>
              <w:t>979.11</w:t>
            </w:r>
          </w:p>
        </w:tc>
        <w:tc>
          <w:tcPr>
            <w:tcW w:w="1361" w:type="dxa"/>
            <w:vAlign w:val="center"/>
          </w:tcPr>
          <w:p>
            <w:pPr>
              <w:pStyle w:val="14"/>
            </w:pPr>
            <w:r>
              <w:t>979.11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2013102</w:t>
            </w:r>
          </w:p>
        </w:tc>
        <w:tc>
          <w:tcPr>
            <w:tcW w:w="4535" w:type="dxa"/>
            <w:vAlign w:val="center"/>
          </w:tcPr>
          <w:p>
            <w:pPr>
              <w:pStyle w:val="15"/>
            </w:pPr>
            <w:r>
              <w:t>一般行政管理事务</w:t>
            </w:r>
          </w:p>
        </w:tc>
        <w:tc>
          <w:tcPr>
            <w:tcW w:w="1361" w:type="dxa"/>
            <w:vAlign w:val="center"/>
          </w:tcPr>
          <w:p>
            <w:pPr>
              <w:pStyle w:val="14"/>
            </w:pPr>
            <w:r>
              <w:t>230.65</w:t>
            </w:r>
          </w:p>
        </w:tc>
        <w:tc>
          <w:tcPr>
            <w:tcW w:w="1361" w:type="dxa"/>
            <w:vAlign w:val="center"/>
          </w:tcPr>
          <w:p>
            <w:pPr>
              <w:pStyle w:val="14"/>
            </w:pPr>
          </w:p>
        </w:tc>
        <w:tc>
          <w:tcPr>
            <w:tcW w:w="1361" w:type="dxa"/>
            <w:vAlign w:val="center"/>
          </w:tcPr>
          <w:p>
            <w:pPr>
              <w:pStyle w:val="14"/>
            </w:pPr>
            <w:r>
              <w:t>230.65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2013105</w:t>
            </w:r>
          </w:p>
        </w:tc>
        <w:tc>
          <w:tcPr>
            <w:tcW w:w="4535" w:type="dxa"/>
            <w:vAlign w:val="center"/>
          </w:tcPr>
          <w:p>
            <w:pPr>
              <w:pStyle w:val="15"/>
            </w:pPr>
            <w:r>
              <w:t>专项业务</w:t>
            </w:r>
          </w:p>
        </w:tc>
        <w:tc>
          <w:tcPr>
            <w:tcW w:w="1361" w:type="dxa"/>
            <w:vAlign w:val="center"/>
          </w:tcPr>
          <w:p>
            <w:pPr>
              <w:pStyle w:val="14"/>
            </w:pPr>
            <w:r>
              <w:t>59.70</w:t>
            </w:r>
          </w:p>
        </w:tc>
        <w:tc>
          <w:tcPr>
            <w:tcW w:w="1361" w:type="dxa"/>
            <w:vAlign w:val="center"/>
          </w:tcPr>
          <w:p>
            <w:pPr>
              <w:pStyle w:val="14"/>
            </w:pPr>
          </w:p>
        </w:tc>
        <w:tc>
          <w:tcPr>
            <w:tcW w:w="1361" w:type="dxa"/>
            <w:vAlign w:val="center"/>
          </w:tcPr>
          <w:p>
            <w:pPr>
              <w:pStyle w:val="14"/>
            </w:pPr>
            <w:r>
              <w:t>59.70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1632621729"/>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202中共石家庄市藁城区委员会办公室</w:t>
            </w:r>
          </w:p>
        </w:tc>
        <w:tc>
          <w:tcPr>
            <w:tcW w:w="3402" w:type="dxa"/>
            <w:tcBorders>
              <w:top w:val="single" w:color="FFFFFF" w:sz="6" w:space="0"/>
              <w:left w:val="single" w:color="FFFFFF" w:sz="6" w:space="0"/>
              <w:right w:val="single" w:color="FFFFFF" w:sz="6" w:space="0"/>
            </w:tcBorders>
            <w:vAlign w:val="center"/>
          </w:tcPr>
          <w:p>
            <w:pPr>
              <w:pStyle w:val="11"/>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1269.46</w:t>
            </w:r>
          </w:p>
        </w:tc>
        <w:tc>
          <w:tcPr>
            <w:tcW w:w="3402" w:type="dxa"/>
            <w:vAlign w:val="center"/>
          </w:tcPr>
          <w:p>
            <w:pPr>
              <w:pStyle w:val="15"/>
            </w:pPr>
            <w:r>
              <w:t>一、一般公共服务支出</w:t>
            </w:r>
          </w:p>
        </w:tc>
        <w:tc>
          <w:tcPr>
            <w:tcW w:w="1474" w:type="dxa"/>
            <w:vAlign w:val="center"/>
          </w:tcPr>
          <w:p>
            <w:pPr>
              <w:pStyle w:val="14"/>
            </w:pPr>
            <w:r>
              <w:t>1269.46</w:t>
            </w:r>
          </w:p>
        </w:tc>
        <w:tc>
          <w:tcPr>
            <w:tcW w:w="1474" w:type="dxa"/>
            <w:vAlign w:val="center"/>
          </w:tcPr>
          <w:p>
            <w:pPr>
              <w:pStyle w:val="14"/>
            </w:pPr>
            <w:r>
              <w:t>1269.46</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7"/>
            </w:pPr>
            <w:r>
              <w:t>本年收入合计</w:t>
            </w:r>
          </w:p>
        </w:tc>
        <w:tc>
          <w:tcPr>
            <w:tcW w:w="1474" w:type="dxa"/>
            <w:vAlign w:val="center"/>
          </w:tcPr>
          <w:p>
            <w:pPr>
              <w:pStyle w:val="18"/>
            </w:pPr>
            <w:r>
              <w:t>1269.46</w:t>
            </w:r>
          </w:p>
        </w:tc>
        <w:tc>
          <w:tcPr>
            <w:tcW w:w="3402" w:type="dxa"/>
            <w:vAlign w:val="center"/>
          </w:tcPr>
          <w:p>
            <w:pPr>
              <w:pStyle w:val="17"/>
            </w:pPr>
            <w:r>
              <w:t>本年支出合计</w:t>
            </w:r>
          </w:p>
        </w:tc>
        <w:tc>
          <w:tcPr>
            <w:tcW w:w="1474" w:type="dxa"/>
            <w:vAlign w:val="center"/>
          </w:tcPr>
          <w:p>
            <w:pPr>
              <w:pStyle w:val="18"/>
            </w:pPr>
            <w:r>
              <w:t>1269.46</w:t>
            </w:r>
          </w:p>
        </w:tc>
        <w:tc>
          <w:tcPr>
            <w:tcW w:w="1474" w:type="dxa"/>
            <w:vAlign w:val="center"/>
          </w:tcPr>
          <w:p>
            <w:pPr>
              <w:pStyle w:val="18"/>
            </w:pPr>
            <w:r>
              <w:t>1269.46</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7"/>
            </w:pPr>
            <w:r>
              <w:t>收入总计</w:t>
            </w:r>
          </w:p>
        </w:tc>
        <w:tc>
          <w:tcPr>
            <w:tcW w:w="1474" w:type="dxa"/>
            <w:vAlign w:val="center"/>
          </w:tcPr>
          <w:p>
            <w:pPr>
              <w:pStyle w:val="18"/>
            </w:pPr>
            <w:r>
              <w:t>1269.46</w:t>
            </w:r>
          </w:p>
        </w:tc>
        <w:tc>
          <w:tcPr>
            <w:tcW w:w="3402" w:type="dxa"/>
            <w:vAlign w:val="center"/>
          </w:tcPr>
          <w:p>
            <w:pPr>
              <w:pStyle w:val="17"/>
            </w:pPr>
            <w:r>
              <w:t>支出总计</w:t>
            </w:r>
          </w:p>
        </w:tc>
        <w:tc>
          <w:tcPr>
            <w:tcW w:w="1474" w:type="dxa"/>
            <w:vAlign w:val="center"/>
          </w:tcPr>
          <w:p>
            <w:pPr>
              <w:pStyle w:val="18"/>
            </w:pPr>
            <w:r>
              <w:t>1269.46</w:t>
            </w:r>
          </w:p>
        </w:tc>
        <w:tc>
          <w:tcPr>
            <w:tcW w:w="1474" w:type="dxa"/>
            <w:vAlign w:val="center"/>
          </w:tcPr>
          <w:p>
            <w:pPr>
              <w:pStyle w:val="18"/>
            </w:pPr>
            <w:r>
              <w:t>1269.46</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1100661313"/>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202中共石家庄市藁城区委员会办公室</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1269.46</w:t>
            </w:r>
          </w:p>
        </w:tc>
        <w:tc>
          <w:tcPr>
            <w:tcW w:w="2551" w:type="dxa"/>
            <w:vAlign w:val="center"/>
          </w:tcPr>
          <w:p>
            <w:pPr>
              <w:pStyle w:val="18"/>
            </w:pPr>
            <w:r>
              <w:t>979.11</w:t>
            </w:r>
          </w:p>
        </w:tc>
        <w:tc>
          <w:tcPr>
            <w:tcW w:w="2551" w:type="dxa"/>
            <w:vAlign w:val="center"/>
          </w:tcPr>
          <w:p>
            <w:pPr>
              <w:pStyle w:val="18"/>
            </w:pPr>
            <w:r>
              <w:t>290.35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1269.46</w:t>
            </w:r>
          </w:p>
        </w:tc>
        <w:tc>
          <w:tcPr>
            <w:tcW w:w="2551" w:type="dxa"/>
            <w:vAlign w:val="center"/>
          </w:tcPr>
          <w:p>
            <w:pPr>
              <w:pStyle w:val="14"/>
            </w:pPr>
            <w:r>
              <w:t>979.11</w:t>
            </w:r>
          </w:p>
        </w:tc>
        <w:tc>
          <w:tcPr>
            <w:tcW w:w="2551" w:type="dxa"/>
            <w:vAlign w:val="center"/>
          </w:tcPr>
          <w:p>
            <w:pPr>
              <w:pStyle w:val="14"/>
            </w:pPr>
            <w:r>
              <w:t>290.35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20131</w:t>
            </w:r>
          </w:p>
        </w:tc>
        <w:tc>
          <w:tcPr>
            <w:tcW w:w="4535" w:type="dxa"/>
            <w:vAlign w:val="center"/>
          </w:tcPr>
          <w:p>
            <w:pPr>
              <w:pStyle w:val="15"/>
            </w:pPr>
            <w:r>
              <w:t>党委办公厅（室）及相关机构事务</w:t>
            </w:r>
          </w:p>
        </w:tc>
        <w:tc>
          <w:tcPr>
            <w:tcW w:w="2551" w:type="dxa"/>
            <w:vAlign w:val="center"/>
          </w:tcPr>
          <w:p>
            <w:pPr>
              <w:pStyle w:val="14"/>
            </w:pPr>
            <w:r>
              <w:t>1269.46</w:t>
            </w:r>
          </w:p>
        </w:tc>
        <w:tc>
          <w:tcPr>
            <w:tcW w:w="2551" w:type="dxa"/>
            <w:vAlign w:val="center"/>
          </w:tcPr>
          <w:p>
            <w:pPr>
              <w:pStyle w:val="14"/>
            </w:pPr>
            <w:r>
              <w:t>979.11</w:t>
            </w:r>
          </w:p>
        </w:tc>
        <w:tc>
          <w:tcPr>
            <w:tcW w:w="2551" w:type="dxa"/>
            <w:vAlign w:val="center"/>
          </w:tcPr>
          <w:p>
            <w:pPr>
              <w:pStyle w:val="14"/>
            </w:pPr>
            <w:r>
              <w:t>290.35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2013101</w:t>
            </w:r>
          </w:p>
        </w:tc>
        <w:tc>
          <w:tcPr>
            <w:tcW w:w="4535" w:type="dxa"/>
            <w:vAlign w:val="center"/>
          </w:tcPr>
          <w:p>
            <w:pPr>
              <w:pStyle w:val="15"/>
            </w:pPr>
            <w:r>
              <w:t>行政运行</w:t>
            </w:r>
          </w:p>
        </w:tc>
        <w:tc>
          <w:tcPr>
            <w:tcW w:w="2551" w:type="dxa"/>
            <w:vAlign w:val="center"/>
          </w:tcPr>
          <w:p>
            <w:pPr>
              <w:pStyle w:val="14"/>
            </w:pPr>
            <w:r>
              <w:t>979.11</w:t>
            </w:r>
          </w:p>
        </w:tc>
        <w:tc>
          <w:tcPr>
            <w:tcW w:w="2551" w:type="dxa"/>
            <w:vAlign w:val="center"/>
          </w:tcPr>
          <w:p>
            <w:pPr>
              <w:pStyle w:val="14"/>
            </w:pPr>
            <w:r>
              <w:t>979.11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2013102</w:t>
            </w:r>
          </w:p>
        </w:tc>
        <w:tc>
          <w:tcPr>
            <w:tcW w:w="4535" w:type="dxa"/>
            <w:vAlign w:val="center"/>
          </w:tcPr>
          <w:p>
            <w:pPr>
              <w:pStyle w:val="15"/>
            </w:pPr>
            <w:r>
              <w:t>一般行政管理事务</w:t>
            </w:r>
          </w:p>
        </w:tc>
        <w:tc>
          <w:tcPr>
            <w:tcW w:w="2551" w:type="dxa"/>
            <w:vAlign w:val="center"/>
          </w:tcPr>
          <w:p>
            <w:pPr>
              <w:pStyle w:val="14"/>
            </w:pPr>
            <w:r>
              <w:t>230.65</w:t>
            </w:r>
          </w:p>
        </w:tc>
        <w:tc>
          <w:tcPr>
            <w:tcW w:w="2551" w:type="dxa"/>
            <w:vAlign w:val="center"/>
          </w:tcPr>
          <w:p>
            <w:pPr>
              <w:pStyle w:val="14"/>
            </w:pPr>
          </w:p>
        </w:tc>
        <w:tc>
          <w:tcPr>
            <w:tcW w:w="2551" w:type="dxa"/>
            <w:vAlign w:val="center"/>
          </w:tcPr>
          <w:p>
            <w:pPr>
              <w:pStyle w:val="14"/>
            </w:pPr>
            <w:r>
              <w:t>230.65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2013105</w:t>
            </w:r>
          </w:p>
        </w:tc>
        <w:tc>
          <w:tcPr>
            <w:tcW w:w="4535" w:type="dxa"/>
            <w:vAlign w:val="center"/>
          </w:tcPr>
          <w:p>
            <w:pPr>
              <w:pStyle w:val="15"/>
            </w:pPr>
            <w:r>
              <w:t>专项业务</w:t>
            </w:r>
          </w:p>
        </w:tc>
        <w:tc>
          <w:tcPr>
            <w:tcW w:w="2551" w:type="dxa"/>
            <w:vAlign w:val="center"/>
          </w:tcPr>
          <w:p>
            <w:pPr>
              <w:pStyle w:val="14"/>
            </w:pPr>
            <w:r>
              <w:t>59.70</w:t>
            </w:r>
          </w:p>
        </w:tc>
        <w:tc>
          <w:tcPr>
            <w:tcW w:w="2551" w:type="dxa"/>
            <w:vAlign w:val="center"/>
          </w:tcPr>
          <w:p>
            <w:pPr>
              <w:pStyle w:val="14"/>
            </w:pPr>
          </w:p>
        </w:tc>
        <w:tc>
          <w:tcPr>
            <w:tcW w:w="2551" w:type="dxa"/>
            <w:vAlign w:val="center"/>
          </w:tcPr>
          <w:p>
            <w:pPr>
              <w:pStyle w:val="14"/>
            </w:pPr>
            <w:r>
              <w:t>59.70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1433925857"/>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202中共石家庄市藁城区委员会办公室</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979.11</w:t>
            </w:r>
          </w:p>
        </w:tc>
        <w:tc>
          <w:tcPr>
            <w:tcW w:w="2551" w:type="dxa"/>
            <w:vAlign w:val="center"/>
          </w:tcPr>
          <w:p>
            <w:pPr>
              <w:pStyle w:val="18"/>
            </w:pPr>
            <w:r>
              <w:t>755.66</w:t>
            </w:r>
          </w:p>
        </w:tc>
        <w:tc>
          <w:tcPr>
            <w:tcW w:w="2551" w:type="dxa"/>
            <w:vAlign w:val="center"/>
          </w:tcPr>
          <w:p>
            <w:pPr>
              <w:pStyle w:val="18"/>
            </w:pPr>
            <w:r>
              <w:t>223.45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755.66</w:t>
            </w:r>
          </w:p>
        </w:tc>
        <w:tc>
          <w:tcPr>
            <w:tcW w:w="2551" w:type="dxa"/>
            <w:vAlign w:val="center"/>
          </w:tcPr>
          <w:p>
            <w:pPr>
              <w:pStyle w:val="14"/>
            </w:pPr>
            <w:r>
              <w:t>755.66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166.10</w:t>
            </w:r>
          </w:p>
        </w:tc>
        <w:tc>
          <w:tcPr>
            <w:tcW w:w="2551" w:type="dxa"/>
            <w:vAlign w:val="center"/>
          </w:tcPr>
          <w:p>
            <w:pPr>
              <w:pStyle w:val="14"/>
            </w:pPr>
            <w:r>
              <w:t>166.10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304.22</w:t>
            </w:r>
          </w:p>
        </w:tc>
        <w:tc>
          <w:tcPr>
            <w:tcW w:w="2551" w:type="dxa"/>
            <w:vAlign w:val="center"/>
          </w:tcPr>
          <w:p>
            <w:pPr>
              <w:pStyle w:val="14"/>
            </w:pPr>
            <w:r>
              <w:t>304.22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10.71</w:t>
            </w:r>
          </w:p>
        </w:tc>
        <w:tc>
          <w:tcPr>
            <w:tcW w:w="2551" w:type="dxa"/>
            <w:vAlign w:val="center"/>
          </w:tcPr>
          <w:p>
            <w:pPr>
              <w:pStyle w:val="14"/>
            </w:pPr>
            <w:r>
              <w:t>10.71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30.23</w:t>
            </w:r>
          </w:p>
        </w:tc>
        <w:tc>
          <w:tcPr>
            <w:tcW w:w="2551" w:type="dxa"/>
            <w:vAlign w:val="center"/>
          </w:tcPr>
          <w:p>
            <w:pPr>
              <w:pStyle w:val="14"/>
            </w:pPr>
            <w:r>
              <w:t>30.23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65.88</w:t>
            </w:r>
          </w:p>
        </w:tc>
        <w:tc>
          <w:tcPr>
            <w:tcW w:w="2551" w:type="dxa"/>
            <w:vAlign w:val="center"/>
          </w:tcPr>
          <w:p>
            <w:pPr>
              <w:pStyle w:val="14"/>
            </w:pPr>
            <w:r>
              <w:t>65.88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34.59</w:t>
            </w:r>
          </w:p>
        </w:tc>
        <w:tc>
          <w:tcPr>
            <w:tcW w:w="2551" w:type="dxa"/>
            <w:vAlign w:val="center"/>
          </w:tcPr>
          <w:p>
            <w:pPr>
              <w:pStyle w:val="14"/>
            </w:pPr>
            <w:r>
              <w:t>34.59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30111</w:t>
            </w:r>
          </w:p>
        </w:tc>
        <w:tc>
          <w:tcPr>
            <w:tcW w:w="4535" w:type="dxa"/>
            <w:vAlign w:val="center"/>
          </w:tcPr>
          <w:p>
            <w:pPr>
              <w:pStyle w:val="15"/>
            </w:pPr>
            <w:r>
              <w:t>公务员医疗补助缴费</w:t>
            </w:r>
          </w:p>
        </w:tc>
        <w:tc>
          <w:tcPr>
            <w:tcW w:w="2551" w:type="dxa"/>
            <w:vAlign w:val="center"/>
          </w:tcPr>
          <w:p>
            <w:pPr>
              <w:pStyle w:val="14"/>
            </w:pPr>
            <w:r>
              <w:t>26.77</w:t>
            </w:r>
          </w:p>
        </w:tc>
        <w:tc>
          <w:tcPr>
            <w:tcW w:w="2551" w:type="dxa"/>
            <w:vAlign w:val="center"/>
          </w:tcPr>
          <w:p>
            <w:pPr>
              <w:pStyle w:val="14"/>
            </w:pPr>
            <w:r>
              <w:t>26.77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62.54</w:t>
            </w:r>
          </w:p>
        </w:tc>
        <w:tc>
          <w:tcPr>
            <w:tcW w:w="2551" w:type="dxa"/>
            <w:vAlign w:val="center"/>
          </w:tcPr>
          <w:p>
            <w:pPr>
              <w:pStyle w:val="14"/>
            </w:pPr>
            <w:r>
              <w:t>62.54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54.63</w:t>
            </w:r>
          </w:p>
        </w:tc>
        <w:tc>
          <w:tcPr>
            <w:tcW w:w="2551" w:type="dxa"/>
            <w:vAlign w:val="center"/>
          </w:tcPr>
          <w:p>
            <w:pPr>
              <w:pStyle w:val="14"/>
            </w:pPr>
            <w:r>
              <w:t>54.63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223.45</w:t>
            </w:r>
          </w:p>
        </w:tc>
        <w:tc>
          <w:tcPr>
            <w:tcW w:w="2551" w:type="dxa"/>
            <w:vAlign w:val="center"/>
          </w:tcPr>
          <w:p>
            <w:pPr>
              <w:pStyle w:val="14"/>
            </w:pPr>
          </w:p>
        </w:tc>
        <w:tc>
          <w:tcPr>
            <w:tcW w:w="2551" w:type="dxa"/>
            <w:vAlign w:val="center"/>
          </w:tcPr>
          <w:p>
            <w:pPr>
              <w:pStyle w:val="14"/>
            </w:pPr>
            <w:r>
              <w:t>223.45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79.50</w:t>
            </w:r>
          </w:p>
        </w:tc>
        <w:tc>
          <w:tcPr>
            <w:tcW w:w="2551" w:type="dxa"/>
            <w:vAlign w:val="center"/>
          </w:tcPr>
          <w:p>
            <w:pPr>
              <w:pStyle w:val="14"/>
            </w:pPr>
          </w:p>
        </w:tc>
        <w:tc>
          <w:tcPr>
            <w:tcW w:w="2551" w:type="dxa"/>
            <w:vAlign w:val="center"/>
          </w:tcPr>
          <w:p>
            <w:pPr>
              <w:pStyle w:val="14"/>
            </w:pPr>
            <w:r>
              <w:t>79.50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30202</w:t>
            </w:r>
          </w:p>
        </w:tc>
        <w:tc>
          <w:tcPr>
            <w:tcW w:w="4535" w:type="dxa"/>
            <w:vAlign w:val="center"/>
          </w:tcPr>
          <w:p>
            <w:pPr>
              <w:pStyle w:val="15"/>
            </w:pPr>
            <w:r>
              <w:t>印刷费</w:t>
            </w:r>
          </w:p>
        </w:tc>
        <w:tc>
          <w:tcPr>
            <w:tcW w:w="2551" w:type="dxa"/>
            <w:vAlign w:val="center"/>
          </w:tcPr>
          <w:p>
            <w:pPr>
              <w:pStyle w:val="14"/>
            </w:pPr>
            <w:r>
              <w:t>20.00</w:t>
            </w:r>
          </w:p>
        </w:tc>
        <w:tc>
          <w:tcPr>
            <w:tcW w:w="2551" w:type="dxa"/>
            <w:vAlign w:val="center"/>
          </w:tcPr>
          <w:p>
            <w:pPr>
              <w:pStyle w:val="14"/>
            </w:pPr>
          </w:p>
        </w:tc>
        <w:tc>
          <w:tcPr>
            <w:tcW w:w="2551"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25.16</w:t>
            </w:r>
          </w:p>
        </w:tc>
        <w:tc>
          <w:tcPr>
            <w:tcW w:w="2551" w:type="dxa"/>
            <w:vAlign w:val="center"/>
          </w:tcPr>
          <w:p>
            <w:pPr>
              <w:pStyle w:val="14"/>
            </w:pPr>
          </w:p>
        </w:tc>
        <w:tc>
          <w:tcPr>
            <w:tcW w:w="2551" w:type="dxa"/>
            <w:vAlign w:val="center"/>
          </w:tcPr>
          <w:p>
            <w:pPr>
              <w:pStyle w:val="14"/>
            </w:pPr>
            <w:r>
              <w:t>25.16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30212</w:t>
            </w:r>
          </w:p>
        </w:tc>
        <w:tc>
          <w:tcPr>
            <w:tcW w:w="4535" w:type="dxa"/>
            <w:vAlign w:val="center"/>
          </w:tcPr>
          <w:p>
            <w:pPr>
              <w:pStyle w:val="15"/>
            </w:pPr>
            <w:r>
              <w:t>因公出国（境）费用</w:t>
            </w:r>
          </w:p>
        </w:tc>
        <w:tc>
          <w:tcPr>
            <w:tcW w:w="2551" w:type="dxa"/>
            <w:vAlign w:val="center"/>
          </w:tcPr>
          <w:p>
            <w:pPr>
              <w:pStyle w:val="14"/>
            </w:pPr>
            <w:r>
              <w:t>20.00</w:t>
            </w:r>
          </w:p>
        </w:tc>
        <w:tc>
          <w:tcPr>
            <w:tcW w:w="2551" w:type="dxa"/>
            <w:vAlign w:val="center"/>
          </w:tcPr>
          <w:p>
            <w:pPr>
              <w:pStyle w:val="14"/>
            </w:pPr>
          </w:p>
        </w:tc>
        <w:tc>
          <w:tcPr>
            <w:tcW w:w="2551"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3021202</w:t>
            </w:r>
          </w:p>
        </w:tc>
        <w:tc>
          <w:tcPr>
            <w:tcW w:w="4535" w:type="dxa"/>
            <w:vAlign w:val="center"/>
          </w:tcPr>
          <w:p>
            <w:pPr>
              <w:pStyle w:val="15"/>
            </w:pPr>
            <w:r>
              <w:t>其他因公出国（境）费</w:t>
            </w:r>
          </w:p>
        </w:tc>
        <w:tc>
          <w:tcPr>
            <w:tcW w:w="2551" w:type="dxa"/>
            <w:vAlign w:val="center"/>
          </w:tcPr>
          <w:p>
            <w:pPr>
              <w:pStyle w:val="14"/>
            </w:pPr>
            <w:r>
              <w:t>20.00</w:t>
            </w:r>
          </w:p>
        </w:tc>
        <w:tc>
          <w:tcPr>
            <w:tcW w:w="2551" w:type="dxa"/>
            <w:vAlign w:val="center"/>
          </w:tcPr>
          <w:p>
            <w:pPr>
              <w:pStyle w:val="14"/>
            </w:pPr>
          </w:p>
        </w:tc>
        <w:tc>
          <w:tcPr>
            <w:tcW w:w="2551"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30226</w:t>
            </w:r>
          </w:p>
        </w:tc>
        <w:tc>
          <w:tcPr>
            <w:tcW w:w="4535" w:type="dxa"/>
            <w:vAlign w:val="center"/>
          </w:tcPr>
          <w:p>
            <w:pPr>
              <w:pStyle w:val="15"/>
            </w:pPr>
            <w:r>
              <w:t>劳务费</w:t>
            </w:r>
          </w:p>
        </w:tc>
        <w:tc>
          <w:tcPr>
            <w:tcW w:w="2551" w:type="dxa"/>
            <w:vAlign w:val="center"/>
          </w:tcPr>
          <w:p>
            <w:pPr>
              <w:pStyle w:val="14"/>
            </w:pPr>
            <w:r>
              <w:t>28.30</w:t>
            </w:r>
          </w:p>
        </w:tc>
        <w:tc>
          <w:tcPr>
            <w:tcW w:w="2551" w:type="dxa"/>
            <w:vAlign w:val="center"/>
          </w:tcPr>
          <w:p>
            <w:pPr>
              <w:pStyle w:val="14"/>
            </w:pPr>
          </w:p>
        </w:tc>
        <w:tc>
          <w:tcPr>
            <w:tcW w:w="2551" w:type="dxa"/>
            <w:vAlign w:val="center"/>
          </w:tcPr>
          <w:p>
            <w:pPr>
              <w:pStyle w:val="14"/>
            </w:pPr>
            <w:r>
              <w:t>28.30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3.76</w:t>
            </w:r>
          </w:p>
        </w:tc>
        <w:tc>
          <w:tcPr>
            <w:tcW w:w="2551" w:type="dxa"/>
            <w:vAlign w:val="center"/>
          </w:tcPr>
          <w:p>
            <w:pPr>
              <w:pStyle w:val="14"/>
            </w:pPr>
          </w:p>
        </w:tc>
        <w:tc>
          <w:tcPr>
            <w:tcW w:w="2551" w:type="dxa"/>
            <w:vAlign w:val="center"/>
          </w:tcPr>
          <w:p>
            <w:pPr>
              <w:pStyle w:val="14"/>
            </w:pPr>
            <w:r>
              <w:t>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30229</w:t>
            </w:r>
          </w:p>
        </w:tc>
        <w:tc>
          <w:tcPr>
            <w:tcW w:w="4535" w:type="dxa"/>
            <w:vAlign w:val="center"/>
          </w:tcPr>
          <w:p>
            <w:pPr>
              <w:pStyle w:val="15"/>
            </w:pPr>
            <w:r>
              <w:t>福利费</w:t>
            </w:r>
          </w:p>
        </w:tc>
        <w:tc>
          <w:tcPr>
            <w:tcW w:w="2551" w:type="dxa"/>
            <w:vAlign w:val="center"/>
          </w:tcPr>
          <w:p>
            <w:pPr>
              <w:pStyle w:val="14"/>
            </w:pPr>
            <w:r>
              <w:t>4.15</w:t>
            </w:r>
          </w:p>
        </w:tc>
        <w:tc>
          <w:tcPr>
            <w:tcW w:w="2551" w:type="dxa"/>
            <w:vAlign w:val="center"/>
          </w:tcPr>
          <w:p>
            <w:pPr>
              <w:pStyle w:val="14"/>
            </w:pPr>
          </w:p>
        </w:tc>
        <w:tc>
          <w:tcPr>
            <w:tcW w:w="2551" w:type="dxa"/>
            <w:vAlign w:val="center"/>
          </w:tcPr>
          <w:p>
            <w:pPr>
              <w:pStyle w:val="14"/>
            </w:pPr>
            <w:r>
              <w:t>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17.60</w:t>
            </w:r>
          </w:p>
        </w:tc>
        <w:tc>
          <w:tcPr>
            <w:tcW w:w="2551" w:type="dxa"/>
            <w:vAlign w:val="center"/>
          </w:tcPr>
          <w:p>
            <w:pPr>
              <w:pStyle w:val="14"/>
            </w:pPr>
          </w:p>
        </w:tc>
        <w:tc>
          <w:tcPr>
            <w:tcW w:w="2551" w:type="dxa"/>
            <w:vAlign w:val="center"/>
          </w:tcPr>
          <w:p>
            <w:pPr>
              <w:pStyle w:val="14"/>
            </w:pPr>
            <w:r>
              <w:t>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23.14</w:t>
            </w:r>
          </w:p>
        </w:tc>
        <w:tc>
          <w:tcPr>
            <w:tcW w:w="2551" w:type="dxa"/>
            <w:vAlign w:val="center"/>
          </w:tcPr>
          <w:p>
            <w:pPr>
              <w:pStyle w:val="14"/>
            </w:pPr>
          </w:p>
        </w:tc>
        <w:tc>
          <w:tcPr>
            <w:tcW w:w="2551" w:type="dxa"/>
            <w:vAlign w:val="center"/>
          </w:tcPr>
          <w:p>
            <w:pPr>
              <w:pStyle w:val="14"/>
            </w:pPr>
            <w:r>
              <w:t>23.14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1.84</w:t>
            </w:r>
          </w:p>
        </w:tc>
        <w:tc>
          <w:tcPr>
            <w:tcW w:w="2551" w:type="dxa"/>
            <w:vAlign w:val="center"/>
          </w:tcPr>
          <w:p>
            <w:pPr>
              <w:pStyle w:val="14"/>
            </w:pPr>
          </w:p>
        </w:tc>
        <w:tc>
          <w:tcPr>
            <w:tcW w:w="2551" w:type="dxa"/>
            <w:vAlign w:val="center"/>
          </w:tcPr>
          <w:p>
            <w:pPr>
              <w:pStyle w:val="14"/>
            </w:pPr>
            <w:r>
              <w:t>1.84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1141616124"/>
      <w:r>
        <w:rPr>
          <w:rFonts w:ascii="方正小标宋_GBK" w:hAnsi="方正小标宋_GBK" w:eastAsia="方正小标宋_GBK" w:cs="方正小标宋_GBK"/>
          <w:color w:val="000000"/>
          <w:sz w:val="36"/>
        </w:rPr>
        <w:t>部门预算政府基金预算财政拨款支出表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202中共石家庄市藁城区委员会办公室</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84353895"/>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202中共石家庄市藁城区委员会办公室</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939819582"/>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202中共石家庄市藁城区委员会办公室</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1</w:t>
            </w:r>
          </w:p>
        </w:tc>
        <w:tc>
          <w:tcPr>
            <w:tcW w:w="1643" w:type="dxa"/>
            <w:vAlign w:val="center"/>
          </w:tcPr>
          <w:p>
            <w:pPr>
              <w:pStyle w:val="17"/>
            </w:pPr>
            <w:r>
              <w:t>合计</w:t>
            </w:r>
          </w:p>
        </w:tc>
        <w:tc>
          <w:tcPr>
            <w:tcW w:w="1643" w:type="dxa"/>
            <w:vAlign w:val="center"/>
          </w:tcPr>
          <w:p>
            <w:pPr>
              <w:pStyle w:val="18"/>
              <w:rPr>
                <w:rFonts w:hint="default"/>
              </w:rPr>
            </w:pPr>
            <w:r>
              <w:rPr>
                <w:rFonts w:hint="default"/>
              </w:rPr>
              <w:t>118.6</w:t>
            </w:r>
          </w:p>
        </w:tc>
        <w:tc>
          <w:tcPr>
            <w:tcW w:w="1643" w:type="dxa"/>
            <w:vAlign w:val="center"/>
          </w:tcPr>
          <w:p>
            <w:pPr>
              <w:pStyle w:val="18"/>
              <w:rPr>
                <w:rFonts w:hint="default"/>
              </w:rPr>
            </w:pPr>
            <w:r>
              <w:rPr>
                <w:rFonts w:hint="default"/>
              </w:rPr>
              <w:t>118.6</w:t>
            </w:r>
          </w:p>
        </w:tc>
        <w:tc>
          <w:tcPr>
            <w:tcW w:w="1643" w:type="dxa"/>
            <w:vAlign w:val="center"/>
          </w:tcPr>
          <w:p>
            <w:pPr>
              <w:pStyle w:val="18"/>
              <w:ind w:firstLine="0" w:firstLineChars="0"/>
              <w:rPr>
                <w:rFonts w:hint="default" w:ascii="方正书宋_GBK" w:hAnsi="方正书宋_GBK" w:eastAsia="方正书宋_GBK" w:cs="方正书宋_GBK"/>
                <w:b/>
                <w:sz w:val="21"/>
                <w:szCs w:val="24"/>
                <w:lang w:val="en-US" w:eastAsia="uk-UA" w:bidi="ar-SA"/>
              </w:rPr>
            </w:pPr>
            <w:bookmarkStart w:id="18" w:name="_GoBack"/>
            <w:bookmarkEnd w:id="18"/>
          </w:p>
        </w:tc>
        <w:tc>
          <w:tcPr>
            <w:tcW w:w="1643" w:type="dxa"/>
            <w:vAlign w:val="center"/>
          </w:tcPr>
          <w:p>
            <w:pPr>
              <w:pStyle w:val="18"/>
              <w:ind w:firstLine="0" w:firstLineChars="0"/>
              <w:rPr>
                <w:rFonts w:hint="default"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2</w:t>
            </w:r>
          </w:p>
        </w:tc>
        <w:tc>
          <w:tcPr>
            <w:tcW w:w="1643" w:type="dxa"/>
            <w:vAlign w:val="center"/>
          </w:tcPr>
          <w:p>
            <w:pPr>
              <w:pStyle w:val="15"/>
            </w:pPr>
            <w:r>
              <w:t>“三公”经费小计</w:t>
            </w:r>
          </w:p>
        </w:tc>
        <w:tc>
          <w:tcPr>
            <w:tcW w:w="1643" w:type="dxa"/>
            <w:vAlign w:val="center"/>
          </w:tcPr>
          <w:p>
            <w:pPr>
              <w:pStyle w:val="14"/>
              <w:rPr>
                <w:rFonts w:hint="default"/>
              </w:rPr>
            </w:pPr>
            <w:r>
              <w:rPr>
                <w:rFonts w:hint="default"/>
              </w:rPr>
              <w:t>118.6</w:t>
            </w:r>
          </w:p>
        </w:tc>
        <w:tc>
          <w:tcPr>
            <w:tcW w:w="1643" w:type="dxa"/>
            <w:vAlign w:val="center"/>
          </w:tcPr>
          <w:p>
            <w:pPr>
              <w:pStyle w:val="14"/>
              <w:rPr>
                <w:rFonts w:hint="default"/>
              </w:rPr>
            </w:pPr>
            <w:r>
              <w:rPr>
                <w:rFonts w:hint="default"/>
              </w:rPr>
              <w:t>118.6</w:t>
            </w: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uk-UA" w:bidi="ar-SA"/>
              </w:rPr>
            </w:pP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3</w:t>
            </w:r>
          </w:p>
        </w:tc>
        <w:tc>
          <w:tcPr>
            <w:tcW w:w="1643" w:type="dxa"/>
            <w:vAlign w:val="center"/>
          </w:tcPr>
          <w:p>
            <w:pPr>
              <w:pStyle w:val="15"/>
            </w:pPr>
            <w:r>
              <w:t>一、因公出国（境）费</w:t>
            </w:r>
          </w:p>
        </w:tc>
        <w:tc>
          <w:tcPr>
            <w:tcW w:w="1643" w:type="dxa"/>
            <w:vAlign w:val="center"/>
          </w:tcPr>
          <w:p>
            <w:pPr>
              <w:pStyle w:val="14"/>
              <w:rPr>
                <w:rFonts w:hint="default"/>
              </w:rPr>
            </w:pPr>
            <w:r>
              <w:rPr>
                <w:rFonts w:hint="default"/>
              </w:rPr>
              <w:t>20</w:t>
            </w:r>
          </w:p>
        </w:tc>
        <w:tc>
          <w:tcPr>
            <w:tcW w:w="1643" w:type="dxa"/>
            <w:vAlign w:val="center"/>
          </w:tcPr>
          <w:p>
            <w:pPr>
              <w:pStyle w:val="14"/>
              <w:rPr>
                <w:rFonts w:hint="default"/>
              </w:rPr>
            </w:pPr>
            <w:r>
              <w:rPr>
                <w:rFonts w:hint="default"/>
              </w:rPr>
              <w:t>20</w:t>
            </w: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uk-UA" w:bidi="ar-SA"/>
              </w:rPr>
            </w:pP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4</w:t>
            </w:r>
          </w:p>
        </w:tc>
        <w:tc>
          <w:tcPr>
            <w:tcW w:w="1643" w:type="dxa"/>
            <w:vAlign w:val="center"/>
          </w:tcPr>
          <w:p>
            <w:pPr>
              <w:pStyle w:val="15"/>
            </w:pPr>
            <w:r>
              <w:t xml:space="preserve">    其中：教学科研人员因公出国（境）费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5</w:t>
            </w:r>
          </w:p>
        </w:tc>
        <w:tc>
          <w:tcPr>
            <w:tcW w:w="1643" w:type="dxa"/>
            <w:vAlign w:val="center"/>
          </w:tcPr>
          <w:p>
            <w:pPr>
              <w:pStyle w:val="15"/>
            </w:pPr>
            <w:r>
              <w:t xml:space="preserve">          其他因公出国（境）费</w:t>
            </w:r>
          </w:p>
        </w:tc>
        <w:tc>
          <w:tcPr>
            <w:tcW w:w="1643" w:type="dxa"/>
            <w:vAlign w:val="center"/>
          </w:tcPr>
          <w:p>
            <w:pPr>
              <w:pStyle w:val="14"/>
            </w:pPr>
            <w:r>
              <w:t>20.00</w:t>
            </w:r>
          </w:p>
        </w:tc>
        <w:tc>
          <w:tcPr>
            <w:tcW w:w="1643" w:type="dxa"/>
            <w:vAlign w:val="center"/>
          </w:tcPr>
          <w:p>
            <w:pPr>
              <w:pStyle w:val="14"/>
            </w:pPr>
            <w:r>
              <w:t>20.00</w:t>
            </w: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6</w:t>
            </w:r>
          </w:p>
        </w:tc>
        <w:tc>
          <w:tcPr>
            <w:tcW w:w="1643" w:type="dxa"/>
            <w:vAlign w:val="center"/>
          </w:tcPr>
          <w:p>
            <w:pPr>
              <w:pStyle w:val="15"/>
            </w:pPr>
            <w:r>
              <w:t>二、公务用车购置及运维费</w:t>
            </w:r>
          </w:p>
        </w:tc>
        <w:tc>
          <w:tcPr>
            <w:tcW w:w="1643" w:type="dxa"/>
            <w:vAlign w:val="center"/>
          </w:tcPr>
          <w:p>
            <w:pPr>
              <w:pStyle w:val="14"/>
              <w:rPr>
                <w:rFonts w:hint="default"/>
              </w:rPr>
            </w:pPr>
            <w:r>
              <w:rPr>
                <w:rFonts w:hint="default"/>
              </w:rPr>
              <w:t>98.6</w:t>
            </w:r>
          </w:p>
        </w:tc>
        <w:tc>
          <w:tcPr>
            <w:tcW w:w="1643" w:type="dxa"/>
            <w:vAlign w:val="center"/>
          </w:tcPr>
          <w:p>
            <w:pPr>
              <w:pStyle w:val="14"/>
              <w:rPr>
                <w:rFonts w:hint="default"/>
              </w:rPr>
            </w:pPr>
            <w:r>
              <w:rPr>
                <w:rFonts w:hint="default"/>
              </w:rPr>
              <w:t>98.6</w:t>
            </w: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uk-UA" w:bidi="ar-SA"/>
              </w:rPr>
            </w:pP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7</w:t>
            </w:r>
          </w:p>
        </w:tc>
        <w:tc>
          <w:tcPr>
            <w:tcW w:w="1643" w:type="dxa"/>
            <w:vAlign w:val="center"/>
          </w:tcPr>
          <w:p>
            <w:pPr>
              <w:pStyle w:val="15"/>
            </w:pPr>
            <w:r>
              <w:t xml:space="preserve">    其中：公务用车购置费</w:t>
            </w:r>
          </w:p>
        </w:tc>
        <w:tc>
          <w:tcPr>
            <w:tcW w:w="1643" w:type="dxa"/>
            <w:vAlign w:val="center"/>
          </w:tcPr>
          <w:p>
            <w:pPr>
              <w:pStyle w:val="14"/>
            </w:pPr>
            <w:r>
              <w:t>81.00</w:t>
            </w:r>
          </w:p>
        </w:tc>
        <w:tc>
          <w:tcPr>
            <w:tcW w:w="1643" w:type="dxa"/>
            <w:vAlign w:val="center"/>
          </w:tcPr>
          <w:p>
            <w:pPr>
              <w:pStyle w:val="14"/>
            </w:pPr>
            <w:r>
              <w:t>81.00</w:t>
            </w: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8</w:t>
            </w:r>
          </w:p>
        </w:tc>
        <w:tc>
          <w:tcPr>
            <w:tcW w:w="1643" w:type="dxa"/>
            <w:vAlign w:val="center"/>
          </w:tcPr>
          <w:p>
            <w:pPr>
              <w:pStyle w:val="15"/>
            </w:pPr>
            <w:r>
              <w:t xml:space="preserve">          公务用车运行维护费</w:t>
            </w:r>
          </w:p>
        </w:tc>
        <w:tc>
          <w:tcPr>
            <w:tcW w:w="1643" w:type="dxa"/>
            <w:vAlign w:val="center"/>
          </w:tcPr>
          <w:p>
            <w:pPr>
              <w:pStyle w:val="14"/>
            </w:pPr>
            <w:r>
              <w:t>17.60</w:t>
            </w:r>
          </w:p>
        </w:tc>
        <w:tc>
          <w:tcPr>
            <w:tcW w:w="1643" w:type="dxa"/>
            <w:vAlign w:val="center"/>
          </w:tcPr>
          <w:p>
            <w:pPr>
              <w:pStyle w:val="14"/>
            </w:pPr>
            <w:r>
              <w:t>17.60</w:t>
            </w: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9</w:t>
            </w:r>
          </w:p>
        </w:tc>
        <w:tc>
          <w:tcPr>
            <w:tcW w:w="1643" w:type="dxa"/>
            <w:vAlign w:val="center"/>
          </w:tcPr>
          <w:p>
            <w:pPr>
              <w:pStyle w:val="15"/>
            </w:pPr>
            <w:r>
              <w:t>三、公务接待费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中共石家庄市藁城区委员会办公室2022年部门预算信息公开情况说明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中共石家庄市藁城区委员会办公室2022年部门预算信息公开情况说明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按照《预算法》、《地方预决算公开操作规程》和《关于进一步推进预算公开工作的实施意见》规定，现将中共石家庄市藁城区委员会办公室2022年部门预算公开如下：</w:t>
      </w:r>
    </w:p>
    <w:p>
      <w:pPr>
        <w:spacing w:before="10" w:after="10" w:line="360" w:lineRule="auto"/>
        <w:ind w:firstLine="640"/>
        <w:jc w:val="left"/>
        <w:outlineLvl w:val="2"/>
      </w:pPr>
      <w:bookmarkStart w:id="9" w:name="_Toc749241873"/>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pPr>
      <w:r>
        <w:t>中共石家庄市藁城区委员会办公室负责区委、区委领导交办的文稿起草、修改工作；围绕区委总体部署开展调查研究；区委文件制发。负责区委、区委领导交办的文稿起草、修改工作；围绕区委总体部署开展调查研究；区委文件制发。负责全区党政系统密码通信和密码管理。组织开展全区全面深化改革重大问题的政策研究；协调督促有关方面落实领导小组决定事项、工作部署和要求；协调各专项小组、有关部门和单位就改革重要问题进行研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中共石家庄市藁城区委员会办公室本级</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bl>
    <w:p>
      <w:pPr>
        <w:spacing w:before="10" w:after="10" w:line="360" w:lineRule="auto"/>
        <w:ind w:firstLine="640"/>
        <w:jc w:val="left"/>
        <w:outlineLvl w:val="2"/>
      </w:pPr>
      <w:bookmarkStart w:id="10" w:name="_Toc137806862"/>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按照预算管理有关规定，目前我省部门预算的编制实行综合预算管理，即全部收入和支出都反映在预算中。中共石家庄市藁城区委员会办公室机关及所属事业单位的收支包含在部门预算中。</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反映本部门当年全部收入。2022年预算收入</w:t>
      </w:r>
      <w:r>
        <w:rPr>
          <w:rFonts w:hint="default" w:eastAsia="仿宋" w:cs="Times New Roman"/>
          <w:sz w:val="32"/>
          <w:szCs w:val="32"/>
        </w:rPr>
        <w:t>1269.46</w:t>
      </w:r>
      <w:r>
        <w:rPr>
          <w:rFonts w:hint="eastAsia" w:ascii="Times New Roman" w:hAnsi="Times New Roman" w:eastAsia="仿宋" w:cs="Times New Roman"/>
          <w:sz w:val="32"/>
          <w:szCs w:val="32"/>
        </w:rPr>
        <w:t>万元，其中：一般公共预算收入</w:t>
      </w:r>
      <w:r>
        <w:rPr>
          <w:rFonts w:hint="default" w:eastAsia="仿宋" w:cs="Times New Roman"/>
          <w:sz w:val="32"/>
          <w:szCs w:val="32"/>
        </w:rPr>
        <w:t>1269.46</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收支预算总表支出栏、基本支出表、项目支出表按经济分类和支出功能分类科目编制，反映本部门预算中支出预算的总体情况。2022年部门支出预算为</w:t>
      </w:r>
      <w:r>
        <w:rPr>
          <w:rFonts w:hint="default" w:eastAsia="仿宋" w:cs="Times New Roman"/>
          <w:sz w:val="32"/>
          <w:szCs w:val="32"/>
        </w:rPr>
        <w:t>1269.46</w:t>
      </w:r>
      <w:r>
        <w:rPr>
          <w:rFonts w:hint="eastAsia" w:ascii="Times New Roman" w:hAnsi="Times New Roman" w:eastAsia="仿宋" w:cs="Times New Roman"/>
          <w:sz w:val="32"/>
          <w:szCs w:val="32"/>
        </w:rPr>
        <w:t>万元，其中基本支出</w:t>
      </w:r>
      <w:r>
        <w:rPr>
          <w:rFonts w:hint="default" w:eastAsia="仿宋" w:cs="Times New Roman"/>
          <w:sz w:val="32"/>
          <w:szCs w:val="32"/>
        </w:rPr>
        <w:t>979.11</w:t>
      </w:r>
      <w:r>
        <w:rPr>
          <w:rFonts w:hint="eastAsia" w:ascii="Times New Roman" w:hAnsi="Times New Roman" w:eastAsia="仿宋" w:cs="Times New Roman"/>
          <w:sz w:val="32"/>
          <w:szCs w:val="32"/>
        </w:rPr>
        <w:t>万元，包括人员经费</w:t>
      </w:r>
      <w:r>
        <w:rPr>
          <w:rFonts w:hint="default" w:eastAsia="仿宋" w:cs="Times New Roman"/>
          <w:sz w:val="32"/>
          <w:szCs w:val="32"/>
        </w:rPr>
        <w:t>755.66</w:t>
      </w:r>
      <w:r>
        <w:rPr>
          <w:rFonts w:hint="eastAsia" w:ascii="Times New Roman" w:hAnsi="Times New Roman" w:eastAsia="仿宋" w:cs="Times New Roman"/>
          <w:sz w:val="32"/>
          <w:szCs w:val="32"/>
        </w:rPr>
        <w:t>万元和日常公用经费</w:t>
      </w:r>
      <w:r>
        <w:rPr>
          <w:rFonts w:hint="default" w:eastAsia="仿宋" w:cs="Times New Roman"/>
          <w:sz w:val="32"/>
          <w:szCs w:val="32"/>
        </w:rPr>
        <w:t>223.45</w:t>
      </w:r>
      <w:r>
        <w:rPr>
          <w:rFonts w:hint="eastAsia" w:ascii="Times New Roman" w:hAnsi="Times New Roman" w:eastAsia="仿宋" w:cs="Times New Roman"/>
          <w:sz w:val="32"/>
          <w:szCs w:val="32"/>
        </w:rPr>
        <w:t>万元；项目支出</w:t>
      </w:r>
      <w:r>
        <w:rPr>
          <w:rFonts w:hint="default" w:eastAsia="仿宋" w:cs="Times New Roman"/>
          <w:sz w:val="32"/>
          <w:szCs w:val="32"/>
        </w:rPr>
        <w:t>290.35</w:t>
      </w:r>
      <w:r>
        <w:rPr>
          <w:rFonts w:hint="eastAsia" w:ascii="Times New Roman" w:hAnsi="Times New Roman" w:eastAsia="仿宋" w:cs="Times New Roman"/>
          <w:sz w:val="32"/>
          <w:szCs w:val="32"/>
        </w:rPr>
        <w:t>万元，主要为</w:t>
      </w:r>
      <w:r>
        <w:rPr>
          <w:rFonts w:hint="default" w:eastAsia="仿宋" w:cs="Times New Roman"/>
          <w:sz w:val="32"/>
          <w:szCs w:val="32"/>
        </w:rPr>
        <w:t>深化改革管理系统维护费5万元，“纠风”活动经费4.5万元，档案管理经费5万元，地方志年鉴编纂经费10万元，国家安全宣传经费5万元，三重四创五优化办公经费5万元，省委应急值守综合指挥调度平台运营费5万元，市级应急值守平台运营费1.8万元，新型决策咨询智库运营经费50万元，应急保障公务用车81万元，其他项目涉密不予公开</w:t>
      </w:r>
      <w:r>
        <w:rPr>
          <w:rFonts w:hint="eastAsia" w:ascii="Times New Roman" w:hAnsi="Times New Roman" w:eastAsia="仿宋" w:cs="Times New Roman"/>
          <w:sz w:val="32"/>
          <w:szCs w:val="32"/>
        </w:rPr>
        <w:t>；其他支出0万元。</w:t>
      </w:r>
    </w:p>
    <w:p>
      <w:pPr>
        <w:numPr>
          <w:ilvl w:val="0"/>
          <w:numId w:val="1"/>
        </w:numPr>
        <w:spacing w:line="460" w:lineRule="exact"/>
        <w:ind w:firstLine="640"/>
        <w:rPr>
          <w:rFonts w:ascii="Times New Roman" w:hAnsi="Times New Roman" w:eastAsia="仿宋" w:cs="Times New Roman"/>
          <w:sz w:val="32"/>
          <w:szCs w:val="32"/>
        </w:rPr>
      </w:pPr>
      <w:r>
        <w:rPr>
          <w:rFonts w:ascii="Times New Roman" w:hAnsi="Times New Roman" w:eastAsia="仿宋" w:cs="Times New Roman"/>
          <w:sz w:val="32"/>
          <w:szCs w:val="32"/>
        </w:rPr>
        <w:t>比上年增减情况</w:t>
      </w:r>
    </w:p>
    <w:p>
      <w:pPr>
        <w:numPr>
          <w:ilvl w:val="0"/>
          <w:numId w:val="0"/>
        </w:numPr>
        <w:spacing w:line="460" w:lineRule="exact"/>
        <w:ind w:firstLine="640" w:firstLineChars="200"/>
        <w:rPr>
          <w:rFonts w:ascii="黑体" w:hAnsi="黑体" w:eastAsia="黑体" w:cs="黑体"/>
          <w:color w:val="000000"/>
          <w:sz w:val="32"/>
        </w:rPr>
      </w:pPr>
      <w:r>
        <w:rPr>
          <w:rFonts w:hint="eastAsia" w:ascii="Times New Roman" w:hAnsi="Times New Roman" w:eastAsia="仿宋" w:cs="Times New Roman"/>
          <w:color w:val="000000"/>
          <w:sz w:val="32"/>
          <w:szCs w:val="32"/>
        </w:rPr>
        <w:t>2022年部门预算收支安排</w:t>
      </w:r>
      <w:r>
        <w:rPr>
          <w:rFonts w:hint="default" w:eastAsia="仿宋" w:cs="Times New Roman"/>
          <w:sz w:val="32"/>
          <w:szCs w:val="32"/>
        </w:rPr>
        <w:t>1269.46</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default" w:eastAsia="仿宋" w:cs="Times New Roman"/>
          <w:sz w:val="32"/>
          <w:szCs w:val="32"/>
        </w:rPr>
        <w:t>198.68</w:t>
      </w:r>
      <w:r>
        <w:rPr>
          <w:rFonts w:hint="eastAsia" w:ascii="Times New Roman" w:hAnsi="Times New Roman" w:eastAsia="仿宋" w:cs="Times New Roman"/>
          <w:sz w:val="32"/>
          <w:szCs w:val="32"/>
        </w:rPr>
        <w:t>万元，其中：基本支出</w:t>
      </w:r>
      <w:r>
        <w:rPr>
          <w:rFonts w:hint="default" w:eastAsia="仿宋" w:cs="Times New Roman"/>
          <w:sz w:val="32"/>
          <w:szCs w:val="32"/>
        </w:rPr>
        <w:t>增加163.92</w:t>
      </w:r>
      <w:r>
        <w:rPr>
          <w:rFonts w:hint="eastAsia" w:ascii="Times New Roman" w:hAnsi="Times New Roman" w:eastAsia="仿宋" w:cs="Times New Roman"/>
          <w:sz w:val="32"/>
          <w:szCs w:val="32"/>
        </w:rPr>
        <w:t>万元，主要是人员</w:t>
      </w:r>
      <w:r>
        <w:rPr>
          <w:rFonts w:hint="default" w:eastAsia="仿宋" w:cs="Times New Roman"/>
          <w:sz w:val="32"/>
          <w:szCs w:val="32"/>
        </w:rPr>
        <w:t>增加</w:t>
      </w:r>
      <w:r>
        <w:rPr>
          <w:rFonts w:hint="eastAsia" w:ascii="Times New Roman" w:hAnsi="Times New Roman" w:eastAsia="仿宋" w:cs="Times New Roman"/>
          <w:sz w:val="32"/>
          <w:szCs w:val="32"/>
        </w:rPr>
        <w:t>，相应</w:t>
      </w:r>
      <w:r>
        <w:rPr>
          <w:rFonts w:hint="default" w:eastAsia="仿宋" w:cs="Times New Roman"/>
          <w:sz w:val="32"/>
          <w:szCs w:val="32"/>
        </w:rPr>
        <w:t>增加</w:t>
      </w:r>
      <w:r>
        <w:rPr>
          <w:rFonts w:hint="eastAsia" w:ascii="Times New Roman" w:hAnsi="Times New Roman" w:eastAsia="仿宋" w:cs="Times New Roman"/>
          <w:sz w:val="32"/>
          <w:szCs w:val="32"/>
        </w:rPr>
        <w:t>人员经费和日常公用经费；项目支出增加</w:t>
      </w:r>
      <w:r>
        <w:rPr>
          <w:rFonts w:hint="default" w:eastAsia="仿宋" w:cs="Times New Roman"/>
          <w:sz w:val="32"/>
          <w:szCs w:val="32"/>
        </w:rPr>
        <w:t>34.76</w:t>
      </w:r>
      <w:r>
        <w:rPr>
          <w:rFonts w:hint="eastAsia" w:ascii="Times New Roman" w:hAnsi="Times New Roman" w:eastAsia="仿宋" w:cs="Times New Roman"/>
          <w:sz w:val="32"/>
          <w:szCs w:val="32"/>
        </w:rPr>
        <w:t>万元，主要是增加</w:t>
      </w:r>
      <w:r>
        <w:rPr>
          <w:rFonts w:hint="default" w:eastAsia="仿宋" w:cs="Times New Roman"/>
          <w:sz w:val="32"/>
          <w:szCs w:val="32"/>
        </w:rPr>
        <w:t>涉密项目支出</w:t>
      </w:r>
      <w:r>
        <w:rPr>
          <w:rFonts w:hint="eastAsia" w:ascii="Times New Roman" w:hAnsi="Times New Roman" w:eastAsia="仿宋" w:cs="Times New Roman"/>
          <w:sz w:val="32"/>
          <w:szCs w:val="32"/>
        </w:rPr>
        <w:t>；其他支出无增减变化。</w:t>
      </w:r>
    </w:p>
    <w:p>
      <w:pPr>
        <w:keepNext w:val="0"/>
        <w:keepLines w:val="0"/>
        <w:pageBreakBefore w:val="0"/>
        <w:widowControl/>
        <w:kinsoku/>
        <w:wordWrap/>
        <w:overflowPunct/>
        <w:topLinePunct w:val="0"/>
        <w:autoSpaceDE/>
        <w:autoSpaceDN/>
        <w:bidi w:val="0"/>
        <w:adjustRightInd/>
        <w:snapToGrid/>
        <w:spacing w:before="10" w:after="10" w:line="560" w:lineRule="exact"/>
        <w:ind w:firstLine="641"/>
        <w:jc w:val="left"/>
        <w:textAlignment w:val="auto"/>
        <w:outlineLvl w:val="2"/>
      </w:pPr>
      <w:bookmarkStart w:id="11" w:name="_Toc42999170"/>
      <w:r>
        <w:rPr>
          <w:rFonts w:ascii="黑体" w:hAnsi="黑体" w:eastAsia="黑体" w:cs="黑体"/>
          <w:color w:val="000000"/>
          <w:sz w:val="32"/>
        </w:rPr>
        <w:t>三、机关运行经费安排情况</w:t>
      </w:r>
      <w:bookmarkEnd w:id="11"/>
    </w:p>
    <w:p>
      <w:pPr>
        <w:pStyle w:val="22"/>
      </w:pPr>
      <w:r>
        <w:rPr>
          <w:rFonts w:hint="eastAsia" w:ascii="Times New Roman" w:hAnsi="Times New Roman" w:eastAsia="仿宋" w:cs="Times New Roman"/>
          <w:sz w:val="32"/>
          <w:szCs w:val="32"/>
        </w:rPr>
        <w:t>2022年，我部门机关运行经费共计安排</w:t>
      </w:r>
      <w:r>
        <w:rPr>
          <w:rFonts w:hint="default" w:eastAsia="仿宋" w:cs="Times New Roman"/>
          <w:sz w:val="32"/>
          <w:szCs w:val="32"/>
        </w:rPr>
        <w:t>223.45</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w:t>
      </w:r>
      <w:r>
        <w:rPr>
          <w:rFonts w:hint="default" w:eastAsia="仿宋" w:cs="Times New Roman"/>
          <w:sz w:val="32"/>
          <w:szCs w:val="32"/>
        </w:rPr>
        <w:t>、</w:t>
      </w:r>
      <w:r>
        <w:rPr>
          <w:rFonts w:hint="eastAsia" w:ascii="Times New Roman" w:hAnsi="Times New Roman" w:eastAsia="仿宋" w:cs="Times New Roman"/>
          <w:sz w:val="32"/>
          <w:szCs w:val="32"/>
        </w:rPr>
        <w:t>公务车运行维护费等支出。</w:t>
      </w:r>
    </w:p>
    <w:p>
      <w:pPr>
        <w:keepNext w:val="0"/>
        <w:keepLines w:val="0"/>
        <w:pageBreakBefore w:val="0"/>
        <w:widowControl/>
        <w:kinsoku/>
        <w:wordWrap/>
        <w:overflowPunct/>
        <w:topLinePunct w:val="0"/>
        <w:autoSpaceDE/>
        <w:autoSpaceDN/>
        <w:bidi w:val="0"/>
        <w:adjustRightInd/>
        <w:snapToGrid/>
        <w:spacing w:before="10" w:after="10" w:line="560" w:lineRule="exact"/>
        <w:ind w:firstLine="641"/>
        <w:jc w:val="left"/>
        <w:textAlignment w:val="auto"/>
        <w:outlineLvl w:val="2"/>
      </w:pPr>
      <w:bookmarkStart w:id="12" w:name="_Toc982906996"/>
      <w:r>
        <w:rPr>
          <w:rFonts w:ascii="黑体" w:hAnsi="黑体" w:eastAsia="黑体" w:cs="黑体"/>
          <w:color w:val="000000"/>
          <w:sz w:val="32"/>
        </w:rPr>
        <w:t>四、财政拨款“三公”经费预算情况及增减变化原因</w:t>
      </w:r>
      <w:bookmarkEnd w:id="12"/>
    </w:p>
    <w:p>
      <w:pPr>
        <w:pStyle w:val="22"/>
        <w:bidi w:val="0"/>
        <w:rPr>
          <w:rFonts w:hint="eastAsia" w:ascii="Times New Roman" w:hAnsi="Times New Roman" w:eastAsia="仿宋" w:cs="Times New Roman"/>
          <w:szCs w:val="32"/>
          <w:lang w:val="en-US" w:eastAsia="uk-UA" w:bidi="ar-SA"/>
        </w:rPr>
      </w:pPr>
      <w:r>
        <w:rPr>
          <w:rFonts w:hint="eastAsia"/>
          <w:lang w:val="en-US" w:eastAsia="uk-UA"/>
        </w:rPr>
        <w:t>2022年，</w:t>
      </w:r>
      <w:r>
        <w:rPr>
          <w:rFonts w:hint="default"/>
          <w:lang w:val="en-US" w:eastAsia="uk-UA"/>
        </w:rPr>
        <w:t>本</w:t>
      </w:r>
      <w:r>
        <w:rPr>
          <w:rFonts w:hint="eastAsia"/>
          <w:lang w:val="en-US" w:eastAsia="uk-UA"/>
        </w:rPr>
        <w:t>部门财政拨款“三公”经费预算安排</w:t>
      </w:r>
      <w:r>
        <w:rPr>
          <w:rFonts w:hint="default"/>
          <w:lang w:val="en-US" w:eastAsia="uk-UA"/>
        </w:rPr>
        <w:t>118.6</w:t>
      </w:r>
      <w:r>
        <w:rPr>
          <w:rFonts w:hint="eastAsia"/>
          <w:lang w:val="en-US" w:eastAsia="uk-UA"/>
        </w:rPr>
        <w:t>万元，其中：因公出国（境）费</w:t>
      </w:r>
      <w:r>
        <w:rPr>
          <w:rFonts w:hint="default"/>
          <w:lang w:val="en-US" w:eastAsia="uk-UA"/>
        </w:rPr>
        <w:t>20</w:t>
      </w:r>
      <w:r>
        <w:rPr>
          <w:rFonts w:hint="eastAsia"/>
          <w:lang w:val="en-US" w:eastAsia="uk-UA"/>
        </w:rPr>
        <w:t>万元</w:t>
      </w:r>
      <w:r>
        <w:rPr>
          <w:rFonts w:hint="default"/>
          <w:lang w:val="en-US" w:eastAsia="uk-UA"/>
        </w:rPr>
        <w:t>，与上年持平</w:t>
      </w:r>
      <w:r>
        <w:rPr>
          <w:rFonts w:hint="eastAsia"/>
          <w:lang w:val="en-US" w:eastAsia="uk-UA"/>
        </w:rPr>
        <w:t>；公务用车购置及运维费</w:t>
      </w:r>
      <w:r>
        <w:rPr>
          <w:rFonts w:hint="default"/>
          <w:lang w:val="en-US" w:eastAsia="uk-UA"/>
        </w:rPr>
        <w:t>98.6</w:t>
      </w:r>
      <w:r>
        <w:rPr>
          <w:rFonts w:hint="eastAsia"/>
          <w:lang w:val="en-US" w:eastAsia="uk-UA"/>
        </w:rPr>
        <w:t>万元（其中：公务用车购置费</w:t>
      </w:r>
      <w:r>
        <w:rPr>
          <w:rFonts w:hint="default"/>
          <w:lang w:val="en-US" w:eastAsia="uk-UA"/>
        </w:rPr>
        <w:t>81</w:t>
      </w:r>
      <w:r>
        <w:rPr>
          <w:rFonts w:hint="eastAsia"/>
          <w:lang w:val="en-US" w:eastAsia="uk-UA"/>
        </w:rPr>
        <w:t>万元，</w:t>
      </w:r>
      <w:r>
        <w:rPr>
          <w:rFonts w:hint="default"/>
          <w:lang w:val="en-US" w:eastAsia="uk-UA"/>
        </w:rPr>
        <w:t>较上年增加81万元，增加原因是原有公车报废需购置新车；</w:t>
      </w:r>
      <w:r>
        <w:rPr>
          <w:rFonts w:hint="eastAsia"/>
          <w:lang w:val="en-US" w:eastAsia="uk-UA"/>
        </w:rPr>
        <w:t>公务用车运行维护费</w:t>
      </w:r>
      <w:r>
        <w:rPr>
          <w:rFonts w:hint="default"/>
          <w:lang w:val="en-US" w:eastAsia="uk-UA"/>
        </w:rPr>
        <w:t>17.6</w:t>
      </w:r>
      <w:r>
        <w:rPr>
          <w:rFonts w:hint="eastAsia"/>
          <w:lang w:val="en-US" w:eastAsia="uk-UA"/>
        </w:rPr>
        <w:t>万元</w:t>
      </w:r>
      <w:r>
        <w:rPr>
          <w:rFonts w:hint="default"/>
          <w:lang w:val="en-US" w:eastAsia="uk-UA"/>
        </w:rPr>
        <w:t>，与上年持平</w:t>
      </w:r>
      <w:r>
        <w:rPr>
          <w:rFonts w:hint="eastAsia"/>
          <w:lang w:val="en-US" w:eastAsia="uk-UA"/>
        </w:rPr>
        <w:t>)；公务接待费</w:t>
      </w:r>
      <w:r>
        <w:rPr>
          <w:rFonts w:hint="default"/>
          <w:lang w:val="en-US" w:eastAsia="uk-UA"/>
        </w:rPr>
        <w:t>0</w:t>
      </w:r>
      <w:r>
        <w:rPr>
          <w:rFonts w:hint="eastAsia"/>
          <w:lang w:val="en-US" w:eastAsia="uk-UA"/>
        </w:rPr>
        <w:t>万元</w:t>
      </w:r>
      <w:r>
        <w:rPr>
          <w:rFonts w:hint="default"/>
          <w:lang w:val="en-US" w:eastAsia="uk-UA"/>
        </w:rPr>
        <w:t>，与上年持平</w:t>
      </w:r>
      <w:r>
        <w:rPr>
          <w:rFonts w:hint="eastAsia"/>
          <w:lang w:val="en-US" w:eastAsia="uk-UA"/>
        </w:rPr>
        <w:t>。</w:t>
      </w:r>
      <w:r>
        <w:rPr>
          <w:rFonts w:hint="default"/>
          <w:lang w:val="en-US" w:eastAsia="uk-UA"/>
        </w:rPr>
        <w:t>与2021年相比，</w:t>
      </w:r>
      <w:r>
        <w:rPr>
          <w:rFonts w:hint="eastAsia"/>
          <w:lang w:val="en-US" w:eastAsia="uk-UA"/>
        </w:rPr>
        <w:t>“三公”经费</w:t>
      </w:r>
      <w:r>
        <w:rPr>
          <w:rFonts w:hint="default"/>
          <w:lang w:val="en-US" w:eastAsia="uk-UA"/>
        </w:rPr>
        <w:t>比</w:t>
      </w:r>
      <w:r>
        <w:rPr>
          <w:rFonts w:hint="eastAsia"/>
          <w:lang w:val="en-US" w:eastAsia="uk-UA"/>
        </w:rPr>
        <w:t>上年</w:t>
      </w:r>
      <w:r>
        <w:rPr>
          <w:rFonts w:hint="default"/>
          <w:lang w:val="en-US" w:eastAsia="uk-UA"/>
        </w:rPr>
        <w:t>增加81万元</w:t>
      </w:r>
      <w:r>
        <w:rPr>
          <w:rFonts w:hint="eastAsia"/>
          <w:lang w:val="en-US" w:eastAsia="uk-UA"/>
        </w:rPr>
        <w:t>，</w:t>
      </w:r>
      <w:r>
        <w:rPr>
          <w:rFonts w:hint="default"/>
          <w:lang w:val="en-US" w:eastAsia="uk-UA"/>
        </w:rPr>
        <w:t>增加的原因是原有公车报废，按照规定购买新车</w:t>
      </w:r>
      <w:r>
        <w:rPr>
          <w:rFonts w:hint="eastAsia"/>
          <w:lang w:val="en-US" w:eastAsia="uk-UA"/>
        </w:rPr>
        <w:t>。</w:t>
      </w:r>
    </w:p>
    <w:p>
      <w:pPr>
        <w:spacing w:before="10" w:after="10" w:line="360" w:lineRule="auto"/>
        <w:ind w:firstLine="640"/>
        <w:jc w:val="left"/>
        <w:outlineLvl w:val="2"/>
      </w:pPr>
      <w:bookmarkStart w:id="13" w:name="_Toc135497281"/>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中共石家庄市藁城区委员会办公室负责区委、区委领导交办的文稿起草、修改工作；围绕区委总体部署开展调查研究；区委文件制发。负责区委、区委领导交办的文稿起草、修改工作；围绕区委总体部署开展调查研究；区委文件制发。负责全区党政系统密码通信和密码管理。组织开展全区全面深化改革重大问题的政策研究；协调督促有关方面落实领导小组决定事项、工作部署和要求；协调各专项小组、有关部门和单位就改革重要问题进行研究。</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r>
        <w:t>我单位结合省委省政府重要工作部署、年度工作计划与工作要点，对总体绩效目标进一步分解细化，使绩效指标尽可能量化，达到可审核、可监控、可评价、可公开。</w:t>
      </w:r>
    </w:p>
    <w:p>
      <w:pPr>
        <w:pStyle w:val="25"/>
      </w:pPr>
      <w:r>
        <w:t>（一）省委应急值守综合指挥调度平台运营费，市委应急值守平台运营费</w:t>
      </w:r>
    </w:p>
    <w:p>
      <w:pPr>
        <w:pStyle w:val="25"/>
      </w:pPr>
      <w:r>
        <w:t>绩效目标：各类突发事件得到及时妥善处置</w:t>
      </w:r>
    </w:p>
    <w:p>
      <w:pPr>
        <w:pStyle w:val="25"/>
      </w:pPr>
      <w:r>
        <w:t>绩效指标：文件登记、分送、传阅、整理、归档办结率、值班保障全勤率</w:t>
      </w:r>
    </w:p>
    <w:p>
      <w:pPr>
        <w:pStyle w:val="25"/>
      </w:pPr>
      <w:r>
        <w:t>（二）全面深化改革活动经费</w:t>
      </w:r>
    </w:p>
    <w:p>
      <w:pPr>
        <w:pStyle w:val="25"/>
      </w:pPr>
      <w:r>
        <w:t>绩效目标：完成全区改革工作任务</w:t>
      </w:r>
    </w:p>
    <w:p>
      <w:pPr>
        <w:pStyle w:val="25"/>
      </w:pPr>
      <w:r>
        <w:t>绩效指标：各级项目数量及荣誉达标率</w:t>
      </w:r>
    </w:p>
    <w:p>
      <w:pPr>
        <w:pStyle w:val="25"/>
      </w:pPr>
      <w:r>
        <w:t>（三）纠正“四风”和作风纪律专项整治经费</w:t>
      </w:r>
    </w:p>
    <w:p>
      <w:pPr>
        <w:pStyle w:val="25"/>
      </w:pPr>
      <w:r>
        <w:t>绩效目标：督导检查、办理上级交办的“四风”及作风纪律案件</w:t>
      </w:r>
    </w:p>
    <w:p>
      <w:pPr>
        <w:pStyle w:val="25"/>
      </w:pPr>
      <w:r>
        <w:t>绩效指标：上级交办的案件办结率</w:t>
      </w:r>
    </w:p>
    <w:p>
      <w:pPr>
        <w:pStyle w:val="25"/>
      </w:pPr>
      <w:r>
        <w:t>（四）地方志年鉴编纂经费</w:t>
      </w:r>
    </w:p>
    <w:p>
      <w:pPr>
        <w:pStyle w:val="25"/>
      </w:pPr>
      <w:r>
        <w:t>绩效目标：印制本地区地方志年鉴</w:t>
      </w:r>
    </w:p>
    <w:p>
      <w:pPr>
        <w:pStyle w:val="25"/>
      </w:pPr>
      <w:r>
        <w:t>绩效指标：印制本数</w:t>
      </w:r>
    </w:p>
    <w:p>
      <w:pPr>
        <w:spacing w:before="0" w:after="0" w:line="500" w:lineRule="exact"/>
        <w:ind w:firstLine="560"/>
        <w:jc w:val="left"/>
        <w:outlineLvl w:val="9"/>
      </w:pPr>
      <w:r>
        <w:rPr>
          <w:rFonts w:ascii="Times New Roman" w:hAnsi="Times New Roman" w:eastAsia="方正仿宋_GBK" w:cs="Times New Roman"/>
          <w:color w:val="000000"/>
          <w:sz w:val="28"/>
        </w:rPr>
        <w:t>（</w:t>
      </w:r>
      <w:r>
        <w:rPr>
          <w:rFonts w:eastAsia="方正仿宋_GBK" w:cs="Times New Roman"/>
          <w:color w:val="000000"/>
          <w:sz w:val="28"/>
        </w:rPr>
        <w:t>五</w:t>
      </w:r>
      <w:r>
        <w:rPr>
          <w:rFonts w:ascii="Times New Roman" w:hAnsi="Times New Roman" w:eastAsia="方正仿宋_GBK" w:cs="Times New Roman"/>
          <w:color w:val="000000"/>
          <w:sz w:val="28"/>
        </w:rPr>
        <w:t>）工作保障措施</w:t>
      </w:r>
    </w:p>
    <w:p>
      <w:pPr>
        <w:pStyle w:val="26"/>
      </w:pPr>
      <w:r>
        <w:t>1、进行绩效目标和考核培训。</w:t>
      </w:r>
    </w:p>
    <w:p>
      <w:pPr>
        <w:pStyle w:val="26"/>
      </w:pPr>
      <w:r>
        <w:t>我办对各分预算部门对绩效目标和考核进行了培训，使各预算科室了解了各自的预算目标和考核方案。自己参与到预算管理之中，为各自预算绩效目标的实现奠定制度基础。</w:t>
      </w:r>
    </w:p>
    <w:p>
      <w:pPr>
        <w:pStyle w:val="26"/>
      </w:pPr>
      <w:r>
        <w:t>2、成立绩效目标和考核领导小组。</w:t>
      </w:r>
    </w:p>
    <w:p>
      <w:pPr>
        <w:pStyle w:val="26"/>
      </w:pPr>
      <w:r>
        <w:t>成立于分管财务的常务副主任曹之波为组长，财务科长魏建生为副组长，各职能科室科长为成员的领导小组，加强领导，分清责任，按财政局规定加强了预算绩效的监督和考核。</w:t>
      </w:r>
    </w:p>
    <w:p>
      <w:pPr>
        <w:pStyle w:val="26"/>
      </w:pPr>
      <w:r>
        <w:t>3、加强绩效运行监控。</w:t>
      </w:r>
    </w:p>
    <w:p>
      <w:pPr>
        <w:pStyle w:val="26"/>
      </w:pPr>
      <w:r>
        <w:t>领导小组要求每月对绩效运行监控，月末报告绩效运行情况，由小组汇总报主管主任。发现问题及时采取措施，确保绩效目标如期保质实现。</w:t>
      </w:r>
    </w:p>
    <w:p>
      <w:pPr>
        <w:pStyle w:val="26"/>
      </w:pPr>
      <w:r>
        <w:t>4、规范财务资产管理。</w:t>
      </w:r>
    </w:p>
    <w:p>
      <w:pPr>
        <w:pStyle w:val="26"/>
      </w:pPr>
      <w:r>
        <w:t>完善财务审批制度，严格按照区委财务制度执行。</w:t>
      </w:r>
    </w:p>
    <w:p>
      <w:pPr>
        <w:pStyle w:val="26"/>
      </w:pPr>
      <w:r>
        <w:t>5、加强宣传培训调研等。</w:t>
      </w:r>
    </w:p>
    <w:p>
      <w:pPr>
        <w:pStyle w:val="26"/>
      </w:pPr>
      <w:r>
        <w:t>每季度对绩效目标和考核小组进行培训学习，总结每季度的绩效运行情况。</w:t>
      </w:r>
    </w:p>
    <w:p>
      <w:pPr>
        <w:pStyle w:val="27"/>
        <w:spacing w:before="0" w:after="0" w:line="240" w:lineRule="auto"/>
        <w:jc w:val="left"/>
        <w:outlineLvl w:val="9"/>
        <w:rPr>
          <w:rFonts w:ascii="方正楷体_GBK" w:hAnsi="方正楷体_GBK" w:eastAsia="方正楷体_GBK" w:cs="方正楷体_GBK"/>
          <w:b/>
          <w:color w:val="000000"/>
          <w:sz w:val="32"/>
        </w:rPr>
      </w:pPr>
    </w:p>
    <w:p>
      <w:pPr>
        <w:pStyle w:val="27"/>
        <w:spacing w:before="0" w:after="0" w:line="240" w:lineRule="auto"/>
        <w:ind w:firstLine="640"/>
        <w:jc w:val="left"/>
        <w:outlineLvl w:val="9"/>
      </w:pPr>
      <w:r>
        <w:rPr>
          <w:rFonts w:ascii="方正楷体_GBK" w:hAnsi="方正楷体_GBK" w:eastAsia="方正楷体_GBK" w:cs="方正楷体_GBK"/>
          <w:b/>
          <w:color w:val="000000"/>
          <w:sz w:val="32"/>
        </w:rPr>
        <w:t>第二部分    预算项目绩效目标</w:t>
      </w:r>
    </w:p>
    <w:p>
      <w:pPr>
        <w:pStyle w:val="27"/>
        <w:spacing w:before="0" w:after="0"/>
        <w:ind w:firstLine="560"/>
        <w:jc w:val="left"/>
        <w:outlineLvl w:val="9"/>
      </w:pPr>
      <w:r>
        <w:rPr>
          <w:rFonts w:ascii="方正仿宋_GBK" w:hAnsi="方正仿宋_GBK" w:eastAsia="方正仿宋_GBK" w:cs="方正仿宋_GBK"/>
          <w:b/>
          <w:color w:val="000000"/>
          <w:sz w:val="28"/>
        </w:rPr>
        <w:t>1、“纠风”活动经费绩效目标表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1.完成“纠风”任务</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印制文件份数</w:t>
            </w:r>
          </w:p>
        </w:tc>
        <w:tc>
          <w:tcPr>
            <w:tcW w:w="2835" w:type="dxa"/>
            <w:vAlign w:val="center"/>
          </w:tcPr>
          <w:p>
            <w:pPr>
              <w:pStyle w:val="29"/>
            </w:pPr>
            <w:r>
              <w:t>打印文件份数</w:t>
            </w:r>
          </w:p>
        </w:tc>
        <w:tc>
          <w:tcPr>
            <w:tcW w:w="2551" w:type="dxa"/>
            <w:vAlign w:val="center"/>
          </w:tcPr>
          <w:p>
            <w:pPr>
              <w:pStyle w:val="29"/>
            </w:pPr>
            <w:r>
              <w:t>≥2000份</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印制质量合格率</w:t>
            </w:r>
          </w:p>
        </w:tc>
        <w:tc>
          <w:tcPr>
            <w:tcW w:w="2835" w:type="dxa"/>
            <w:vAlign w:val="center"/>
          </w:tcPr>
          <w:p>
            <w:pPr>
              <w:pStyle w:val="29"/>
            </w:pPr>
            <w:r>
              <w:t>打印文件质量合格率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打印工作完成率</w:t>
            </w:r>
          </w:p>
        </w:tc>
        <w:tc>
          <w:tcPr>
            <w:tcW w:w="2835" w:type="dxa"/>
            <w:vAlign w:val="center"/>
          </w:tcPr>
          <w:p>
            <w:pPr>
              <w:pStyle w:val="29"/>
            </w:pPr>
            <w:r>
              <w:t>打印文件工作完成率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打印文件成本</w:t>
            </w:r>
          </w:p>
        </w:tc>
        <w:tc>
          <w:tcPr>
            <w:tcW w:w="2835" w:type="dxa"/>
            <w:vAlign w:val="center"/>
          </w:tcPr>
          <w:p>
            <w:pPr>
              <w:pStyle w:val="29"/>
            </w:pPr>
            <w:r>
              <w:t>打印文件费用</w:t>
            </w:r>
          </w:p>
        </w:tc>
        <w:tc>
          <w:tcPr>
            <w:tcW w:w="2551" w:type="dxa"/>
            <w:vAlign w:val="center"/>
          </w:tcPr>
          <w:p>
            <w:pPr>
              <w:pStyle w:val="29"/>
            </w:pPr>
            <w:r>
              <w:t>≤4.5万元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可持续影响指标</w:t>
            </w:r>
          </w:p>
        </w:tc>
        <w:tc>
          <w:tcPr>
            <w:tcW w:w="2835" w:type="dxa"/>
            <w:vAlign w:val="center"/>
          </w:tcPr>
          <w:p>
            <w:pPr>
              <w:pStyle w:val="29"/>
            </w:pPr>
            <w:r>
              <w:t>保障工作顺利开展</w:t>
            </w:r>
          </w:p>
        </w:tc>
        <w:tc>
          <w:tcPr>
            <w:tcW w:w="2835" w:type="dxa"/>
            <w:vAlign w:val="center"/>
          </w:tcPr>
          <w:p>
            <w:pPr>
              <w:pStyle w:val="29"/>
            </w:pPr>
            <w:r>
              <w:t>保障工作正常开展</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服务对象满意度</w:t>
            </w:r>
          </w:p>
        </w:tc>
        <w:tc>
          <w:tcPr>
            <w:tcW w:w="2835" w:type="dxa"/>
            <w:vAlign w:val="center"/>
          </w:tcPr>
          <w:p>
            <w:pPr>
              <w:pStyle w:val="29"/>
            </w:pPr>
            <w:r>
              <w:t>所服务对象满意程度</w:t>
            </w:r>
          </w:p>
        </w:tc>
        <w:tc>
          <w:tcPr>
            <w:tcW w:w="2551" w:type="dxa"/>
            <w:vAlign w:val="center"/>
          </w:tcPr>
          <w:p>
            <w:pPr>
              <w:pStyle w:val="29"/>
            </w:pPr>
            <w:r>
              <w:t>≥98%</w:t>
            </w:r>
          </w:p>
        </w:tc>
        <w:tc>
          <w:tcPr>
            <w:tcW w:w="2268" w:type="dxa"/>
            <w:vAlign w:val="center"/>
          </w:tcPr>
          <w:p>
            <w:pPr>
              <w:pStyle w:val="29"/>
            </w:pPr>
            <w:r>
              <w:t>年度工作计划</w:t>
            </w:r>
          </w:p>
        </w:tc>
      </w:tr>
    </w:tbl>
    <w:p>
      <w:pPr>
        <w:pStyle w:val="27"/>
      </w:pPr>
    </w:p>
    <w:p>
      <w:pPr>
        <w:pStyle w:val="27"/>
      </w:pPr>
    </w:p>
    <w:p>
      <w:pPr>
        <w:pStyle w:val="27"/>
        <w:spacing w:before="0" w:after="0"/>
        <w:ind w:firstLine="560"/>
        <w:jc w:val="left"/>
        <w:outlineLvl w:val="9"/>
      </w:pPr>
      <w:r>
        <w:rPr>
          <w:rFonts w:hint="default" w:ascii="方正仿宋_GBK" w:hAnsi="方正仿宋_GBK" w:eastAsia="方正仿宋_GBK" w:cs="方正仿宋_GBK"/>
          <w:b/>
          <w:color w:val="000000"/>
          <w:sz w:val="28"/>
        </w:rPr>
        <w:t>2</w:t>
      </w:r>
      <w:r>
        <w:rPr>
          <w:rFonts w:ascii="方正仿宋_GBK" w:hAnsi="方正仿宋_GBK" w:eastAsia="方正仿宋_GBK" w:cs="方正仿宋_GBK"/>
          <w:b/>
          <w:color w:val="000000"/>
          <w:sz w:val="28"/>
        </w:rPr>
        <w:t>、档案管理经费绩效目标表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1.完成全区档案管理工作</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印制文件份数</w:t>
            </w:r>
          </w:p>
        </w:tc>
        <w:tc>
          <w:tcPr>
            <w:tcW w:w="2835" w:type="dxa"/>
            <w:vAlign w:val="center"/>
          </w:tcPr>
          <w:p>
            <w:pPr>
              <w:pStyle w:val="29"/>
            </w:pPr>
            <w:r>
              <w:t>打印文件份数</w:t>
            </w:r>
          </w:p>
        </w:tc>
        <w:tc>
          <w:tcPr>
            <w:tcW w:w="2551" w:type="dxa"/>
            <w:vAlign w:val="center"/>
          </w:tcPr>
          <w:p>
            <w:pPr>
              <w:pStyle w:val="29"/>
            </w:pPr>
            <w:r>
              <w:t>≥2000份</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印制质量合格率</w:t>
            </w:r>
          </w:p>
        </w:tc>
        <w:tc>
          <w:tcPr>
            <w:tcW w:w="2835" w:type="dxa"/>
            <w:vAlign w:val="center"/>
          </w:tcPr>
          <w:p>
            <w:pPr>
              <w:pStyle w:val="29"/>
            </w:pPr>
            <w:r>
              <w:t>打印文件质量合格率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打印工作完成率</w:t>
            </w:r>
          </w:p>
        </w:tc>
        <w:tc>
          <w:tcPr>
            <w:tcW w:w="2835" w:type="dxa"/>
            <w:vAlign w:val="center"/>
          </w:tcPr>
          <w:p>
            <w:pPr>
              <w:pStyle w:val="29"/>
            </w:pPr>
            <w:r>
              <w:t>打印文件工作完成率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打印文件成本</w:t>
            </w:r>
          </w:p>
        </w:tc>
        <w:tc>
          <w:tcPr>
            <w:tcW w:w="2835" w:type="dxa"/>
            <w:vAlign w:val="center"/>
          </w:tcPr>
          <w:p>
            <w:pPr>
              <w:pStyle w:val="29"/>
            </w:pPr>
            <w:r>
              <w:t>打印文件费用</w:t>
            </w:r>
          </w:p>
        </w:tc>
        <w:tc>
          <w:tcPr>
            <w:tcW w:w="2551" w:type="dxa"/>
            <w:vAlign w:val="center"/>
          </w:tcPr>
          <w:p>
            <w:pPr>
              <w:pStyle w:val="29"/>
            </w:pPr>
            <w:r>
              <w:t>≤5万元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可持续影响指标</w:t>
            </w:r>
          </w:p>
        </w:tc>
        <w:tc>
          <w:tcPr>
            <w:tcW w:w="2835" w:type="dxa"/>
            <w:vAlign w:val="center"/>
          </w:tcPr>
          <w:p>
            <w:pPr>
              <w:pStyle w:val="29"/>
            </w:pPr>
            <w:r>
              <w:t>保障工作顺利开展</w:t>
            </w:r>
          </w:p>
        </w:tc>
        <w:tc>
          <w:tcPr>
            <w:tcW w:w="2835" w:type="dxa"/>
            <w:vAlign w:val="center"/>
          </w:tcPr>
          <w:p>
            <w:pPr>
              <w:pStyle w:val="29"/>
            </w:pPr>
            <w:r>
              <w:t>保障工作正常开展</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服务对象满意度</w:t>
            </w:r>
          </w:p>
        </w:tc>
        <w:tc>
          <w:tcPr>
            <w:tcW w:w="2835" w:type="dxa"/>
            <w:vAlign w:val="center"/>
          </w:tcPr>
          <w:p>
            <w:pPr>
              <w:pStyle w:val="29"/>
            </w:pPr>
            <w:r>
              <w:t>所服务对象满意程度</w:t>
            </w:r>
          </w:p>
        </w:tc>
        <w:tc>
          <w:tcPr>
            <w:tcW w:w="2551" w:type="dxa"/>
            <w:vAlign w:val="center"/>
          </w:tcPr>
          <w:p>
            <w:pPr>
              <w:pStyle w:val="29"/>
            </w:pPr>
            <w:r>
              <w:t>≥98%</w:t>
            </w:r>
          </w:p>
        </w:tc>
        <w:tc>
          <w:tcPr>
            <w:tcW w:w="2268" w:type="dxa"/>
            <w:vAlign w:val="center"/>
          </w:tcPr>
          <w:p>
            <w:pPr>
              <w:pStyle w:val="29"/>
            </w:pPr>
            <w:r>
              <w:t>年度工作计划</w:t>
            </w:r>
          </w:p>
        </w:tc>
      </w:tr>
    </w:tbl>
    <w:p>
      <w:pPr>
        <w:pStyle w:val="27"/>
      </w:pPr>
    </w:p>
    <w:p>
      <w:pPr>
        <w:pStyle w:val="27"/>
        <w:spacing w:before="0" w:after="0"/>
        <w:ind w:firstLine="560"/>
        <w:jc w:val="left"/>
        <w:outlineLvl w:val="9"/>
      </w:pPr>
      <w:r>
        <w:rPr>
          <w:rFonts w:hint="default" w:ascii="方正仿宋_GBK" w:hAnsi="方正仿宋_GBK" w:eastAsia="方正仿宋_GBK" w:cs="方正仿宋_GBK"/>
          <w:b/>
          <w:color w:val="000000"/>
          <w:sz w:val="28"/>
        </w:rPr>
        <w:t>3</w:t>
      </w:r>
      <w:r>
        <w:rPr>
          <w:rFonts w:ascii="方正仿宋_GBK" w:hAnsi="方正仿宋_GBK" w:eastAsia="方正仿宋_GBK" w:cs="方正仿宋_GBK"/>
          <w:b/>
          <w:color w:val="000000"/>
          <w:sz w:val="28"/>
        </w:rPr>
        <w:t>、地方志年鉴编纂经费绩效目标表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1.完成地方志编纂工作任务</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年鉴份数</w:t>
            </w:r>
          </w:p>
        </w:tc>
        <w:tc>
          <w:tcPr>
            <w:tcW w:w="2835" w:type="dxa"/>
            <w:vAlign w:val="center"/>
          </w:tcPr>
          <w:p>
            <w:pPr>
              <w:pStyle w:val="29"/>
            </w:pPr>
            <w:r>
              <w:t>印制2021卷年鉴份数</w:t>
            </w:r>
          </w:p>
        </w:tc>
        <w:tc>
          <w:tcPr>
            <w:tcW w:w="2551" w:type="dxa"/>
            <w:vAlign w:val="center"/>
          </w:tcPr>
          <w:p>
            <w:pPr>
              <w:pStyle w:val="29"/>
            </w:pPr>
            <w:r>
              <w:t>≥1600份</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年鉴编纂完成率</w:t>
            </w:r>
          </w:p>
        </w:tc>
        <w:tc>
          <w:tcPr>
            <w:tcW w:w="2835" w:type="dxa"/>
            <w:vAlign w:val="center"/>
          </w:tcPr>
          <w:p>
            <w:pPr>
              <w:pStyle w:val="29"/>
            </w:pPr>
            <w:r>
              <w:t>地方志年鉴编纂完成率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资金到位率</w:t>
            </w:r>
          </w:p>
        </w:tc>
        <w:tc>
          <w:tcPr>
            <w:tcW w:w="2835" w:type="dxa"/>
            <w:vAlign w:val="center"/>
          </w:tcPr>
          <w:p>
            <w:pPr>
              <w:pStyle w:val="29"/>
            </w:pPr>
            <w:r>
              <w:t>年鉴编纂经费到位率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年鉴编纂单价</w:t>
            </w:r>
          </w:p>
        </w:tc>
        <w:tc>
          <w:tcPr>
            <w:tcW w:w="2835" w:type="dxa"/>
            <w:vAlign w:val="center"/>
          </w:tcPr>
          <w:p>
            <w:pPr>
              <w:pStyle w:val="29"/>
            </w:pPr>
            <w:r>
              <w:t>印制2022卷年鉴单价</w:t>
            </w:r>
          </w:p>
        </w:tc>
        <w:tc>
          <w:tcPr>
            <w:tcW w:w="2551" w:type="dxa"/>
            <w:vAlign w:val="center"/>
          </w:tcPr>
          <w:p>
            <w:pPr>
              <w:pStyle w:val="29"/>
            </w:pPr>
            <w:r>
              <w:t>根据市场价确定</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可持续影响指标</w:t>
            </w:r>
          </w:p>
        </w:tc>
        <w:tc>
          <w:tcPr>
            <w:tcW w:w="2835" w:type="dxa"/>
            <w:vAlign w:val="center"/>
          </w:tcPr>
          <w:p>
            <w:pPr>
              <w:pStyle w:val="29"/>
            </w:pPr>
            <w:r>
              <w:t>确保地方志工作按时完成</w:t>
            </w:r>
          </w:p>
        </w:tc>
        <w:tc>
          <w:tcPr>
            <w:tcW w:w="2835" w:type="dxa"/>
            <w:vAlign w:val="center"/>
          </w:tcPr>
          <w:p>
            <w:pPr>
              <w:pStyle w:val="29"/>
            </w:pPr>
            <w:r>
              <w:t>确保地方志工作按时完成</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服务对象满意度</w:t>
            </w:r>
          </w:p>
        </w:tc>
        <w:tc>
          <w:tcPr>
            <w:tcW w:w="2835" w:type="dxa"/>
            <w:vAlign w:val="center"/>
          </w:tcPr>
          <w:p>
            <w:pPr>
              <w:pStyle w:val="29"/>
            </w:pPr>
            <w:r>
              <w:t>各单位对地方志年鉴的满意程度</w:t>
            </w:r>
          </w:p>
        </w:tc>
        <w:tc>
          <w:tcPr>
            <w:tcW w:w="2551" w:type="dxa"/>
            <w:vAlign w:val="center"/>
          </w:tcPr>
          <w:p>
            <w:pPr>
              <w:pStyle w:val="29"/>
            </w:pPr>
            <w:r>
              <w:t>≥98%</w:t>
            </w:r>
          </w:p>
        </w:tc>
        <w:tc>
          <w:tcPr>
            <w:tcW w:w="2268" w:type="dxa"/>
            <w:vAlign w:val="center"/>
          </w:tcPr>
          <w:p>
            <w:pPr>
              <w:pStyle w:val="29"/>
            </w:pPr>
            <w:r>
              <w:t>年度工作计划</w:t>
            </w:r>
          </w:p>
        </w:tc>
      </w:tr>
    </w:tbl>
    <w:p>
      <w:pPr>
        <w:pStyle w:val="27"/>
      </w:pPr>
    </w:p>
    <w:p>
      <w:pPr>
        <w:pStyle w:val="27"/>
        <w:spacing w:before="0" w:after="0"/>
        <w:ind w:firstLine="560"/>
        <w:jc w:val="left"/>
        <w:outlineLvl w:val="9"/>
      </w:pPr>
      <w:r>
        <w:rPr>
          <w:rFonts w:hint="default" w:ascii="方正仿宋_GBK" w:hAnsi="方正仿宋_GBK" w:eastAsia="方正仿宋_GBK" w:cs="方正仿宋_GBK"/>
          <w:b/>
          <w:color w:val="000000"/>
          <w:sz w:val="28"/>
        </w:rPr>
        <w:t>4</w:t>
      </w:r>
      <w:r>
        <w:rPr>
          <w:rFonts w:ascii="方正仿宋_GBK" w:hAnsi="方正仿宋_GBK" w:eastAsia="方正仿宋_GBK" w:cs="方正仿宋_GBK"/>
          <w:b/>
          <w:color w:val="000000"/>
          <w:sz w:val="28"/>
        </w:rPr>
        <w:t>、国家安全宣传经费绩效目标表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1.完成国家安全教育宣传任务</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购置展牌数量</w:t>
            </w:r>
          </w:p>
        </w:tc>
        <w:tc>
          <w:tcPr>
            <w:tcW w:w="2835" w:type="dxa"/>
            <w:vAlign w:val="center"/>
          </w:tcPr>
          <w:p>
            <w:pPr>
              <w:pStyle w:val="29"/>
            </w:pPr>
            <w:r>
              <w:t>购置展牌数量</w:t>
            </w:r>
          </w:p>
        </w:tc>
        <w:tc>
          <w:tcPr>
            <w:tcW w:w="2551" w:type="dxa"/>
            <w:vAlign w:val="center"/>
          </w:tcPr>
          <w:p>
            <w:pPr>
              <w:pStyle w:val="29"/>
            </w:pPr>
            <w:r>
              <w:t>≥100块</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展牌质量合格率</w:t>
            </w:r>
          </w:p>
        </w:tc>
        <w:tc>
          <w:tcPr>
            <w:tcW w:w="2835" w:type="dxa"/>
            <w:vAlign w:val="center"/>
          </w:tcPr>
          <w:p>
            <w:pPr>
              <w:pStyle w:val="29"/>
            </w:pPr>
            <w:r>
              <w:t>确保展牌数量合格</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宣传及时率</w:t>
            </w:r>
          </w:p>
        </w:tc>
        <w:tc>
          <w:tcPr>
            <w:tcW w:w="2835" w:type="dxa"/>
            <w:vAlign w:val="center"/>
          </w:tcPr>
          <w:p>
            <w:pPr>
              <w:pStyle w:val="29"/>
            </w:pPr>
            <w:r>
              <w:t>按规定完成对国家安全的宣传</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展牌价格</w:t>
            </w:r>
          </w:p>
        </w:tc>
        <w:tc>
          <w:tcPr>
            <w:tcW w:w="2835" w:type="dxa"/>
            <w:vAlign w:val="center"/>
          </w:tcPr>
          <w:p>
            <w:pPr>
              <w:pStyle w:val="29"/>
            </w:pPr>
            <w:r>
              <w:t>展牌价格</w:t>
            </w:r>
          </w:p>
        </w:tc>
        <w:tc>
          <w:tcPr>
            <w:tcW w:w="2551" w:type="dxa"/>
            <w:vAlign w:val="center"/>
          </w:tcPr>
          <w:p>
            <w:pPr>
              <w:pStyle w:val="29"/>
            </w:pPr>
            <w:r>
              <w:t>≤5万元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可持续影响指标</w:t>
            </w:r>
          </w:p>
        </w:tc>
        <w:tc>
          <w:tcPr>
            <w:tcW w:w="2835" w:type="dxa"/>
            <w:vAlign w:val="center"/>
          </w:tcPr>
          <w:p>
            <w:pPr>
              <w:pStyle w:val="29"/>
            </w:pPr>
            <w:r>
              <w:t>社会影响力</w:t>
            </w:r>
          </w:p>
        </w:tc>
        <w:tc>
          <w:tcPr>
            <w:tcW w:w="2835" w:type="dxa"/>
            <w:vAlign w:val="center"/>
          </w:tcPr>
          <w:p>
            <w:pPr>
              <w:pStyle w:val="29"/>
            </w:pPr>
            <w:r>
              <w:t>社会影响力</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服务对象满意度</w:t>
            </w:r>
          </w:p>
        </w:tc>
        <w:tc>
          <w:tcPr>
            <w:tcW w:w="2835" w:type="dxa"/>
            <w:vAlign w:val="center"/>
          </w:tcPr>
          <w:p>
            <w:pPr>
              <w:pStyle w:val="29"/>
            </w:pPr>
            <w:r>
              <w:t>所提供服务的满意度</w:t>
            </w:r>
          </w:p>
        </w:tc>
        <w:tc>
          <w:tcPr>
            <w:tcW w:w="2551" w:type="dxa"/>
            <w:vAlign w:val="center"/>
          </w:tcPr>
          <w:p>
            <w:pPr>
              <w:pStyle w:val="29"/>
            </w:pPr>
            <w:r>
              <w:t>≥98%</w:t>
            </w:r>
          </w:p>
        </w:tc>
        <w:tc>
          <w:tcPr>
            <w:tcW w:w="2268" w:type="dxa"/>
            <w:vAlign w:val="center"/>
          </w:tcPr>
          <w:p>
            <w:pPr>
              <w:pStyle w:val="29"/>
            </w:pPr>
            <w:r>
              <w:t>年度工作计划</w:t>
            </w:r>
          </w:p>
        </w:tc>
      </w:tr>
    </w:tbl>
    <w:p>
      <w:pPr>
        <w:pStyle w:val="27"/>
      </w:pPr>
    </w:p>
    <w:p>
      <w:pPr>
        <w:pStyle w:val="27"/>
      </w:pPr>
    </w:p>
    <w:p>
      <w:pPr>
        <w:pStyle w:val="27"/>
        <w:spacing w:before="0" w:after="0"/>
        <w:ind w:firstLine="560"/>
        <w:jc w:val="left"/>
        <w:outlineLvl w:val="9"/>
      </w:pPr>
      <w:r>
        <w:rPr>
          <w:rFonts w:hint="default" w:ascii="方正仿宋_GBK" w:hAnsi="方正仿宋_GBK" w:eastAsia="方正仿宋_GBK" w:cs="方正仿宋_GBK"/>
          <w:b/>
          <w:color w:val="000000"/>
          <w:sz w:val="28"/>
        </w:rPr>
        <w:t>5</w:t>
      </w:r>
      <w:r>
        <w:rPr>
          <w:rFonts w:ascii="方正仿宋_GBK" w:hAnsi="方正仿宋_GBK" w:eastAsia="方正仿宋_GBK" w:cs="方正仿宋_GBK"/>
          <w:b/>
          <w:color w:val="000000"/>
          <w:sz w:val="28"/>
        </w:rPr>
        <w:t>、三重四创五优化办公经费绩效目标表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1.完成三重四创五优化任务</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打印文件份数</w:t>
            </w:r>
          </w:p>
        </w:tc>
        <w:tc>
          <w:tcPr>
            <w:tcW w:w="2835" w:type="dxa"/>
            <w:vAlign w:val="center"/>
          </w:tcPr>
          <w:p>
            <w:pPr>
              <w:pStyle w:val="29"/>
            </w:pPr>
            <w:r>
              <w:t>印制文件材料份数</w:t>
            </w:r>
          </w:p>
        </w:tc>
        <w:tc>
          <w:tcPr>
            <w:tcW w:w="2551" w:type="dxa"/>
            <w:vAlign w:val="center"/>
          </w:tcPr>
          <w:p>
            <w:pPr>
              <w:pStyle w:val="29"/>
            </w:pPr>
            <w:r>
              <w:t>≥2000份</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文件质量合格率</w:t>
            </w:r>
          </w:p>
        </w:tc>
        <w:tc>
          <w:tcPr>
            <w:tcW w:w="2835" w:type="dxa"/>
            <w:vAlign w:val="center"/>
          </w:tcPr>
          <w:p>
            <w:pPr>
              <w:pStyle w:val="29"/>
            </w:pPr>
            <w:r>
              <w:t>确保文件质量合格</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按时完成率</w:t>
            </w:r>
          </w:p>
        </w:tc>
        <w:tc>
          <w:tcPr>
            <w:tcW w:w="2835" w:type="dxa"/>
            <w:vAlign w:val="center"/>
          </w:tcPr>
          <w:p>
            <w:pPr>
              <w:pStyle w:val="29"/>
            </w:pPr>
            <w:r>
              <w:t>按时完成工作率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严格控制预算</w:t>
            </w:r>
          </w:p>
        </w:tc>
        <w:tc>
          <w:tcPr>
            <w:tcW w:w="2835" w:type="dxa"/>
            <w:vAlign w:val="center"/>
          </w:tcPr>
          <w:p>
            <w:pPr>
              <w:pStyle w:val="29"/>
            </w:pPr>
            <w:r>
              <w:t>严格控制预算成本</w:t>
            </w:r>
          </w:p>
        </w:tc>
        <w:tc>
          <w:tcPr>
            <w:tcW w:w="2551" w:type="dxa"/>
            <w:vAlign w:val="center"/>
          </w:tcPr>
          <w:p>
            <w:pPr>
              <w:pStyle w:val="29"/>
            </w:pPr>
            <w:r>
              <w:t>≤5万元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可持续影响指标</w:t>
            </w:r>
          </w:p>
        </w:tc>
        <w:tc>
          <w:tcPr>
            <w:tcW w:w="2835" w:type="dxa"/>
            <w:vAlign w:val="center"/>
          </w:tcPr>
          <w:p>
            <w:pPr>
              <w:pStyle w:val="29"/>
            </w:pPr>
            <w:r>
              <w:t>保障工作顺利开展</w:t>
            </w:r>
          </w:p>
        </w:tc>
        <w:tc>
          <w:tcPr>
            <w:tcW w:w="2835" w:type="dxa"/>
            <w:vAlign w:val="center"/>
          </w:tcPr>
          <w:p>
            <w:pPr>
              <w:pStyle w:val="29"/>
            </w:pPr>
            <w:r>
              <w:t>保障工作正常开展</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服务对象满意程度</w:t>
            </w:r>
          </w:p>
        </w:tc>
        <w:tc>
          <w:tcPr>
            <w:tcW w:w="2835" w:type="dxa"/>
            <w:vAlign w:val="center"/>
          </w:tcPr>
          <w:p>
            <w:pPr>
              <w:pStyle w:val="29"/>
            </w:pPr>
            <w:r>
              <w:t>所提供服务的满意度</w:t>
            </w:r>
          </w:p>
        </w:tc>
        <w:tc>
          <w:tcPr>
            <w:tcW w:w="2551" w:type="dxa"/>
            <w:vAlign w:val="center"/>
          </w:tcPr>
          <w:p>
            <w:pPr>
              <w:pStyle w:val="29"/>
            </w:pPr>
            <w:r>
              <w:t>≥98%</w:t>
            </w:r>
          </w:p>
        </w:tc>
        <w:tc>
          <w:tcPr>
            <w:tcW w:w="2268" w:type="dxa"/>
            <w:vAlign w:val="center"/>
          </w:tcPr>
          <w:p>
            <w:pPr>
              <w:pStyle w:val="29"/>
            </w:pPr>
            <w:r>
              <w:t>年度工作计划</w:t>
            </w:r>
          </w:p>
        </w:tc>
      </w:tr>
    </w:tbl>
    <w:p>
      <w:pPr>
        <w:pStyle w:val="27"/>
      </w:pPr>
    </w:p>
    <w:p>
      <w:pPr>
        <w:pStyle w:val="27"/>
        <w:spacing w:before="0" w:after="0"/>
        <w:ind w:firstLine="560"/>
        <w:jc w:val="left"/>
        <w:outlineLvl w:val="9"/>
      </w:pPr>
      <w:r>
        <w:rPr>
          <w:rFonts w:hint="default" w:ascii="方正仿宋_GBK" w:hAnsi="方正仿宋_GBK" w:eastAsia="方正仿宋_GBK" w:cs="方正仿宋_GBK"/>
          <w:b/>
          <w:color w:val="000000"/>
          <w:sz w:val="28"/>
        </w:rPr>
        <w:t>6</w:t>
      </w:r>
      <w:r>
        <w:rPr>
          <w:rFonts w:ascii="方正仿宋_GBK" w:hAnsi="方正仿宋_GBK" w:eastAsia="方正仿宋_GBK" w:cs="方正仿宋_GBK"/>
          <w:b/>
          <w:color w:val="000000"/>
          <w:sz w:val="28"/>
        </w:rPr>
        <w:t>、省委应急值守综合指挥调度平台运营费绩效目标表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1.完成省委应急值守综合指挥调度平台运营任务</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系统覆盖率</w:t>
            </w:r>
          </w:p>
        </w:tc>
        <w:tc>
          <w:tcPr>
            <w:tcW w:w="2835" w:type="dxa"/>
            <w:vAlign w:val="center"/>
          </w:tcPr>
          <w:p>
            <w:pPr>
              <w:pStyle w:val="29"/>
            </w:pPr>
            <w:r>
              <w:t>系统覆盖率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平台运营良好</w:t>
            </w:r>
          </w:p>
        </w:tc>
        <w:tc>
          <w:tcPr>
            <w:tcW w:w="2835" w:type="dxa"/>
            <w:vAlign w:val="center"/>
          </w:tcPr>
          <w:p>
            <w:pPr>
              <w:pStyle w:val="29"/>
            </w:pPr>
            <w:r>
              <w:t>平台发生故障时间少</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平台运营及时率</w:t>
            </w:r>
          </w:p>
        </w:tc>
        <w:tc>
          <w:tcPr>
            <w:tcW w:w="2835" w:type="dxa"/>
            <w:vAlign w:val="center"/>
          </w:tcPr>
          <w:p>
            <w:pPr>
              <w:pStyle w:val="29"/>
            </w:pPr>
            <w:r>
              <w:t>平台及时运营</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预算成本</w:t>
            </w:r>
          </w:p>
        </w:tc>
        <w:tc>
          <w:tcPr>
            <w:tcW w:w="2835" w:type="dxa"/>
            <w:vAlign w:val="center"/>
          </w:tcPr>
          <w:p>
            <w:pPr>
              <w:pStyle w:val="29"/>
            </w:pPr>
            <w:r>
              <w:t>严格控制预算成本</w:t>
            </w:r>
          </w:p>
        </w:tc>
        <w:tc>
          <w:tcPr>
            <w:tcW w:w="2551" w:type="dxa"/>
            <w:vAlign w:val="center"/>
          </w:tcPr>
          <w:p>
            <w:pPr>
              <w:pStyle w:val="29"/>
            </w:pPr>
            <w:r>
              <w:t>≤5万元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可持续影响指标</w:t>
            </w:r>
          </w:p>
        </w:tc>
        <w:tc>
          <w:tcPr>
            <w:tcW w:w="2835" w:type="dxa"/>
            <w:vAlign w:val="center"/>
          </w:tcPr>
          <w:p>
            <w:pPr>
              <w:pStyle w:val="29"/>
            </w:pPr>
            <w:r>
              <w:t>平台运营良好运转</w:t>
            </w:r>
          </w:p>
        </w:tc>
        <w:tc>
          <w:tcPr>
            <w:tcW w:w="2835" w:type="dxa"/>
            <w:vAlign w:val="center"/>
          </w:tcPr>
          <w:p>
            <w:pPr>
              <w:pStyle w:val="29"/>
            </w:pPr>
            <w:r>
              <w:t>平台良好运营，工作顺利开展</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服务对象满意度</w:t>
            </w:r>
          </w:p>
        </w:tc>
        <w:tc>
          <w:tcPr>
            <w:tcW w:w="2835" w:type="dxa"/>
            <w:vAlign w:val="center"/>
          </w:tcPr>
          <w:p>
            <w:pPr>
              <w:pStyle w:val="29"/>
            </w:pPr>
            <w:r>
              <w:t>对平台运营的满意度</w:t>
            </w:r>
          </w:p>
        </w:tc>
        <w:tc>
          <w:tcPr>
            <w:tcW w:w="2551" w:type="dxa"/>
            <w:vAlign w:val="center"/>
          </w:tcPr>
          <w:p>
            <w:pPr>
              <w:pStyle w:val="29"/>
            </w:pPr>
            <w:r>
              <w:t>≥98%</w:t>
            </w:r>
          </w:p>
        </w:tc>
        <w:tc>
          <w:tcPr>
            <w:tcW w:w="2268" w:type="dxa"/>
            <w:vAlign w:val="center"/>
          </w:tcPr>
          <w:p>
            <w:pPr>
              <w:pStyle w:val="29"/>
            </w:pPr>
            <w:r>
              <w:t>年度工作计划</w:t>
            </w:r>
          </w:p>
        </w:tc>
      </w:tr>
    </w:tbl>
    <w:p>
      <w:pPr>
        <w:pStyle w:val="27"/>
      </w:pPr>
    </w:p>
    <w:p>
      <w:pPr>
        <w:pStyle w:val="27"/>
        <w:spacing w:before="0" w:after="0"/>
        <w:ind w:firstLine="560"/>
        <w:jc w:val="left"/>
        <w:outlineLvl w:val="9"/>
        <w:rPr>
          <w:rFonts w:hint="default" w:ascii="方正仿宋_GBK" w:hAnsi="方正仿宋_GBK" w:eastAsia="方正仿宋_GBK" w:cs="方正仿宋_GBK"/>
          <w:b/>
          <w:color w:val="000000"/>
          <w:sz w:val="28"/>
        </w:rPr>
      </w:pPr>
    </w:p>
    <w:p>
      <w:pPr>
        <w:pStyle w:val="27"/>
        <w:spacing w:before="0" w:after="0"/>
        <w:ind w:firstLine="560"/>
        <w:jc w:val="left"/>
        <w:outlineLvl w:val="9"/>
      </w:pPr>
      <w:r>
        <w:rPr>
          <w:rFonts w:hint="default" w:ascii="方正仿宋_GBK" w:hAnsi="方正仿宋_GBK" w:eastAsia="方正仿宋_GBK" w:cs="方正仿宋_GBK"/>
          <w:b/>
          <w:color w:val="000000"/>
          <w:sz w:val="28"/>
        </w:rPr>
        <w:t>7</w:t>
      </w:r>
      <w:r>
        <w:rPr>
          <w:rFonts w:ascii="方正仿宋_GBK" w:hAnsi="方正仿宋_GBK" w:eastAsia="方正仿宋_GBK" w:cs="方正仿宋_GBK"/>
          <w:b/>
          <w:color w:val="000000"/>
          <w:sz w:val="28"/>
        </w:rPr>
        <w:t>、市级应急值守平台运营费绩效目标表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1.完成市级应急值守平台运营任务</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系统覆盖率</w:t>
            </w:r>
          </w:p>
        </w:tc>
        <w:tc>
          <w:tcPr>
            <w:tcW w:w="2835" w:type="dxa"/>
            <w:vAlign w:val="center"/>
          </w:tcPr>
          <w:p>
            <w:pPr>
              <w:pStyle w:val="29"/>
            </w:pPr>
            <w:r>
              <w:t>系统覆盖率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平台运营良好</w:t>
            </w:r>
          </w:p>
        </w:tc>
        <w:tc>
          <w:tcPr>
            <w:tcW w:w="2835" w:type="dxa"/>
            <w:vAlign w:val="center"/>
          </w:tcPr>
          <w:p>
            <w:pPr>
              <w:pStyle w:val="29"/>
            </w:pPr>
            <w:r>
              <w:t>平台发生故障时间少</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平台运营及时率</w:t>
            </w:r>
          </w:p>
        </w:tc>
        <w:tc>
          <w:tcPr>
            <w:tcW w:w="2835" w:type="dxa"/>
            <w:vAlign w:val="center"/>
          </w:tcPr>
          <w:p>
            <w:pPr>
              <w:pStyle w:val="29"/>
            </w:pPr>
            <w:r>
              <w:t>平台及时运营</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预算成本</w:t>
            </w:r>
          </w:p>
        </w:tc>
        <w:tc>
          <w:tcPr>
            <w:tcW w:w="2835" w:type="dxa"/>
            <w:vAlign w:val="center"/>
          </w:tcPr>
          <w:p>
            <w:pPr>
              <w:pStyle w:val="29"/>
            </w:pPr>
            <w:r>
              <w:t>严格控制预算成本</w:t>
            </w:r>
          </w:p>
        </w:tc>
        <w:tc>
          <w:tcPr>
            <w:tcW w:w="2551" w:type="dxa"/>
            <w:vAlign w:val="center"/>
          </w:tcPr>
          <w:p>
            <w:pPr>
              <w:pStyle w:val="29"/>
            </w:pPr>
            <w:r>
              <w:t>≤1.8万元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可持续影响指标</w:t>
            </w:r>
          </w:p>
        </w:tc>
        <w:tc>
          <w:tcPr>
            <w:tcW w:w="2835" w:type="dxa"/>
            <w:vAlign w:val="center"/>
          </w:tcPr>
          <w:p>
            <w:pPr>
              <w:pStyle w:val="29"/>
            </w:pPr>
            <w:r>
              <w:t>平台运营良好运转</w:t>
            </w:r>
          </w:p>
        </w:tc>
        <w:tc>
          <w:tcPr>
            <w:tcW w:w="2835" w:type="dxa"/>
            <w:vAlign w:val="center"/>
          </w:tcPr>
          <w:p>
            <w:pPr>
              <w:pStyle w:val="29"/>
            </w:pPr>
            <w:r>
              <w:t>平台良好运营</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服务对象满意度</w:t>
            </w:r>
          </w:p>
        </w:tc>
        <w:tc>
          <w:tcPr>
            <w:tcW w:w="2835" w:type="dxa"/>
            <w:vAlign w:val="center"/>
          </w:tcPr>
          <w:p>
            <w:pPr>
              <w:pStyle w:val="29"/>
            </w:pPr>
            <w:r>
              <w:t>对平台运营的满意度</w:t>
            </w:r>
          </w:p>
        </w:tc>
        <w:tc>
          <w:tcPr>
            <w:tcW w:w="2551" w:type="dxa"/>
            <w:vAlign w:val="center"/>
          </w:tcPr>
          <w:p>
            <w:pPr>
              <w:pStyle w:val="29"/>
            </w:pPr>
            <w:r>
              <w:t>≥98%</w:t>
            </w:r>
          </w:p>
        </w:tc>
        <w:tc>
          <w:tcPr>
            <w:tcW w:w="2268" w:type="dxa"/>
            <w:vAlign w:val="center"/>
          </w:tcPr>
          <w:p>
            <w:pPr>
              <w:pStyle w:val="29"/>
            </w:pPr>
            <w:r>
              <w:t>年度工作计划</w:t>
            </w:r>
          </w:p>
        </w:tc>
      </w:tr>
    </w:tbl>
    <w:p>
      <w:pPr>
        <w:pStyle w:val="27"/>
      </w:pPr>
    </w:p>
    <w:p>
      <w:pPr>
        <w:pStyle w:val="27"/>
        <w:spacing w:before="0" w:after="0"/>
        <w:ind w:firstLine="560"/>
        <w:jc w:val="left"/>
        <w:outlineLvl w:val="9"/>
      </w:pPr>
      <w:r>
        <w:rPr>
          <w:rFonts w:hint="default" w:ascii="方正仿宋_GBK" w:hAnsi="方正仿宋_GBK" w:eastAsia="方正仿宋_GBK" w:cs="方正仿宋_GBK"/>
          <w:b/>
          <w:color w:val="000000"/>
          <w:sz w:val="28"/>
        </w:rPr>
        <w:t>8</w:t>
      </w:r>
      <w:r>
        <w:rPr>
          <w:rFonts w:ascii="方正仿宋_GBK" w:hAnsi="方正仿宋_GBK" w:eastAsia="方正仿宋_GBK" w:cs="方正仿宋_GBK"/>
          <w:b/>
          <w:color w:val="000000"/>
          <w:sz w:val="28"/>
        </w:rPr>
        <w:t>、新型决策咨询智库运营经费绩效目标表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1.完成新型决策咨询智库工作任务</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办公耗材数量</w:t>
            </w:r>
          </w:p>
        </w:tc>
        <w:tc>
          <w:tcPr>
            <w:tcW w:w="2835" w:type="dxa"/>
            <w:vAlign w:val="center"/>
          </w:tcPr>
          <w:p>
            <w:pPr>
              <w:pStyle w:val="29"/>
            </w:pPr>
            <w:r>
              <w:t>购置办公产品数量</w:t>
            </w:r>
          </w:p>
        </w:tc>
        <w:tc>
          <w:tcPr>
            <w:tcW w:w="2551" w:type="dxa"/>
            <w:vAlign w:val="center"/>
          </w:tcPr>
          <w:p>
            <w:pPr>
              <w:pStyle w:val="29"/>
            </w:pPr>
            <w:r>
              <w:t>≥500份</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工作完成率</w:t>
            </w:r>
          </w:p>
        </w:tc>
        <w:tc>
          <w:tcPr>
            <w:tcW w:w="2835" w:type="dxa"/>
            <w:vAlign w:val="center"/>
          </w:tcPr>
          <w:p>
            <w:pPr>
              <w:pStyle w:val="29"/>
            </w:pPr>
            <w:r>
              <w:t>智库工作完成率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资金到位率</w:t>
            </w:r>
          </w:p>
        </w:tc>
        <w:tc>
          <w:tcPr>
            <w:tcW w:w="2835" w:type="dxa"/>
            <w:vAlign w:val="center"/>
          </w:tcPr>
          <w:p>
            <w:pPr>
              <w:pStyle w:val="29"/>
            </w:pPr>
            <w:r>
              <w:t>资金及时到位率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预算成本</w:t>
            </w:r>
          </w:p>
        </w:tc>
        <w:tc>
          <w:tcPr>
            <w:tcW w:w="2835" w:type="dxa"/>
            <w:vAlign w:val="center"/>
          </w:tcPr>
          <w:p>
            <w:pPr>
              <w:pStyle w:val="29"/>
            </w:pPr>
            <w:r>
              <w:t>严格控制预算成本</w:t>
            </w:r>
          </w:p>
        </w:tc>
        <w:tc>
          <w:tcPr>
            <w:tcW w:w="2551" w:type="dxa"/>
            <w:vAlign w:val="center"/>
          </w:tcPr>
          <w:p>
            <w:pPr>
              <w:pStyle w:val="29"/>
            </w:pPr>
            <w:r>
              <w:t>≤50万元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可持续影响指标</w:t>
            </w:r>
          </w:p>
        </w:tc>
        <w:tc>
          <w:tcPr>
            <w:tcW w:w="2835" w:type="dxa"/>
            <w:vAlign w:val="center"/>
          </w:tcPr>
          <w:p>
            <w:pPr>
              <w:pStyle w:val="29"/>
            </w:pPr>
            <w:r>
              <w:t>保障工作正常开展</w:t>
            </w:r>
          </w:p>
        </w:tc>
        <w:tc>
          <w:tcPr>
            <w:tcW w:w="2835" w:type="dxa"/>
            <w:vAlign w:val="center"/>
          </w:tcPr>
          <w:p>
            <w:pPr>
              <w:pStyle w:val="29"/>
            </w:pPr>
            <w:r>
              <w:t>保障智库工作正常开展</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服务对象满意度</w:t>
            </w:r>
          </w:p>
        </w:tc>
        <w:tc>
          <w:tcPr>
            <w:tcW w:w="2835" w:type="dxa"/>
            <w:vAlign w:val="center"/>
          </w:tcPr>
          <w:p>
            <w:pPr>
              <w:pStyle w:val="29"/>
            </w:pPr>
            <w:r>
              <w:t>所提供服务的满意度</w:t>
            </w:r>
          </w:p>
        </w:tc>
        <w:tc>
          <w:tcPr>
            <w:tcW w:w="2551" w:type="dxa"/>
            <w:vAlign w:val="center"/>
          </w:tcPr>
          <w:p>
            <w:pPr>
              <w:pStyle w:val="29"/>
            </w:pPr>
            <w:r>
              <w:t>≥98%</w:t>
            </w:r>
          </w:p>
        </w:tc>
        <w:tc>
          <w:tcPr>
            <w:tcW w:w="2268" w:type="dxa"/>
            <w:vAlign w:val="center"/>
          </w:tcPr>
          <w:p>
            <w:pPr>
              <w:pStyle w:val="29"/>
            </w:pPr>
            <w:r>
              <w:t>年度工作计划</w:t>
            </w:r>
          </w:p>
        </w:tc>
      </w:tr>
    </w:tbl>
    <w:p>
      <w:pPr>
        <w:pStyle w:val="27"/>
      </w:pPr>
    </w:p>
    <w:p>
      <w:pPr>
        <w:pStyle w:val="27"/>
        <w:spacing w:before="0" w:after="0"/>
        <w:ind w:firstLine="560"/>
        <w:jc w:val="left"/>
        <w:outlineLvl w:val="9"/>
        <w:rPr>
          <w:rFonts w:ascii="方正仿宋_GBK" w:hAnsi="方正仿宋_GBK" w:eastAsia="方正仿宋_GBK" w:cs="方正仿宋_GBK"/>
          <w:b/>
          <w:color w:val="000000"/>
          <w:sz w:val="28"/>
        </w:rPr>
      </w:pPr>
    </w:p>
    <w:p>
      <w:pPr>
        <w:pStyle w:val="27"/>
        <w:spacing w:before="0" w:after="0"/>
        <w:ind w:firstLine="560"/>
        <w:jc w:val="left"/>
        <w:outlineLvl w:val="9"/>
        <w:rPr>
          <w:rFonts w:ascii="方正仿宋_GBK" w:hAnsi="方正仿宋_GBK" w:eastAsia="方正仿宋_GBK" w:cs="方正仿宋_GBK"/>
          <w:b/>
          <w:color w:val="000000"/>
          <w:sz w:val="28"/>
        </w:rPr>
      </w:pPr>
    </w:p>
    <w:p>
      <w:pPr>
        <w:pStyle w:val="27"/>
        <w:spacing w:before="0" w:after="0"/>
        <w:ind w:firstLine="560"/>
        <w:jc w:val="left"/>
        <w:outlineLvl w:val="9"/>
      </w:pPr>
      <w:r>
        <w:rPr>
          <w:rFonts w:hint="default" w:ascii="方正仿宋_GBK" w:hAnsi="方正仿宋_GBK" w:eastAsia="方正仿宋_GBK" w:cs="方正仿宋_GBK"/>
          <w:b/>
          <w:color w:val="000000"/>
          <w:sz w:val="28"/>
        </w:rPr>
        <w:t>9</w:t>
      </w:r>
      <w:r>
        <w:rPr>
          <w:rFonts w:ascii="方正仿宋_GBK" w:hAnsi="方正仿宋_GBK" w:eastAsia="方正仿宋_GBK" w:cs="方正仿宋_GBK"/>
          <w:b/>
          <w:color w:val="000000"/>
          <w:sz w:val="28"/>
        </w:rPr>
        <w:t>、应急保障公务用车绩效目标表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1.购置应急保障公务用车</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购买公车数量</w:t>
            </w:r>
          </w:p>
        </w:tc>
        <w:tc>
          <w:tcPr>
            <w:tcW w:w="2835" w:type="dxa"/>
            <w:vAlign w:val="center"/>
          </w:tcPr>
          <w:p>
            <w:pPr>
              <w:pStyle w:val="29"/>
            </w:pPr>
            <w:r>
              <w:t>购买公车的数量</w:t>
            </w:r>
          </w:p>
        </w:tc>
        <w:tc>
          <w:tcPr>
            <w:tcW w:w="2551" w:type="dxa"/>
            <w:vAlign w:val="center"/>
          </w:tcPr>
          <w:p>
            <w:pPr>
              <w:pStyle w:val="29"/>
            </w:pPr>
            <w:r>
              <w:t>3辆</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公车质量合格率</w:t>
            </w:r>
          </w:p>
        </w:tc>
        <w:tc>
          <w:tcPr>
            <w:tcW w:w="2835" w:type="dxa"/>
            <w:vAlign w:val="center"/>
          </w:tcPr>
          <w:p>
            <w:pPr>
              <w:pStyle w:val="29"/>
            </w:pPr>
            <w:r>
              <w:t>公车质量的合格率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资金到位率</w:t>
            </w:r>
          </w:p>
        </w:tc>
        <w:tc>
          <w:tcPr>
            <w:tcW w:w="2835" w:type="dxa"/>
            <w:vAlign w:val="center"/>
          </w:tcPr>
          <w:p>
            <w:pPr>
              <w:pStyle w:val="29"/>
            </w:pPr>
            <w:r>
              <w:t>资金的到位率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预算成本</w:t>
            </w:r>
          </w:p>
        </w:tc>
        <w:tc>
          <w:tcPr>
            <w:tcW w:w="2835" w:type="dxa"/>
            <w:vAlign w:val="center"/>
          </w:tcPr>
          <w:p>
            <w:pPr>
              <w:pStyle w:val="29"/>
            </w:pPr>
            <w:r>
              <w:t>控制预算成本</w:t>
            </w:r>
          </w:p>
        </w:tc>
        <w:tc>
          <w:tcPr>
            <w:tcW w:w="2551" w:type="dxa"/>
            <w:vAlign w:val="center"/>
          </w:tcPr>
          <w:p>
            <w:pPr>
              <w:pStyle w:val="29"/>
            </w:pPr>
            <w:r>
              <w:t>≤81万元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可持续影响指标</w:t>
            </w:r>
          </w:p>
        </w:tc>
        <w:tc>
          <w:tcPr>
            <w:tcW w:w="2835" w:type="dxa"/>
            <w:vAlign w:val="center"/>
          </w:tcPr>
          <w:p>
            <w:pPr>
              <w:pStyle w:val="29"/>
            </w:pPr>
            <w:r>
              <w:t>保障工作正常开展</w:t>
            </w:r>
          </w:p>
        </w:tc>
        <w:tc>
          <w:tcPr>
            <w:tcW w:w="2835" w:type="dxa"/>
            <w:vAlign w:val="center"/>
          </w:tcPr>
          <w:p>
            <w:pPr>
              <w:pStyle w:val="29"/>
            </w:pPr>
            <w:r>
              <w:t>保障工作顺利开展</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服务对象满意度</w:t>
            </w:r>
          </w:p>
        </w:tc>
        <w:tc>
          <w:tcPr>
            <w:tcW w:w="2835" w:type="dxa"/>
            <w:vAlign w:val="center"/>
          </w:tcPr>
          <w:p>
            <w:pPr>
              <w:pStyle w:val="29"/>
            </w:pPr>
            <w:r>
              <w:t>所服务对象的满意度</w:t>
            </w:r>
          </w:p>
        </w:tc>
        <w:tc>
          <w:tcPr>
            <w:tcW w:w="2551" w:type="dxa"/>
            <w:vAlign w:val="center"/>
          </w:tcPr>
          <w:p>
            <w:pPr>
              <w:pStyle w:val="29"/>
            </w:pPr>
            <w:r>
              <w:t>≥98%</w:t>
            </w:r>
          </w:p>
        </w:tc>
        <w:tc>
          <w:tcPr>
            <w:tcW w:w="2268" w:type="dxa"/>
            <w:vAlign w:val="center"/>
          </w:tcPr>
          <w:p>
            <w:pPr>
              <w:pStyle w:val="29"/>
            </w:pPr>
            <w:r>
              <w:t>年度工作计划</w:t>
            </w:r>
          </w:p>
        </w:tc>
      </w:tr>
    </w:tbl>
    <w:p>
      <w:pPr>
        <w:pStyle w:val="27"/>
      </w:pPr>
    </w:p>
    <w:p>
      <w:pPr>
        <w:pStyle w:val="27"/>
        <w:spacing w:before="0" w:after="0"/>
        <w:ind w:firstLine="560"/>
        <w:jc w:val="left"/>
        <w:outlineLvl w:val="9"/>
      </w:pPr>
      <w:r>
        <w:rPr>
          <w:rFonts w:hint="default" w:ascii="方正仿宋_GBK" w:hAnsi="方正仿宋_GBK" w:eastAsia="方正仿宋_GBK" w:cs="方正仿宋_GBK"/>
          <w:b/>
          <w:color w:val="000000"/>
          <w:sz w:val="28"/>
        </w:rPr>
        <w:t>10</w:t>
      </w:r>
      <w:r>
        <w:rPr>
          <w:rFonts w:ascii="方正仿宋_GBK" w:hAnsi="方正仿宋_GBK" w:eastAsia="方正仿宋_GBK" w:cs="方正仿宋_GBK"/>
          <w:b/>
          <w:color w:val="000000"/>
          <w:sz w:val="28"/>
        </w:rPr>
        <w:t>、深化改革管理系统维护费绩效目标表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1.完成深化改革管理系统维护工作</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系统覆盖率</w:t>
            </w:r>
          </w:p>
        </w:tc>
        <w:tc>
          <w:tcPr>
            <w:tcW w:w="2835" w:type="dxa"/>
            <w:vAlign w:val="center"/>
          </w:tcPr>
          <w:p>
            <w:pPr>
              <w:pStyle w:val="29"/>
            </w:pPr>
            <w:r>
              <w:t>系统使用覆盖率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故障排除率</w:t>
            </w:r>
          </w:p>
        </w:tc>
        <w:tc>
          <w:tcPr>
            <w:tcW w:w="2835" w:type="dxa"/>
            <w:vAlign w:val="center"/>
          </w:tcPr>
          <w:p>
            <w:pPr>
              <w:pStyle w:val="29"/>
            </w:pPr>
            <w:r>
              <w:t>系统故障排除率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系统完成率</w:t>
            </w:r>
          </w:p>
        </w:tc>
        <w:tc>
          <w:tcPr>
            <w:tcW w:w="2835" w:type="dxa"/>
            <w:vAlign w:val="center"/>
          </w:tcPr>
          <w:p>
            <w:pPr>
              <w:pStyle w:val="29"/>
            </w:pPr>
            <w:r>
              <w:t>系统按时完成率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预算成本</w:t>
            </w:r>
          </w:p>
        </w:tc>
        <w:tc>
          <w:tcPr>
            <w:tcW w:w="2835" w:type="dxa"/>
            <w:vAlign w:val="center"/>
          </w:tcPr>
          <w:p>
            <w:pPr>
              <w:pStyle w:val="29"/>
            </w:pPr>
            <w:r>
              <w:t>严格控制预算成本</w:t>
            </w:r>
          </w:p>
        </w:tc>
        <w:tc>
          <w:tcPr>
            <w:tcW w:w="2551" w:type="dxa"/>
            <w:vAlign w:val="center"/>
          </w:tcPr>
          <w:p>
            <w:pPr>
              <w:pStyle w:val="29"/>
            </w:pPr>
            <w:r>
              <w:t>≤5万元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可持续影响指标</w:t>
            </w:r>
          </w:p>
        </w:tc>
        <w:tc>
          <w:tcPr>
            <w:tcW w:w="2835" w:type="dxa"/>
            <w:vAlign w:val="center"/>
          </w:tcPr>
          <w:p>
            <w:pPr>
              <w:pStyle w:val="29"/>
            </w:pPr>
            <w:r>
              <w:t>保障系统正常运转</w:t>
            </w:r>
          </w:p>
        </w:tc>
        <w:tc>
          <w:tcPr>
            <w:tcW w:w="2835" w:type="dxa"/>
            <w:vAlign w:val="center"/>
          </w:tcPr>
          <w:p>
            <w:pPr>
              <w:pStyle w:val="29"/>
            </w:pPr>
            <w:r>
              <w:t>保障系统正常运转</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用户使用满意度</w:t>
            </w:r>
          </w:p>
        </w:tc>
        <w:tc>
          <w:tcPr>
            <w:tcW w:w="2835" w:type="dxa"/>
            <w:vAlign w:val="center"/>
          </w:tcPr>
          <w:p>
            <w:pPr>
              <w:pStyle w:val="29"/>
            </w:pPr>
            <w:r>
              <w:t>用户使用平台的满意度</w:t>
            </w:r>
          </w:p>
        </w:tc>
        <w:tc>
          <w:tcPr>
            <w:tcW w:w="2551" w:type="dxa"/>
            <w:vAlign w:val="center"/>
          </w:tcPr>
          <w:p>
            <w:pPr>
              <w:pStyle w:val="29"/>
            </w:pPr>
            <w:r>
              <w:t>≥98%</w:t>
            </w:r>
          </w:p>
        </w:tc>
        <w:tc>
          <w:tcPr>
            <w:tcW w:w="2268" w:type="dxa"/>
            <w:vAlign w:val="center"/>
          </w:tcPr>
          <w:p>
            <w:pPr>
              <w:pStyle w:val="29"/>
            </w:pPr>
            <w:r>
              <w:t>年度工作计划</w:t>
            </w:r>
          </w:p>
        </w:tc>
      </w:tr>
    </w:tbl>
    <w:p>
      <w:pPr>
        <w:pStyle w:val="27"/>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4" w:name="_Toc51170230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2022年，中共石家庄市藁城区委员会办公室安排政府采购预算81.00万元。具体内容见下表。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3"/>
        <w:gridCol w:w="765"/>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202中共石家庄市藁城区委员会办公室</w:t>
            </w:r>
          </w:p>
        </w:tc>
        <w:tc>
          <w:tcPr>
            <w:tcW w:w="8316" w:type="dxa"/>
            <w:gridSpan w:val="9"/>
            <w:tcBorders>
              <w:top w:val="single" w:color="FFFFFF" w:sz="6" w:space="0"/>
              <w:left w:val="single" w:color="FFFFFF" w:sz="6" w:space="0"/>
              <w:right w:val="single" w:color="FFFFFF" w:sz="6" w:space="0"/>
            </w:tcBorders>
            <w:vAlign w:val="center"/>
          </w:tcPr>
          <w:p>
            <w:pPr>
              <w:pStyle w:val="3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083" w:type="dxa"/>
            <w:vAlign w:val="center"/>
          </w:tcPr>
          <w:p>
            <w:pPr>
              <w:pStyle w:val="13"/>
            </w:pPr>
            <w:r>
              <w:t>项目名称</w:t>
            </w:r>
          </w:p>
        </w:tc>
        <w:tc>
          <w:tcPr>
            <w:tcW w:w="765"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83" w:type="dxa"/>
            <w:vAlign w:val="center"/>
          </w:tcPr>
          <w:p>
            <w:pPr>
              <w:pStyle w:val="17"/>
            </w:pPr>
            <w:r>
              <w:t>合  计</w:t>
            </w:r>
          </w:p>
        </w:tc>
        <w:tc>
          <w:tcPr>
            <w:tcW w:w="765"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8"/>
            </w:pPr>
            <w:r>
              <w:t>81.00</w:t>
            </w:r>
          </w:p>
        </w:tc>
        <w:tc>
          <w:tcPr>
            <w:tcW w:w="924" w:type="dxa"/>
            <w:vAlign w:val="center"/>
          </w:tcPr>
          <w:p>
            <w:pPr>
              <w:pStyle w:val="18"/>
            </w:pPr>
            <w:r>
              <w:t>81.00</w:t>
            </w: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215" w:hRule="atLeast"/>
          <w:jc w:val="center"/>
        </w:trPr>
        <w:tc>
          <w:tcPr>
            <w:tcW w:w="1083" w:type="dxa"/>
            <w:vAlign w:val="center"/>
          </w:tcPr>
          <w:p>
            <w:pPr>
              <w:pStyle w:val="17"/>
            </w:pPr>
            <w:r>
              <w:t>中共石家庄市藁城区委员会办公室本级小计</w:t>
            </w:r>
          </w:p>
        </w:tc>
        <w:tc>
          <w:tcPr>
            <w:tcW w:w="765"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8"/>
            </w:pPr>
            <w:r>
              <w:t>81.00</w:t>
            </w:r>
          </w:p>
        </w:tc>
        <w:tc>
          <w:tcPr>
            <w:tcW w:w="924" w:type="dxa"/>
            <w:vAlign w:val="center"/>
          </w:tcPr>
          <w:p>
            <w:pPr>
              <w:pStyle w:val="18"/>
            </w:pPr>
            <w:r>
              <w:t>81.00</w:t>
            </w: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83" w:type="dxa"/>
            <w:vAlign w:val="center"/>
          </w:tcPr>
          <w:p>
            <w:pPr>
              <w:pStyle w:val="15"/>
            </w:pPr>
            <w:r>
              <w:t>应急保障公务用车</w:t>
            </w:r>
          </w:p>
        </w:tc>
        <w:tc>
          <w:tcPr>
            <w:tcW w:w="765" w:type="dxa"/>
            <w:vAlign w:val="center"/>
          </w:tcPr>
          <w:p>
            <w:pPr>
              <w:pStyle w:val="14"/>
            </w:pPr>
            <w:r>
              <w:t>81.00</w:t>
            </w:r>
          </w:p>
        </w:tc>
        <w:tc>
          <w:tcPr>
            <w:tcW w:w="924" w:type="dxa"/>
            <w:vAlign w:val="center"/>
          </w:tcPr>
          <w:p>
            <w:pPr>
              <w:pStyle w:val="15"/>
            </w:pPr>
            <w:r>
              <w:t>轿车</w:t>
            </w:r>
          </w:p>
        </w:tc>
        <w:tc>
          <w:tcPr>
            <w:tcW w:w="924" w:type="dxa"/>
            <w:vAlign w:val="center"/>
          </w:tcPr>
          <w:p>
            <w:pPr>
              <w:pStyle w:val="15"/>
            </w:pPr>
            <w:r>
              <w:t>A02030501</w:t>
            </w:r>
          </w:p>
        </w:tc>
        <w:tc>
          <w:tcPr>
            <w:tcW w:w="924" w:type="dxa"/>
            <w:vAlign w:val="center"/>
          </w:tcPr>
          <w:p>
            <w:pPr>
              <w:pStyle w:val="16"/>
            </w:pPr>
            <w:r>
              <w:t>辆</w:t>
            </w:r>
          </w:p>
        </w:tc>
        <w:tc>
          <w:tcPr>
            <w:tcW w:w="924" w:type="dxa"/>
            <w:vAlign w:val="center"/>
          </w:tcPr>
          <w:p>
            <w:pPr>
              <w:pStyle w:val="14"/>
            </w:pPr>
            <w:r>
              <w:t>2</w:t>
            </w:r>
          </w:p>
        </w:tc>
        <w:tc>
          <w:tcPr>
            <w:tcW w:w="924" w:type="dxa"/>
            <w:vAlign w:val="center"/>
          </w:tcPr>
          <w:p>
            <w:pPr>
              <w:pStyle w:val="14"/>
            </w:pPr>
            <w:r>
              <w:t>18.00</w:t>
            </w:r>
          </w:p>
        </w:tc>
        <w:tc>
          <w:tcPr>
            <w:tcW w:w="924" w:type="dxa"/>
            <w:vAlign w:val="center"/>
          </w:tcPr>
          <w:p>
            <w:pPr>
              <w:pStyle w:val="14"/>
            </w:pPr>
            <w:r>
              <w:t>36.00</w:t>
            </w:r>
          </w:p>
        </w:tc>
        <w:tc>
          <w:tcPr>
            <w:tcW w:w="924" w:type="dxa"/>
            <w:vAlign w:val="center"/>
          </w:tcPr>
          <w:p>
            <w:pPr>
              <w:pStyle w:val="14"/>
            </w:pPr>
            <w:r>
              <w:t>36.00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83" w:type="dxa"/>
            <w:vAlign w:val="center"/>
          </w:tcPr>
          <w:p>
            <w:pPr>
              <w:pStyle w:val="15"/>
            </w:pPr>
            <w:r>
              <w:t>应急保障公务用车</w:t>
            </w:r>
          </w:p>
        </w:tc>
        <w:tc>
          <w:tcPr>
            <w:tcW w:w="765" w:type="dxa"/>
            <w:vAlign w:val="center"/>
          </w:tcPr>
          <w:p>
            <w:pPr>
              <w:pStyle w:val="14"/>
            </w:pPr>
            <w:r>
              <w:t>81.00</w:t>
            </w:r>
          </w:p>
        </w:tc>
        <w:tc>
          <w:tcPr>
            <w:tcW w:w="924" w:type="dxa"/>
            <w:vAlign w:val="center"/>
          </w:tcPr>
          <w:p>
            <w:pPr>
              <w:pStyle w:val="15"/>
            </w:pPr>
            <w:r>
              <w:t>大中型客车</w:t>
            </w:r>
          </w:p>
        </w:tc>
        <w:tc>
          <w:tcPr>
            <w:tcW w:w="924" w:type="dxa"/>
            <w:vAlign w:val="center"/>
          </w:tcPr>
          <w:p>
            <w:pPr>
              <w:pStyle w:val="15"/>
            </w:pPr>
            <w:r>
              <w:t>A02030602</w:t>
            </w:r>
          </w:p>
        </w:tc>
        <w:tc>
          <w:tcPr>
            <w:tcW w:w="924" w:type="dxa"/>
            <w:vAlign w:val="center"/>
          </w:tcPr>
          <w:p>
            <w:pPr>
              <w:pStyle w:val="16"/>
            </w:pPr>
            <w:r>
              <w:t>辆</w:t>
            </w:r>
          </w:p>
        </w:tc>
        <w:tc>
          <w:tcPr>
            <w:tcW w:w="924" w:type="dxa"/>
            <w:vAlign w:val="center"/>
          </w:tcPr>
          <w:p>
            <w:pPr>
              <w:pStyle w:val="14"/>
            </w:pPr>
            <w:r>
              <w:t>1</w:t>
            </w:r>
          </w:p>
        </w:tc>
        <w:tc>
          <w:tcPr>
            <w:tcW w:w="924" w:type="dxa"/>
            <w:vAlign w:val="center"/>
          </w:tcPr>
          <w:p>
            <w:pPr>
              <w:pStyle w:val="14"/>
            </w:pPr>
            <w:r>
              <w:t>45.00</w:t>
            </w:r>
          </w:p>
        </w:tc>
        <w:tc>
          <w:tcPr>
            <w:tcW w:w="924" w:type="dxa"/>
            <w:vAlign w:val="center"/>
          </w:tcPr>
          <w:p>
            <w:pPr>
              <w:pStyle w:val="14"/>
            </w:pPr>
            <w:r>
              <w:t>45.00</w:t>
            </w:r>
          </w:p>
        </w:tc>
        <w:tc>
          <w:tcPr>
            <w:tcW w:w="924" w:type="dxa"/>
            <w:vAlign w:val="center"/>
          </w:tcPr>
          <w:p>
            <w:pPr>
              <w:pStyle w:val="14"/>
            </w:pPr>
            <w:r>
              <w:t>45.00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2084420925"/>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中共石家庄市藁城区委员会办公室（含所属单位）上年末固定资产金额为516.18万元（详见下表）。本年度拟购置固定资产总额为81.00万元，已按要求列入政府采购预算，详见政府采购预算表。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202中共石家庄市藁城区委员会办公室</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516.18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r>
              <w:t>4</w:t>
            </w:r>
          </w:p>
        </w:tc>
        <w:tc>
          <w:tcPr>
            <w:tcW w:w="2835" w:type="dxa"/>
            <w:vAlign w:val="center"/>
          </w:tcPr>
          <w:p>
            <w:pPr>
              <w:pStyle w:val="14"/>
            </w:pPr>
            <w:r>
              <w:t>122.45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4、其他固定资产</w:t>
            </w:r>
          </w:p>
        </w:tc>
        <w:tc>
          <w:tcPr>
            <w:tcW w:w="2835" w:type="dxa"/>
            <w:vAlign w:val="center"/>
          </w:tcPr>
          <w:p>
            <w:pPr>
              <w:pStyle w:val="16"/>
            </w:pPr>
          </w:p>
        </w:tc>
        <w:tc>
          <w:tcPr>
            <w:tcW w:w="2835" w:type="dxa"/>
            <w:vAlign w:val="center"/>
          </w:tcPr>
          <w:p>
            <w:pPr>
              <w:pStyle w:val="14"/>
            </w:pPr>
            <w:r>
              <w:t>474.73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1937477084"/>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eastAsia="方正仿宋_GBK" w:cs="Times New Roman"/>
          <w:b w:val="0"/>
          <w:color w:val="000000"/>
          <w:sz w:val="28"/>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eastAsia="方正仿宋_GBK" w:cs="Times New Roman"/>
          <w:b w:val="0"/>
          <w:color w:val="000000"/>
          <w:sz w:val="28"/>
        </w:rPr>
        <w:t>区县</w:t>
      </w:r>
      <w:r>
        <w:rPr>
          <w:rFonts w:ascii="Times New Roman" w:hAnsi="Times New Roman" w:eastAsia="方正仿宋_GBK" w:cs="Times New Roman"/>
          <w:b w:val="0"/>
          <w:color w:val="000000"/>
          <w:sz w:val="28"/>
        </w:rPr>
        <w:t>级财政预算管理的“三公”经费，是指</w:t>
      </w:r>
      <w:r>
        <w:rPr>
          <w:rFonts w:eastAsia="方正仿宋_GBK" w:cs="Times New Roman"/>
          <w:b w:val="0"/>
          <w:color w:val="000000"/>
          <w:sz w:val="28"/>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1827336327"/>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val="en-US" w:eastAsia="zh"/>
        </w:rPr>
      </w:pPr>
      <w:r>
        <w:rPr>
          <w:rFonts w:ascii="Times New Roman" w:hAnsi="Times New Roman" w:eastAsia="方正仿宋_GBK" w:cs="Times New Roman"/>
          <w:b w:val="0"/>
          <w:color w:val="000000"/>
          <w:sz w:val="28"/>
        </w:rPr>
        <w:t>我部门无其他需要说明的</w:t>
      </w:r>
      <w:r>
        <w:rPr>
          <w:rFonts w:hint="eastAsia" w:eastAsia="方正仿宋_GBK" w:cs="Times New Roman"/>
          <w:b w:val="0"/>
          <w:color w:val="000000"/>
          <w:sz w:val="28"/>
          <w:lang w:eastAsia="zh-CN"/>
        </w:rPr>
        <w:t>事项</w:t>
      </w:r>
      <w:r>
        <w:rPr>
          <w:rFonts w:hint="eastAsia" w:eastAsia="方正仿宋_GBK" w:cs="Times New Roman"/>
          <w:b w:val="0"/>
          <w:color w:val="000000"/>
          <w:sz w:val="28"/>
          <w:lang w:eastAsia="zh"/>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文泉驿微米黑"/>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Droid Sans Fallback"/>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文泉驿微米黑">
    <w:panose1 w:val="020B0606030804020204"/>
    <w:charset w:val="86"/>
    <w:family w:val="auto"/>
    <w:pitch w:val="default"/>
    <w:sig w:usb0="E10002EF" w:usb1="6BDFFCFB" w:usb2="00800036" w:usb3="00000000" w:csb0="603E019F" w:csb1="DFD70000"/>
  </w:font>
  <w:font w:name="方正黑体_GBK">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Droid Sans Fallback">
    <w:panose1 w:val="020B0502000000000001"/>
    <w:charset w:val="86"/>
    <w:family w:val="auto"/>
    <w:pitch w:val="default"/>
    <w:sig w:usb0="910002FF" w:usb1="2BDFFCFB" w:usb2="00000036" w:usb3="00000000" w:csb0="203F01FF" w:csb1="D7FF0000"/>
  </w:font>
  <w:font w:name="Microsoft YaHei">
    <w:altName w:val="方正黑体_GBK"/>
    <w:panose1 w:val="00000000000000000000"/>
    <w:charset w:val="00"/>
    <w:family w:val="auto"/>
    <w:pitch w:val="default"/>
    <w:sig w:usb0="00000000" w:usb1="00000000" w:usb2="00000000" w:usb3="00000000" w:csb0="00000000" w:csb1="00000000"/>
  </w:font>
  <w:font w:name="Tahoma">
    <w:altName w:val="DejaVu San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FD61612"/>
    <w:multiLevelType w:val="singleLevel"/>
    <w:tmpl w:val="6FD61612"/>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false"/>
  <w:bordersDoNotSurroundFooter w:val="false"/>
  <w:doNotTrackMoves/>
  <w:documentProtection w:enforcement="0"/>
  <w:defaultTabStop w:val="720"/>
  <w:evenAndOddHeaders w:val="true"/>
  <w:displayHorizontalDrawingGridEvery w:val="1"/>
  <w:displayVerticalDrawingGridEvery w:val="1"/>
  <w:noPunctuationKerning w:val="true"/>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0F67A9D1"/>
    <w:rsid w:val="11D610B4"/>
    <w:rsid w:val="11FC5D62"/>
    <w:rsid w:val="1E3BD3F9"/>
    <w:rsid w:val="1F7F81C3"/>
    <w:rsid w:val="25D9F9E2"/>
    <w:rsid w:val="2BEF78DD"/>
    <w:rsid w:val="2CE2A7C8"/>
    <w:rsid w:val="2EFF33CC"/>
    <w:rsid w:val="2F87A830"/>
    <w:rsid w:val="2FA6DD37"/>
    <w:rsid w:val="2FBAC5DF"/>
    <w:rsid w:val="2FBC814A"/>
    <w:rsid w:val="37FD4B62"/>
    <w:rsid w:val="3B1B1899"/>
    <w:rsid w:val="3BDF89D8"/>
    <w:rsid w:val="3C7F6BAA"/>
    <w:rsid w:val="3D792E4C"/>
    <w:rsid w:val="3E77EEE3"/>
    <w:rsid w:val="3EEBA5D9"/>
    <w:rsid w:val="3F91ACAB"/>
    <w:rsid w:val="47BA72C9"/>
    <w:rsid w:val="4EFFE45B"/>
    <w:rsid w:val="53DF0BBD"/>
    <w:rsid w:val="545F52CD"/>
    <w:rsid w:val="577FAE71"/>
    <w:rsid w:val="5BE040B6"/>
    <w:rsid w:val="5C6F82C5"/>
    <w:rsid w:val="5C731F0D"/>
    <w:rsid w:val="5D5D68DA"/>
    <w:rsid w:val="5DE3A7B3"/>
    <w:rsid w:val="5DFEA91A"/>
    <w:rsid w:val="5DFF9F26"/>
    <w:rsid w:val="5FDF7255"/>
    <w:rsid w:val="5FE4C5A5"/>
    <w:rsid w:val="5FF91747"/>
    <w:rsid w:val="5FFE968F"/>
    <w:rsid w:val="5FFF9E88"/>
    <w:rsid w:val="65F7F05B"/>
    <w:rsid w:val="669CF20B"/>
    <w:rsid w:val="67571E56"/>
    <w:rsid w:val="6BF1ACC2"/>
    <w:rsid w:val="6DBF55DE"/>
    <w:rsid w:val="6EFFB9EA"/>
    <w:rsid w:val="6F68D7A9"/>
    <w:rsid w:val="6FD84CC9"/>
    <w:rsid w:val="6FFD1C31"/>
    <w:rsid w:val="734F08C1"/>
    <w:rsid w:val="736DCE10"/>
    <w:rsid w:val="73FD4AF5"/>
    <w:rsid w:val="74F49EB4"/>
    <w:rsid w:val="75ED25FB"/>
    <w:rsid w:val="75FDAACB"/>
    <w:rsid w:val="776766DF"/>
    <w:rsid w:val="777F1EE5"/>
    <w:rsid w:val="779DE1C1"/>
    <w:rsid w:val="77B35392"/>
    <w:rsid w:val="77ECB7B8"/>
    <w:rsid w:val="77FA12DA"/>
    <w:rsid w:val="77FDA5F9"/>
    <w:rsid w:val="77FED36B"/>
    <w:rsid w:val="77FFC8A7"/>
    <w:rsid w:val="78BF8085"/>
    <w:rsid w:val="79D3611B"/>
    <w:rsid w:val="7ADAB76E"/>
    <w:rsid w:val="7AFE677A"/>
    <w:rsid w:val="7B3F6949"/>
    <w:rsid w:val="7BBF5F99"/>
    <w:rsid w:val="7BC72A79"/>
    <w:rsid w:val="7BFD94B1"/>
    <w:rsid w:val="7D7EC854"/>
    <w:rsid w:val="7DEE61E1"/>
    <w:rsid w:val="7DF97CE8"/>
    <w:rsid w:val="7DFC89AA"/>
    <w:rsid w:val="7EAF2BB1"/>
    <w:rsid w:val="7EBB0BF6"/>
    <w:rsid w:val="7ECF0B29"/>
    <w:rsid w:val="7EDFC5D3"/>
    <w:rsid w:val="7EEEFB89"/>
    <w:rsid w:val="7EFD6FC9"/>
    <w:rsid w:val="7EFF4CB2"/>
    <w:rsid w:val="7EFFCD99"/>
    <w:rsid w:val="7F6260C1"/>
    <w:rsid w:val="7F7D58EC"/>
    <w:rsid w:val="7F7F4DB2"/>
    <w:rsid w:val="7F9BE0C6"/>
    <w:rsid w:val="7FBB1AD1"/>
    <w:rsid w:val="7FBD283C"/>
    <w:rsid w:val="7FCF0EB3"/>
    <w:rsid w:val="7FD22AB5"/>
    <w:rsid w:val="7FDD51AD"/>
    <w:rsid w:val="7FFD6BEE"/>
    <w:rsid w:val="7FFF1787"/>
    <w:rsid w:val="7FFF25C9"/>
    <w:rsid w:val="7FFF4BE1"/>
    <w:rsid w:val="8FD62EB5"/>
    <w:rsid w:val="9BFFB253"/>
    <w:rsid w:val="9D4B5CFF"/>
    <w:rsid w:val="9F6B579F"/>
    <w:rsid w:val="9F7F4186"/>
    <w:rsid w:val="9FF97D47"/>
    <w:rsid w:val="9FFF8BD0"/>
    <w:rsid w:val="AF7F742D"/>
    <w:rsid w:val="AFFD4C50"/>
    <w:rsid w:val="B4E8CD8D"/>
    <w:rsid w:val="B541CB66"/>
    <w:rsid w:val="B5FE97B5"/>
    <w:rsid w:val="B9DB9430"/>
    <w:rsid w:val="BA7B23C6"/>
    <w:rsid w:val="BB7D3729"/>
    <w:rsid w:val="BBED4507"/>
    <w:rsid w:val="BBF3AB35"/>
    <w:rsid w:val="BCFF3C68"/>
    <w:rsid w:val="BEA7B0A6"/>
    <w:rsid w:val="BF97897A"/>
    <w:rsid w:val="BFBEB416"/>
    <w:rsid w:val="BFD7C145"/>
    <w:rsid w:val="BFEFB17C"/>
    <w:rsid w:val="BFFF3E54"/>
    <w:rsid w:val="BFFFDC0B"/>
    <w:rsid w:val="C7DF132A"/>
    <w:rsid w:val="CDBD4FC6"/>
    <w:rsid w:val="CFFF7263"/>
    <w:rsid w:val="D57104DE"/>
    <w:rsid w:val="D7D1C46F"/>
    <w:rsid w:val="DB7F8580"/>
    <w:rsid w:val="DBE78AFA"/>
    <w:rsid w:val="DDE5FEB0"/>
    <w:rsid w:val="DDFDB1B8"/>
    <w:rsid w:val="DDFF29FF"/>
    <w:rsid w:val="DEDF0CB2"/>
    <w:rsid w:val="DF37967E"/>
    <w:rsid w:val="DF6F022D"/>
    <w:rsid w:val="DFB7FD6D"/>
    <w:rsid w:val="DFDDED86"/>
    <w:rsid w:val="DFDF0FFB"/>
    <w:rsid w:val="DFEFD79F"/>
    <w:rsid w:val="DFFFBE94"/>
    <w:rsid w:val="E73C22F1"/>
    <w:rsid w:val="EA7FB69B"/>
    <w:rsid w:val="EB7388E1"/>
    <w:rsid w:val="EBB68D5E"/>
    <w:rsid w:val="EBBB4019"/>
    <w:rsid w:val="EBCF4F67"/>
    <w:rsid w:val="EDB784B5"/>
    <w:rsid w:val="EDCB82DF"/>
    <w:rsid w:val="EE7F11A3"/>
    <w:rsid w:val="EEE42FDB"/>
    <w:rsid w:val="EF4BB1E7"/>
    <w:rsid w:val="EF639584"/>
    <w:rsid w:val="EF6F336E"/>
    <w:rsid w:val="EFADCA1B"/>
    <w:rsid w:val="EFDF3881"/>
    <w:rsid w:val="EFF7EDD8"/>
    <w:rsid w:val="F1FD35EE"/>
    <w:rsid w:val="F2791946"/>
    <w:rsid w:val="F3669C52"/>
    <w:rsid w:val="F376788F"/>
    <w:rsid w:val="F3F30EFA"/>
    <w:rsid w:val="F57E1329"/>
    <w:rsid w:val="F5CF8350"/>
    <w:rsid w:val="F6AE010F"/>
    <w:rsid w:val="F6BB9306"/>
    <w:rsid w:val="F7778A57"/>
    <w:rsid w:val="F7CF906C"/>
    <w:rsid w:val="F7FF6EFB"/>
    <w:rsid w:val="F8ED852D"/>
    <w:rsid w:val="F9CF8CB2"/>
    <w:rsid w:val="F9FFED50"/>
    <w:rsid w:val="FA2F4686"/>
    <w:rsid w:val="FA3D50BC"/>
    <w:rsid w:val="FA6F046F"/>
    <w:rsid w:val="FB3D86CD"/>
    <w:rsid w:val="FB566E8B"/>
    <w:rsid w:val="FBFFA687"/>
    <w:rsid w:val="FC17D282"/>
    <w:rsid w:val="FD3F2F86"/>
    <w:rsid w:val="FD5AE9FB"/>
    <w:rsid w:val="FDBC2E78"/>
    <w:rsid w:val="FDEFDA49"/>
    <w:rsid w:val="FDEFFA65"/>
    <w:rsid w:val="FDFDCCDF"/>
    <w:rsid w:val="FE23D62C"/>
    <w:rsid w:val="FE2FFD07"/>
    <w:rsid w:val="FE734873"/>
    <w:rsid w:val="FEEBA36C"/>
    <w:rsid w:val="FEF755FD"/>
    <w:rsid w:val="FEFD1B31"/>
    <w:rsid w:val="FEFDE94E"/>
    <w:rsid w:val="FF3F3467"/>
    <w:rsid w:val="FF3F5779"/>
    <w:rsid w:val="FF71FD08"/>
    <w:rsid w:val="FF774D71"/>
    <w:rsid w:val="FF7A8D21"/>
    <w:rsid w:val="FF7CC566"/>
    <w:rsid w:val="FFA185B1"/>
    <w:rsid w:val="FFBCD029"/>
    <w:rsid w:val="FFCBF477"/>
    <w:rsid w:val="FFECA8E7"/>
    <w:rsid w:val="FFFB316D"/>
    <w:rsid w:val="FFFE81D4"/>
    <w:rsid w:val="FFFF969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paragraph" w:styleId="6">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Normal_66f66b30-8e8d-4710-94da-618ad3b506b1"/>
    <w:qFormat/>
    <w:uiPriority w:val="0"/>
    <w:rPr>
      <w:rFonts w:ascii="Times New Roman" w:hAnsi="Times New Roman" w:eastAsia="Times New Roman" w:cstheme="minorBidi"/>
      <w:sz w:val="24"/>
      <w:szCs w:val="24"/>
      <w:lang w:val="en-US" w:eastAsia="uk-UA" w:bidi="ar-SA"/>
    </w:rPr>
  </w:style>
  <w:style w:type="paragraph" w:customStyle="1" w:styleId="28">
    <w:name w:val="单元格样式1_c0d56eeb-6faa-4198-abf8-7ddcf5b7d562"/>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9">
    <w:name w:val="单元格样式2_83c6c2e6-3157-4f51-923d-e23cd122f684"/>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30">
    <w:name w:val="单元格样式3_3d88eb94-0e36-4f12-84b9-4e334bff7642"/>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2">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Office_11.1.0.10161_F1E327BC-269C-435d-A152-05C5408002CA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2022-02-17T17:21:00Z</dcterms:created>
  <dc:creator>uos</dc:creator>
  <cp:lastModifiedBy>uos</cp:lastModifiedBy>
  <cp:lastPrinted>2022-02-27T17:13:00Z</cp:lastPrinted>
  <dcterms:modified xsi:type="dcterms:W3CDTF">2023-09-05T10:26:33Z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2052-11.1.0.10161</vt:lpwstr>
  </property>
</Properties>
</file>