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pPr>
      <w:r>
        <w:rPr>
          <w:rFonts w:hint="eastAsia" w:ascii="黑体" w:hAnsi="黑体" w:eastAsia="黑体" w:cs="黑体"/>
          <w:b/>
          <w:color w:val="000000"/>
          <w:sz w:val="44"/>
          <w:lang w:eastAsia="zh-CN"/>
        </w:rPr>
        <w:t>石家庄市藁城区供销合作总社部门所属单位</w:t>
      </w:r>
      <w:r>
        <w:rPr>
          <w:rFonts w:ascii="黑体" w:hAnsi="黑体" w:eastAsia="黑体" w:cs="黑体"/>
          <w:b/>
          <w:color w:val="000000"/>
          <w:sz w:val="44"/>
        </w:rPr>
        <w:t>2022</w:t>
      </w:r>
      <w:r>
        <w:rPr>
          <w:rFonts w:hint="eastAsia" w:ascii="黑体" w:hAnsi="黑体" w:eastAsia="黑体" w:cs="黑体"/>
          <w:b/>
          <w:color w:val="000000"/>
          <w:sz w:val="44"/>
          <w:lang w:eastAsia="zh-CN"/>
        </w:rPr>
        <w:t>年度</w:t>
      </w:r>
      <w:r>
        <w:rPr>
          <w:rFonts w:ascii="黑体" w:hAnsi="黑体" w:eastAsia="黑体" w:cs="黑体"/>
          <w:b/>
          <w:color w:val="000000"/>
          <w:sz w:val="44"/>
        </w:rPr>
        <w:t>预算公开</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一、石家庄市藁城区供销合作总社本级收支预算</w:t>
      </w:r>
      <w:r>
        <w:tab/>
      </w:r>
      <w:r>
        <w:rPr>
          <w:rFonts w:hint="eastAsia"/>
          <w:lang w:val="en-US" w:eastAsia="zh-CN"/>
        </w:rPr>
        <w:t>3</w:t>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1" w:name="_GoBack"/>
      <w:bookmarkEnd w:id="1"/>
      <w:bookmarkStart w:id="0" w:name="_Toc_4_4_0000000019"/>
      <w:r>
        <w:rPr>
          <w:rFonts w:ascii="方正小标宋_GBK" w:hAnsi="方正小标宋_GBK" w:eastAsia="方正小标宋_GBK" w:cs="方正小标宋_GBK"/>
          <w:b w:val="0"/>
          <w:color w:val="000000"/>
          <w:sz w:val="44"/>
        </w:rPr>
        <w:t>一、石家庄市藁城区供销合作总社本级收支预算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347.42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347.42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347.42</w:t>
            </w:r>
          </w:p>
        </w:tc>
        <w:tc>
          <w:tcPr>
            <w:tcW w:w="4535" w:type="dxa"/>
            <w:vAlign w:val="center"/>
          </w:tcPr>
          <w:p>
            <w:pPr>
              <w:pStyle w:val="16"/>
            </w:pPr>
            <w:r>
              <w:t>本年支出合计</w:t>
            </w:r>
          </w:p>
        </w:tc>
        <w:tc>
          <w:tcPr>
            <w:tcW w:w="2126" w:type="dxa"/>
            <w:vAlign w:val="center"/>
          </w:tcPr>
          <w:p>
            <w:pPr>
              <w:pStyle w:val="17"/>
            </w:pPr>
            <w:r>
              <w:t>347.42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347.42</w:t>
            </w:r>
          </w:p>
        </w:tc>
        <w:tc>
          <w:tcPr>
            <w:tcW w:w="4535" w:type="dxa"/>
            <w:vAlign w:val="center"/>
          </w:tcPr>
          <w:p>
            <w:pPr>
              <w:pStyle w:val="16"/>
            </w:pPr>
            <w:r>
              <w:t>支出总计</w:t>
            </w:r>
          </w:p>
        </w:tc>
        <w:tc>
          <w:tcPr>
            <w:tcW w:w="2126" w:type="dxa"/>
            <w:vAlign w:val="center"/>
          </w:tcPr>
          <w:p>
            <w:pPr>
              <w:pStyle w:val="17"/>
            </w:pPr>
            <w:r>
              <w:t>347.42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347.42</w:t>
            </w:r>
          </w:p>
        </w:tc>
        <w:tc>
          <w:tcPr>
            <w:tcW w:w="1134" w:type="dxa"/>
            <w:vAlign w:val="center"/>
          </w:tcPr>
          <w:p>
            <w:pPr>
              <w:pStyle w:val="17"/>
            </w:pPr>
            <w:r>
              <w:t>347.42</w:t>
            </w:r>
          </w:p>
        </w:tc>
        <w:tc>
          <w:tcPr>
            <w:tcW w:w="1134" w:type="dxa"/>
            <w:vAlign w:val="center"/>
          </w:tcPr>
          <w:p>
            <w:pPr>
              <w:pStyle w:val="17"/>
            </w:pPr>
            <w:r>
              <w:t>347.42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347.42</w:t>
            </w:r>
          </w:p>
        </w:tc>
        <w:tc>
          <w:tcPr>
            <w:tcW w:w="1134" w:type="dxa"/>
            <w:vAlign w:val="center"/>
          </w:tcPr>
          <w:p>
            <w:pPr>
              <w:pStyle w:val="13"/>
            </w:pPr>
            <w:r>
              <w:t>347.42</w:t>
            </w:r>
          </w:p>
        </w:tc>
        <w:tc>
          <w:tcPr>
            <w:tcW w:w="1134" w:type="dxa"/>
            <w:vAlign w:val="center"/>
          </w:tcPr>
          <w:p>
            <w:pPr>
              <w:pStyle w:val="13"/>
            </w:pPr>
            <w:r>
              <w:t>347.42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347.42</w:t>
            </w:r>
          </w:p>
        </w:tc>
        <w:tc>
          <w:tcPr>
            <w:tcW w:w="1134" w:type="dxa"/>
            <w:vAlign w:val="center"/>
          </w:tcPr>
          <w:p>
            <w:pPr>
              <w:pStyle w:val="13"/>
            </w:pPr>
            <w:r>
              <w:t>347.42</w:t>
            </w:r>
          </w:p>
        </w:tc>
        <w:tc>
          <w:tcPr>
            <w:tcW w:w="1134" w:type="dxa"/>
            <w:vAlign w:val="center"/>
          </w:tcPr>
          <w:p>
            <w:pPr>
              <w:pStyle w:val="13"/>
            </w:pPr>
            <w:r>
              <w:t>347.42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2160202</w:t>
            </w:r>
          </w:p>
        </w:tc>
        <w:tc>
          <w:tcPr>
            <w:tcW w:w="1559" w:type="dxa"/>
            <w:vAlign w:val="center"/>
          </w:tcPr>
          <w:p>
            <w:pPr>
              <w:pStyle w:val="14"/>
            </w:pPr>
            <w:r>
              <w:t>一般行政管理事务</w:t>
            </w:r>
          </w:p>
        </w:tc>
        <w:tc>
          <w:tcPr>
            <w:tcW w:w="1134" w:type="dxa"/>
            <w:vAlign w:val="center"/>
          </w:tcPr>
          <w:p>
            <w:pPr>
              <w:pStyle w:val="13"/>
            </w:pPr>
            <w:r>
              <w:t>108.00</w:t>
            </w:r>
          </w:p>
        </w:tc>
        <w:tc>
          <w:tcPr>
            <w:tcW w:w="1134" w:type="dxa"/>
            <w:vAlign w:val="center"/>
          </w:tcPr>
          <w:p>
            <w:pPr>
              <w:pStyle w:val="13"/>
            </w:pPr>
            <w:r>
              <w:t>108.00</w:t>
            </w:r>
          </w:p>
        </w:tc>
        <w:tc>
          <w:tcPr>
            <w:tcW w:w="1134" w:type="dxa"/>
            <w:vAlign w:val="center"/>
          </w:tcPr>
          <w:p>
            <w:pPr>
              <w:pStyle w:val="13"/>
            </w:pPr>
            <w:r>
              <w:t>108.00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2160203</w:t>
            </w:r>
          </w:p>
        </w:tc>
        <w:tc>
          <w:tcPr>
            <w:tcW w:w="1559" w:type="dxa"/>
            <w:vAlign w:val="center"/>
          </w:tcPr>
          <w:p>
            <w:pPr>
              <w:pStyle w:val="14"/>
            </w:pPr>
            <w:r>
              <w:t>机关服务</w:t>
            </w:r>
          </w:p>
        </w:tc>
        <w:tc>
          <w:tcPr>
            <w:tcW w:w="1134" w:type="dxa"/>
            <w:vAlign w:val="center"/>
          </w:tcPr>
          <w:p>
            <w:pPr>
              <w:pStyle w:val="13"/>
            </w:pPr>
            <w:r>
              <w:t>239.42</w:t>
            </w:r>
          </w:p>
        </w:tc>
        <w:tc>
          <w:tcPr>
            <w:tcW w:w="1134" w:type="dxa"/>
            <w:vAlign w:val="center"/>
          </w:tcPr>
          <w:p>
            <w:pPr>
              <w:pStyle w:val="13"/>
            </w:pPr>
            <w:r>
              <w:t>239.42</w:t>
            </w:r>
          </w:p>
        </w:tc>
        <w:tc>
          <w:tcPr>
            <w:tcW w:w="1134" w:type="dxa"/>
            <w:vAlign w:val="center"/>
          </w:tcPr>
          <w:p>
            <w:pPr>
              <w:pStyle w:val="13"/>
            </w:pPr>
            <w:r>
              <w:t>239.42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347.42</w:t>
            </w:r>
          </w:p>
        </w:tc>
        <w:tc>
          <w:tcPr>
            <w:tcW w:w="1361" w:type="dxa"/>
            <w:vAlign w:val="center"/>
          </w:tcPr>
          <w:p>
            <w:pPr>
              <w:pStyle w:val="17"/>
            </w:pPr>
            <w:r>
              <w:t>60.63</w:t>
            </w:r>
          </w:p>
        </w:tc>
        <w:tc>
          <w:tcPr>
            <w:tcW w:w="1361" w:type="dxa"/>
            <w:vAlign w:val="center"/>
          </w:tcPr>
          <w:p>
            <w:pPr>
              <w:pStyle w:val="17"/>
            </w:pPr>
            <w:r>
              <w:t>286.79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216</w:t>
            </w:r>
          </w:p>
        </w:tc>
        <w:tc>
          <w:tcPr>
            <w:tcW w:w="4535" w:type="dxa"/>
            <w:vAlign w:val="center"/>
          </w:tcPr>
          <w:p>
            <w:pPr>
              <w:pStyle w:val="14"/>
            </w:pPr>
            <w:r>
              <w:t>商业服务业等支出</w:t>
            </w:r>
          </w:p>
        </w:tc>
        <w:tc>
          <w:tcPr>
            <w:tcW w:w="1361" w:type="dxa"/>
            <w:vAlign w:val="center"/>
          </w:tcPr>
          <w:p>
            <w:pPr>
              <w:pStyle w:val="13"/>
            </w:pPr>
            <w:r>
              <w:t>347.42</w:t>
            </w:r>
          </w:p>
        </w:tc>
        <w:tc>
          <w:tcPr>
            <w:tcW w:w="1361" w:type="dxa"/>
            <w:vAlign w:val="center"/>
          </w:tcPr>
          <w:p>
            <w:pPr>
              <w:pStyle w:val="13"/>
            </w:pPr>
            <w:r>
              <w:t>60.63</w:t>
            </w:r>
          </w:p>
        </w:tc>
        <w:tc>
          <w:tcPr>
            <w:tcW w:w="1361" w:type="dxa"/>
            <w:vAlign w:val="center"/>
          </w:tcPr>
          <w:p>
            <w:pPr>
              <w:pStyle w:val="13"/>
            </w:pPr>
            <w:r>
              <w:t>286.79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21602</w:t>
            </w:r>
          </w:p>
        </w:tc>
        <w:tc>
          <w:tcPr>
            <w:tcW w:w="4535" w:type="dxa"/>
            <w:vAlign w:val="center"/>
          </w:tcPr>
          <w:p>
            <w:pPr>
              <w:pStyle w:val="14"/>
            </w:pPr>
            <w:r>
              <w:t>商业流通事务</w:t>
            </w:r>
          </w:p>
        </w:tc>
        <w:tc>
          <w:tcPr>
            <w:tcW w:w="1361" w:type="dxa"/>
            <w:vAlign w:val="center"/>
          </w:tcPr>
          <w:p>
            <w:pPr>
              <w:pStyle w:val="13"/>
            </w:pPr>
            <w:r>
              <w:t>347.42</w:t>
            </w:r>
          </w:p>
        </w:tc>
        <w:tc>
          <w:tcPr>
            <w:tcW w:w="1361" w:type="dxa"/>
            <w:vAlign w:val="center"/>
          </w:tcPr>
          <w:p>
            <w:pPr>
              <w:pStyle w:val="13"/>
            </w:pPr>
            <w:r>
              <w:t>60.63</w:t>
            </w:r>
          </w:p>
        </w:tc>
        <w:tc>
          <w:tcPr>
            <w:tcW w:w="1361" w:type="dxa"/>
            <w:vAlign w:val="center"/>
          </w:tcPr>
          <w:p>
            <w:pPr>
              <w:pStyle w:val="13"/>
            </w:pPr>
            <w:r>
              <w:t>286.79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2160202</w:t>
            </w:r>
          </w:p>
        </w:tc>
        <w:tc>
          <w:tcPr>
            <w:tcW w:w="4535" w:type="dxa"/>
            <w:vAlign w:val="center"/>
          </w:tcPr>
          <w:p>
            <w:pPr>
              <w:pStyle w:val="14"/>
            </w:pPr>
            <w:r>
              <w:t>一般行政管理事务</w:t>
            </w:r>
          </w:p>
        </w:tc>
        <w:tc>
          <w:tcPr>
            <w:tcW w:w="1361" w:type="dxa"/>
            <w:vAlign w:val="center"/>
          </w:tcPr>
          <w:p>
            <w:pPr>
              <w:pStyle w:val="13"/>
            </w:pPr>
            <w:r>
              <w:t>108.00</w:t>
            </w:r>
          </w:p>
        </w:tc>
        <w:tc>
          <w:tcPr>
            <w:tcW w:w="1361" w:type="dxa"/>
            <w:vAlign w:val="center"/>
          </w:tcPr>
          <w:p>
            <w:pPr>
              <w:pStyle w:val="13"/>
            </w:pPr>
          </w:p>
        </w:tc>
        <w:tc>
          <w:tcPr>
            <w:tcW w:w="1361" w:type="dxa"/>
            <w:vAlign w:val="center"/>
          </w:tcPr>
          <w:p>
            <w:pPr>
              <w:pStyle w:val="13"/>
            </w:pPr>
            <w:r>
              <w:t>108.00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2160203</w:t>
            </w:r>
          </w:p>
        </w:tc>
        <w:tc>
          <w:tcPr>
            <w:tcW w:w="4535" w:type="dxa"/>
            <w:vAlign w:val="center"/>
          </w:tcPr>
          <w:p>
            <w:pPr>
              <w:pStyle w:val="14"/>
            </w:pPr>
            <w:r>
              <w:t>机关服务</w:t>
            </w:r>
          </w:p>
        </w:tc>
        <w:tc>
          <w:tcPr>
            <w:tcW w:w="1361" w:type="dxa"/>
            <w:vAlign w:val="center"/>
          </w:tcPr>
          <w:p>
            <w:pPr>
              <w:pStyle w:val="13"/>
            </w:pPr>
            <w:r>
              <w:t>239.42</w:t>
            </w:r>
          </w:p>
        </w:tc>
        <w:tc>
          <w:tcPr>
            <w:tcW w:w="1361" w:type="dxa"/>
            <w:vAlign w:val="center"/>
          </w:tcPr>
          <w:p>
            <w:pPr>
              <w:pStyle w:val="13"/>
            </w:pPr>
            <w:r>
              <w:t>60.63</w:t>
            </w:r>
          </w:p>
        </w:tc>
        <w:tc>
          <w:tcPr>
            <w:tcW w:w="1361" w:type="dxa"/>
            <w:vAlign w:val="center"/>
          </w:tcPr>
          <w:p>
            <w:pPr>
              <w:pStyle w:val="13"/>
            </w:pPr>
            <w:r>
              <w:t>178.79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347.42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347.42</w:t>
            </w:r>
          </w:p>
        </w:tc>
        <w:tc>
          <w:tcPr>
            <w:tcW w:w="1474" w:type="dxa"/>
            <w:vAlign w:val="center"/>
          </w:tcPr>
          <w:p>
            <w:pPr>
              <w:pStyle w:val="13"/>
            </w:pPr>
            <w:r>
              <w:t>347.42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347.42</w:t>
            </w:r>
          </w:p>
        </w:tc>
        <w:tc>
          <w:tcPr>
            <w:tcW w:w="3402" w:type="dxa"/>
            <w:vAlign w:val="center"/>
          </w:tcPr>
          <w:p>
            <w:pPr>
              <w:pStyle w:val="16"/>
            </w:pPr>
            <w:r>
              <w:t>本年支出合计</w:t>
            </w:r>
          </w:p>
        </w:tc>
        <w:tc>
          <w:tcPr>
            <w:tcW w:w="1474" w:type="dxa"/>
            <w:vAlign w:val="center"/>
          </w:tcPr>
          <w:p>
            <w:pPr>
              <w:pStyle w:val="17"/>
            </w:pPr>
            <w:r>
              <w:t>347.42</w:t>
            </w:r>
          </w:p>
        </w:tc>
        <w:tc>
          <w:tcPr>
            <w:tcW w:w="1474" w:type="dxa"/>
            <w:vAlign w:val="center"/>
          </w:tcPr>
          <w:p>
            <w:pPr>
              <w:pStyle w:val="17"/>
            </w:pPr>
            <w:r>
              <w:t>347.42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347.42</w:t>
            </w:r>
          </w:p>
        </w:tc>
        <w:tc>
          <w:tcPr>
            <w:tcW w:w="3402" w:type="dxa"/>
            <w:vAlign w:val="center"/>
          </w:tcPr>
          <w:p>
            <w:pPr>
              <w:pStyle w:val="16"/>
            </w:pPr>
            <w:r>
              <w:t>支出总计</w:t>
            </w:r>
          </w:p>
        </w:tc>
        <w:tc>
          <w:tcPr>
            <w:tcW w:w="1474" w:type="dxa"/>
            <w:vAlign w:val="center"/>
          </w:tcPr>
          <w:p>
            <w:pPr>
              <w:pStyle w:val="17"/>
            </w:pPr>
            <w:r>
              <w:t>347.42</w:t>
            </w:r>
          </w:p>
        </w:tc>
        <w:tc>
          <w:tcPr>
            <w:tcW w:w="1474" w:type="dxa"/>
            <w:vAlign w:val="center"/>
          </w:tcPr>
          <w:p>
            <w:pPr>
              <w:pStyle w:val="17"/>
            </w:pPr>
            <w:r>
              <w:t>347.42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347.42</w:t>
            </w:r>
          </w:p>
        </w:tc>
        <w:tc>
          <w:tcPr>
            <w:tcW w:w="2551" w:type="dxa"/>
            <w:vAlign w:val="center"/>
          </w:tcPr>
          <w:p>
            <w:pPr>
              <w:pStyle w:val="17"/>
            </w:pPr>
            <w:r>
              <w:t>60.63</w:t>
            </w:r>
          </w:p>
        </w:tc>
        <w:tc>
          <w:tcPr>
            <w:tcW w:w="2551" w:type="dxa"/>
            <w:vAlign w:val="center"/>
          </w:tcPr>
          <w:p>
            <w:pPr>
              <w:pStyle w:val="17"/>
            </w:pPr>
            <w:r>
              <w:t>286.79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347.42</w:t>
            </w:r>
          </w:p>
        </w:tc>
        <w:tc>
          <w:tcPr>
            <w:tcW w:w="2551" w:type="dxa"/>
            <w:vAlign w:val="center"/>
          </w:tcPr>
          <w:p>
            <w:pPr>
              <w:pStyle w:val="13"/>
            </w:pPr>
            <w:r>
              <w:t>60.63</w:t>
            </w:r>
          </w:p>
        </w:tc>
        <w:tc>
          <w:tcPr>
            <w:tcW w:w="2551" w:type="dxa"/>
            <w:vAlign w:val="center"/>
          </w:tcPr>
          <w:p>
            <w:pPr>
              <w:pStyle w:val="13"/>
            </w:pPr>
            <w:r>
              <w:t>286.79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347.42</w:t>
            </w:r>
          </w:p>
        </w:tc>
        <w:tc>
          <w:tcPr>
            <w:tcW w:w="2551" w:type="dxa"/>
            <w:vAlign w:val="center"/>
          </w:tcPr>
          <w:p>
            <w:pPr>
              <w:pStyle w:val="13"/>
            </w:pPr>
            <w:r>
              <w:t>60.63</w:t>
            </w:r>
          </w:p>
        </w:tc>
        <w:tc>
          <w:tcPr>
            <w:tcW w:w="2551" w:type="dxa"/>
            <w:vAlign w:val="center"/>
          </w:tcPr>
          <w:p>
            <w:pPr>
              <w:pStyle w:val="13"/>
            </w:pPr>
            <w:r>
              <w:t>286.79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2160202</w:t>
            </w:r>
          </w:p>
        </w:tc>
        <w:tc>
          <w:tcPr>
            <w:tcW w:w="4535" w:type="dxa"/>
            <w:vAlign w:val="center"/>
          </w:tcPr>
          <w:p>
            <w:pPr>
              <w:pStyle w:val="14"/>
            </w:pPr>
            <w:r>
              <w:t>一般行政管理事务</w:t>
            </w:r>
          </w:p>
        </w:tc>
        <w:tc>
          <w:tcPr>
            <w:tcW w:w="2551" w:type="dxa"/>
            <w:vAlign w:val="center"/>
          </w:tcPr>
          <w:p>
            <w:pPr>
              <w:pStyle w:val="13"/>
            </w:pPr>
            <w:r>
              <w:t>108.00</w:t>
            </w:r>
          </w:p>
        </w:tc>
        <w:tc>
          <w:tcPr>
            <w:tcW w:w="2551" w:type="dxa"/>
            <w:vAlign w:val="center"/>
          </w:tcPr>
          <w:p>
            <w:pPr>
              <w:pStyle w:val="13"/>
            </w:pPr>
          </w:p>
        </w:tc>
        <w:tc>
          <w:tcPr>
            <w:tcW w:w="2551" w:type="dxa"/>
            <w:vAlign w:val="center"/>
          </w:tcPr>
          <w:p>
            <w:pPr>
              <w:pStyle w:val="13"/>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2160203</w:t>
            </w:r>
          </w:p>
        </w:tc>
        <w:tc>
          <w:tcPr>
            <w:tcW w:w="4535" w:type="dxa"/>
            <w:vAlign w:val="center"/>
          </w:tcPr>
          <w:p>
            <w:pPr>
              <w:pStyle w:val="14"/>
            </w:pPr>
            <w:r>
              <w:t>机关服务</w:t>
            </w:r>
          </w:p>
        </w:tc>
        <w:tc>
          <w:tcPr>
            <w:tcW w:w="2551" w:type="dxa"/>
            <w:vAlign w:val="center"/>
          </w:tcPr>
          <w:p>
            <w:pPr>
              <w:pStyle w:val="13"/>
            </w:pPr>
            <w:r>
              <w:t>239.42</w:t>
            </w:r>
          </w:p>
        </w:tc>
        <w:tc>
          <w:tcPr>
            <w:tcW w:w="2551" w:type="dxa"/>
            <w:vAlign w:val="center"/>
          </w:tcPr>
          <w:p>
            <w:pPr>
              <w:pStyle w:val="13"/>
            </w:pPr>
            <w:r>
              <w:t>60.63</w:t>
            </w:r>
          </w:p>
        </w:tc>
        <w:tc>
          <w:tcPr>
            <w:tcW w:w="2551" w:type="dxa"/>
            <w:vAlign w:val="center"/>
          </w:tcPr>
          <w:p>
            <w:pPr>
              <w:pStyle w:val="13"/>
            </w:pPr>
            <w:r>
              <w:t>178.79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60.63</w:t>
            </w:r>
          </w:p>
        </w:tc>
        <w:tc>
          <w:tcPr>
            <w:tcW w:w="2551" w:type="dxa"/>
            <w:vAlign w:val="center"/>
          </w:tcPr>
          <w:p>
            <w:pPr>
              <w:pStyle w:val="17"/>
            </w:pPr>
            <w:r>
              <w:t>56.70</w:t>
            </w:r>
          </w:p>
        </w:tc>
        <w:tc>
          <w:tcPr>
            <w:tcW w:w="2551" w:type="dxa"/>
            <w:vAlign w:val="center"/>
          </w:tcPr>
          <w:p>
            <w:pPr>
              <w:pStyle w:val="17"/>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56.70</w:t>
            </w:r>
          </w:p>
        </w:tc>
        <w:tc>
          <w:tcPr>
            <w:tcW w:w="2551" w:type="dxa"/>
            <w:vAlign w:val="center"/>
          </w:tcPr>
          <w:p>
            <w:pPr>
              <w:pStyle w:val="13"/>
            </w:pPr>
            <w:r>
              <w:t>56.70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16.48</w:t>
            </w:r>
          </w:p>
        </w:tc>
        <w:tc>
          <w:tcPr>
            <w:tcW w:w="2551" w:type="dxa"/>
            <w:vAlign w:val="center"/>
          </w:tcPr>
          <w:p>
            <w:pPr>
              <w:pStyle w:val="13"/>
            </w:pPr>
            <w:r>
              <w:t>16.48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12.75</w:t>
            </w:r>
          </w:p>
        </w:tc>
        <w:tc>
          <w:tcPr>
            <w:tcW w:w="2551" w:type="dxa"/>
            <w:vAlign w:val="center"/>
          </w:tcPr>
          <w:p>
            <w:pPr>
              <w:pStyle w:val="13"/>
            </w:pPr>
            <w:r>
              <w:t>12.75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9.24</w:t>
            </w:r>
          </w:p>
        </w:tc>
        <w:tc>
          <w:tcPr>
            <w:tcW w:w="2551" w:type="dxa"/>
            <w:vAlign w:val="center"/>
          </w:tcPr>
          <w:p>
            <w:pPr>
              <w:pStyle w:val="13"/>
            </w:pPr>
            <w:r>
              <w:t>9.24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5.16</w:t>
            </w:r>
          </w:p>
        </w:tc>
        <w:tc>
          <w:tcPr>
            <w:tcW w:w="2551" w:type="dxa"/>
            <w:vAlign w:val="center"/>
          </w:tcPr>
          <w:p>
            <w:pPr>
              <w:pStyle w:val="13"/>
            </w:pPr>
            <w:r>
              <w:t>5.16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2.71</w:t>
            </w:r>
          </w:p>
        </w:tc>
        <w:tc>
          <w:tcPr>
            <w:tcW w:w="2551" w:type="dxa"/>
            <w:vAlign w:val="center"/>
          </w:tcPr>
          <w:p>
            <w:pPr>
              <w:pStyle w:val="13"/>
            </w:pPr>
            <w:r>
              <w:t>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2.10</w:t>
            </w:r>
          </w:p>
        </w:tc>
        <w:tc>
          <w:tcPr>
            <w:tcW w:w="2551" w:type="dxa"/>
            <w:vAlign w:val="center"/>
          </w:tcPr>
          <w:p>
            <w:pPr>
              <w:pStyle w:val="13"/>
            </w:pPr>
            <w:r>
              <w:t>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3.99</w:t>
            </w:r>
          </w:p>
        </w:tc>
        <w:tc>
          <w:tcPr>
            <w:tcW w:w="2551" w:type="dxa"/>
            <w:vAlign w:val="center"/>
          </w:tcPr>
          <w:p>
            <w:pPr>
              <w:pStyle w:val="13"/>
            </w:pPr>
            <w:r>
              <w:t>3.99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4.28</w:t>
            </w:r>
          </w:p>
        </w:tc>
        <w:tc>
          <w:tcPr>
            <w:tcW w:w="2551" w:type="dxa"/>
            <w:vAlign w:val="center"/>
          </w:tcPr>
          <w:p>
            <w:pPr>
              <w:pStyle w:val="13"/>
            </w:pPr>
            <w:r>
              <w:t>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3.93</w:t>
            </w:r>
          </w:p>
        </w:tc>
        <w:tc>
          <w:tcPr>
            <w:tcW w:w="2551" w:type="dxa"/>
            <w:vAlign w:val="center"/>
          </w:tcPr>
          <w:p>
            <w:pPr>
              <w:pStyle w:val="13"/>
            </w:pPr>
          </w:p>
        </w:tc>
        <w:tc>
          <w:tcPr>
            <w:tcW w:w="2551" w:type="dxa"/>
            <w:vAlign w:val="center"/>
          </w:tcPr>
          <w:p>
            <w:pPr>
              <w:pStyle w:val="13"/>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0.31</w:t>
            </w:r>
          </w:p>
        </w:tc>
        <w:tc>
          <w:tcPr>
            <w:tcW w:w="2551" w:type="dxa"/>
            <w:vAlign w:val="center"/>
          </w:tcPr>
          <w:p>
            <w:pPr>
              <w:pStyle w:val="13"/>
            </w:pPr>
          </w:p>
        </w:tc>
        <w:tc>
          <w:tcPr>
            <w:tcW w:w="2551" w:type="dxa"/>
            <w:vAlign w:val="center"/>
          </w:tcPr>
          <w:p>
            <w:pPr>
              <w:pStyle w:val="13"/>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0.41</w:t>
            </w:r>
          </w:p>
        </w:tc>
        <w:tc>
          <w:tcPr>
            <w:tcW w:w="2551" w:type="dxa"/>
            <w:vAlign w:val="center"/>
          </w:tcPr>
          <w:p>
            <w:pPr>
              <w:pStyle w:val="13"/>
            </w:pPr>
          </w:p>
        </w:tc>
        <w:tc>
          <w:tcPr>
            <w:tcW w:w="2551" w:type="dxa"/>
            <w:vAlign w:val="center"/>
          </w:tcPr>
          <w:p>
            <w:pPr>
              <w:pStyle w:val="13"/>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1.98</w:t>
            </w:r>
          </w:p>
        </w:tc>
        <w:tc>
          <w:tcPr>
            <w:tcW w:w="2551" w:type="dxa"/>
            <w:vAlign w:val="center"/>
          </w:tcPr>
          <w:p>
            <w:pPr>
              <w:pStyle w:val="13"/>
            </w:pPr>
          </w:p>
        </w:tc>
        <w:tc>
          <w:tcPr>
            <w:tcW w:w="2551"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0.03</w:t>
            </w:r>
          </w:p>
        </w:tc>
        <w:tc>
          <w:tcPr>
            <w:tcW w:w="2551" w:type="dxa"/>
            <w:vAlign w:val="center"/>
          </w:tcPr>
          <w:p>
            <w:pPr>
              <w:pStyle w:val="13"/>
            </w:pPr>
          </w:p>
        </w:tc>
        <w:tc>
          <w:tcPr>
            <w:tcW w:w="2551" w:type="dxa"/>
            <w:vAlign w:val="center"/>
          </w:tcPr>
          <w:p>
            <w:pPr>
              <w:pStyle w:val="13"/>
            </w:pPr>
            <w:r>
              <w:t>0.03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石家庄市藁城区供销合作总社本级2022年单位预算信息公开情况说明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按照《预算法》、《地方预决算公开操作规程》和《关于进一步推进预算公开工作的实施意见》规定，现将石家庄市藁城区供销合作总社本级2022年单位预算公开如下：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石家庄市藁城区供销合作总社本级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347.42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347.42</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347.42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60.63</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56.70</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3.93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286.79</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供销合作总社分流职工工资</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118.95</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农村产权中心劳务派遣人员工资</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54.78</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农村产权中心运转服务费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5.06</w:t>
      </w:r>
      <w:r>
        <w:rPr>
          <w:rFonts w:hint="eastAsia" w:ascii="Times New Roman" w:hAnsi="Times New Roman" w:eastAsia="仿宋" w:cs="Times New Roman"/>
          <w:sz w:val="32"/>
          <w:szCs w:val="32"/>
        </w:rPr>
        <w:t>万元，</w:t>
      </w:r>
      <w:r>
        <w:rPr>
          <w:rFonts w:hint="eastAsia" w:eastAsia="仿宋" w:cs="Times New Roman"/>
          <w:sz w:val="32"/>
          <w:szCs w:val="32"/>
          <w:lang w:eastAsia="zh-CN"/>
        </w:rPr>
        <w:t>自收自支人员工资及社保费用</w:t>
      </w:r>
      <w:r>
        <w:rPr>
          <w:rFonts w:hint="eastAsia" w:ascii="Times New Roman" w:hAnsi="Times New Roman" w:eastAsia="仿宋" w:cs="Times New Roman"/>
          <w:sz w:val="32"/>
          <w:szCs w:val="32"/>
        </w:rPr>
        <w:t>支出10</w:t>
      </w:r>
      <w:r>
        <w:rPr>
          <w:rFonts w:hint="eastAsia" w:eastAsia="仿宋" w:cs="Times New Roman"/>
          <w:sz w:val="32"/>
          <w:szCs w:val="32"/>
          <w:lang w:val="en-US" w:eastAsia="zh-CN"/>
        </w:rPr>
        <w:t>8.00</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color w:val="000000"/>
          <w:sz w:val="32"/>
          <w:szCs w:val="32"/>
        </w:rPr>
        <w:t>2022年单位预算收支安排</w:t>
      </w:r>
      <w:r>
        <w:rPr>
          <w:rFonts w:hint="eastAsia" w:eastAsia="仿宋" w:cs="Times New Roman"/>
          <w:color w:val="000000"/>
          <w:sz w:val="32"/>
          <w:szCs w:val="32"/>
          <w:lang w:val="en-US" w:eastAsia="zh-CN"/>
        </w:rPr>
        <w:t>347.42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142.34</w:t>
      </w:r>
      <w:r>
        <w:rPr>
          <w:rFonts w:hint="eastAsia" w:ascii="Times New Roman" w:hAnsi="Times New Roman" w:eastAsia="仿宋" w:cs="Times New Roman"/>
          <w:sz w:val="32"/>
          <w:szCs w:val="32"/>
        </w:rPr>
        <w:t>万元，其中：基本支出减少</w:t>
      </w:r>
      <w:r>
        <w:rPr>
          <w:rFonts w:hint="eastAsia" w:eastAsia="仿宋" w:cs="Times New Roman"/>
          <w:sz w:val="32"/>
          <w:szCs w:val="32"/>
          <w:lang w:val="en-US" w:eastAsia="zh-CN"/>
        </w:rPr>
        <w:t>14.73</w:t>
      </w:r>
      <w:r>
        <w:rPr>
          <w:rFonts w:hint="eastAsia" w:ascii="Times New Roman" w:hAnsi="Times New Roman" w:eastAsia="仿宋" w:cs="Times New Roman"/>
          <w:sz w:val="32"/>
          <w:szCs w:val="32"/>
        </w:rPr>
        <w:t>万元，主要是人员减少，相应减少人员经费和日常公用经费；项目支出增加</w:t>
      </w:r>
      <w:r>
        <w:rPr>
          <w:rFonts w:hint="eastAsia" w:eastAsia="仿宋" w:cs="Times New Roman"/>
          <w:sz w:val="32"/>
          <w:szCs w:val="32"/>
          <w:lang w:val="en-US" w:eastAsia="zh-CN"/>
        </w:rPr>
        <w:t>157.07</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供销合作总社分流职工工资、农村产权中心劳务派遣人员工资、自收自支人员工资及社保费用</w:t>
      </w:r>
      <w:r>
        <w:rPr>
          <w:rFonts w:hint="eastAsia" w:ascii="Times New Roman" w:hAnsi="Times New Roman" w:eastAsia="仿宋" w:cs="Times New Roman"/>
          <w:sz w:val="32"/>
          <w:szCs w:val="32"/>
        </w:rPr>
        <w:t>支出；其他支出无增减变化。</w:t>
      </w:r>
    </w:p>
    <w:p>
      <w:pPr>
        <w:pStyle w:val="32"/>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2022年，我单位机关运行经费共计安排</w:t>
      </w:r>
      <w:r>
        <w:rPr>
          <w:rFonts w:hint="eastAsia" w:eastAsia="仿宋" w:cs="Times New Roman"/>
          <w:sz w:val="32"/>
          <w:szCs w:val="32"/>
          <w:lang w:val="en-US" w:eastAsia="zh-CN"/>
        </w:rPr>
        <w:t>3.93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万元，主要用于保证机关正常运转的办公及印刷费、邮电费、差旅费、会议费、福利费、专用材料及一般设备购置费、办公用房水电费、办公用房取暖费、日常维修费、办公楼物业管理费等支出。</w:t>
      </w:r>
    </w:p>
    <w:p>
      <w:pPr>
        <w:pStyle w:val="33"/>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万元（其中：公务用车购置费0万元，公务用车运行维护费0万元)；公务接待费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34"/>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深入贯彻落实上级方针政策、指导系统业务活动、综合改革和发展、指导系统流通网络和信息化建设，确保供销社事业改革，壮大并发挥供销社为“三农”服务的作用；拟定规划，形成服务现代农业，服务农村生产生活、服务农业新型经营主体的服务格局；发挥供销社在流通领域的应急调控作用；构建农村现代流通网络体系，保障社有资产安全和增值；扎实推进农民合作社联合社建设，逐步推进金融创新试点；依据储备计划安排代储企业做好计划商品的代储工作；确保各项工作谋划到位，顺利开展。保障机关工作正常、高效运转，推动供销事业不断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1、推进农村产权交易市场体系建设</w:t>
      </w:r>
    </w:p>
    <w:p>
      <w:pPr>
        <w:pStyle w:val="24"/>
      </w:pPr>
      <w:r>
        <w:t>绩效目标：坚持为农服务宗旨，紧跟农村产权制度改革步伐，大力推进规范化、标准化、制度化建设，壮大并发挥供销社为“三农”服务的作用。</w:t>
      </w:r>
    </w:p>
    <w:p>
      <w:pPr>
        <w:pStyle w:val="24"/>
      </w:pPr>
      <w:r>
        <w:t>绩效指标：加快农村网点建设，建立制度健全、体系完整、管理规范、服务高效的农村产权交易市场体系。农村产权交易乡村网点建设覆盖全区100%的行政村。</w:t>
      </w:r>
    </w:p>
    <w:p>
      <w:pPr>
        <w:pStyle w:val="24"/>
      </w:pPr>
      <w:r>
        <w:t>2、做好服务农村经济工作</w:t>
      </w:r>
    </w:p>
    <w:p>
      <w:pPr>
        <w:pStyle w:val="24"/>
      </w:pPr>
      <w:r>
        <w:t>绩效目标：组建完善依法为农村各类产权流转交易提供保障和服务的平台，承担全区农村产权交易工作，实现14个乡镇全覆盖，农村集体产权交易积极进场。</w:t>
      </w:r>
    </w:p>
    <w:p>
      <w:pPr>
        <w:pStyle w:val="24"/>
      </w:pPr>
      <w:r>
        <w:t>绩效指标：平台交易量在15笔以上，确保运转服务费及时支付，保障交易中心工作正常开展，农村集体产权交易活跃发展。</w:t>
      </w:r>
    </w:p>
    <w:p>
      <w:pPr>
        <w:pStyle w:val="24"/>
      </w:pPr>
      <w:r>
        <w:t>3、保障分流职工的利益</w:t>
      </w:r>
    </w:p>
    <w:p>
      <w:pPr>
        <w:pStyle w:val="24"/>
      </w:pPr>
      <w:r>
        <w:t>绩效目标：及时发放分流职工的工资和缴纳社保费用，保障分流职工的利益。</w:t>
      </w:r>
    </w:p>
    <w:p>
      <w:pPr>
        <w:pStyle w:val="24"/>
      </w:pPr>
      <w:r>
        <w:t>绩效指标：按照文件规定拨付分流职工工资及缴纳社保费用，工资发放覆盖全部24人，每月按时发放工资，保障分流人员在本职工作岗位正常开展工作。</w:t>
      </w:r>
    </w:p>
    <w:p>
      <w:pPr>
        <w:pStyle w:val="24"/>
      </w:pPr>
      <w:r>
        <w:t>4、保障</w:t>
      </w:r>
      <w:r>
        <w:rPr>
          <w:rFonts w:hint="eastAsia"/>
          <w:lang w:eastAsia="zh-CN"/>
        </w:rPr>
        <w:t>单位</w:t>
      </w:r>
      <w:r>
        <w:t>工作正常高效运转</w:t>
      </w:r>
    </w:p>
    <w:p>
      <w:pPr>
        <w:pStyle w:val="24"/>
      </w:pPr>
      <w:r>
        <w:t>绩效目标：坚持为农服务为宗旨，推进组织建设，使供销社与农民联系更加紧密；为农服务功能更完备，市场化运行更高效。</w:t>
      </w:r>
    </w:p>
    <w:p>
      <w:pPr>
        <w:pStyle w:val="24"/>
      </w:pPr>
      <w:r>
        <w:t>绩效指标：机关政务、机关事务办结率达到95%以上。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5"/>
      </w:pPr>
      <w:r>
        <w:t>2、优化支出管理。明确各部门预算绩效管理职责，确保财务与业务工作紧密衔接。按要求积极开展预算绩效评价，根据评价结果进行整改，确保绩效目标顺利实现。</w:t>
      </w:r>
    </w:p>
    <w:p>
      <w:pPr>
        <w:pStyle w:val="25"/>
      </w:pPr>
      <w:r>
        <w:t>3、加强绩效监控。按照财政要求开展绩效运行监控，全程跟踪预算执行进度，对执行过程中发现的问题及时反馈，制定切实可行措施，保障绩效目标按期高质量完成。</w:t>
      </w:r>
    </w:p>
    <w:p>
      <w:pPr>
        <w:pStyle w:val="25"/>
      </w:pPr>
      <w:r>
        <w:t>4、强化内部监督。注重内部监督制度建设，对绩效运行情况、重大支出决策等重要经济业务事项的决策和执行进行督导，并配合做好审计、财政监督等外部监督工作，确保财政资金安全有效，最大限度发挥财政资金使用效益。</w:t>
      </w:r>
    </w:p>
    <w:p>
      <w:pPr>
        <w:pStyle w:val="25"/>
      </w:pPr>
      <w:r>
        <w:t>5、增强发展意识。把思想统一到中央、省、市“三农”工作决策部署上来，统一到完成全年目标任务上来，牢牢扭住发展这个第一要务，聚焦重点工作任务，确保完成年度工作目标。</w:t>
      </w:r>
    </w:p>
    <w:p>
      <w:pPr>
        <w:pStyle w:val="25"/>
      </w:pPr>
      <w:r>
        <w:t>6、做好宣传联动。加强协调联动，加大关于预算绩效工作宣传力度，提高对预算绩效管理的重视程度，增强绩效管理意识，促进预算绩效管理水平进一步提升。</w:t>
      </w:r>
    </w:p>
    <w:p>
      <w:pPr>
        <w:pStyle w:val="25"/>
      </w:pPr>
      <w:r>
        <w:t>7、加快人才队伍建设。开展业务技能培训，大力提升专业人员的职业道德和履职能力，提高专业人才素质。</w:t>
      </w:r>
    </w:p>
    <w:p>
      <w:pPr>
        <w:pStyle w:val="26"/>
        <w:spacing w:before="0" w:after="0" w:line="240" w:lineRule="auto"/>
        <w:ind w:firstLine="640"/>
        <w:jc w:val="left"/>
        <w:outlineLvl w:val="9"/>
        <w:rPr>
          <w:rFonts w:ascii="黑体" w:hAnsi="黑体" w:eastAsia="黑体" w:cs="黑体"/>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1、供销合作总社分流职工工资绩效目标表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1.及时发放分流职工的工资和缴纳社保费用</w:t>
            </w:r>
          </w:p>
          <w:p>
            <w:pPr>
              <w:pStyle w:val="28"/>
            </w:pPr>
            <w:r>
              <w:t>2.保障分流职工利益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质量指标</w:t>
            </w:r>
          </w:p>
        </w:tc>
        <w:tc>
          <w:tcPr>
            <w:tcW w:w="2835" w:type="dxa"/>
            <w:vAlign w:val="center"/>
          </w:tcPr>
          <w:p>
            <w:pPr>
              <w:pStyle w:val="28"/>
            </w:pPr>
            <w:r>
              <w:t>工资发放率（%）</w:t>
            </w:r>
          </w:p>
        </w:tc>
        <w:tc>
          <w:tcPr>
            <w:tcW w:w="2835" w:type="dxa"/>
            <w:vAlign w:val="center"/>
          </w:tcPr>
          <w:p>
            <w:pPr>
              <w:pStyle w:val="28"/>
            </w:pPr>
            <w:r>
              <w:t>实际发放工资占应发放工资的比例</w:t>
            </w:r>
          </w:p>
        </w:tc>
        <w:tc>
          <w:tcPr>
            <w:tcW w:w="2551" w:type="dxa"/>
            <w:vAlign w:val="center"/>
          </w:tcPr>
          <w:p>
            <w:pPr>
              <w:pStyle w:val="28"/>
            </w:pPr>
            <w:r>
              <w:t>100%</w:t>
            </w:r>
          </w:p>
        </w:tc>
        <w:tc>
          <w:tcPr>
            <w:tcW w:w="2268" w:type="dxa"/>
            <w:vAlign w:val="center"/>
          </w:tcPr>
          <w:p>
            <w:pPr>
              <w:pStyle w:val="28"/>
            </w:pPr>
            <w:r>
              <w:t>工资拨付凭证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覆盖人数</w:t>
            </w:r>
          </w:p>
        </w:tc>
        <w:tc>
          <w:tcPr>
            <w:tcW w:w="2835" w:type="dxa"/>
            <w:vAlign w:val="center"/>
          </w:tcPr>
          <w:p>
            <w:pPr>
              <w:pStyle w:val="28"/>
            </w:pPr>
            <w:r>
              <w:t>发放工资及缴纳保险的人数</w:t>
            </w:r>
          </w:p>
        </w:tc>
        <w:tc>
          <w:tcPr>
            <w:tcW w:w="2551" w:type="dxa"/>
            <w:vAlign w:val="center"/>
          </w:tcPr>
          <w:p>
            <w:pPr>
              <w:pStyle w:val="28"/>
            </w:pPr>
            <w:r>
              <w:t>24人</w:t>
            </w:r>
          </w:p>
        </w:tc>
        <w:tc>
          <w:tcPr>
            <w:tcW w:w="2268"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拨付及时率</w:t>
            </w:r>
          </w:p>
        </w:tc>
        <w:tc>
          <w:tcPr>
            <w:tcW w:w="2835" w:type="dxa"/>
            <w:vAlign w:val="center"/>
          </w:tcPr>
          <w:p>
            <w:pPr>
              <w:pStyle w:val="28"/>
            </w:pPr>
            <w:r>
              <w:t>每月按时发放工资</w:t>
            </w:r>
          </w:p>
        </w:tc>
        <w:tc>
          <w:tcPr>
            <w:tcW w:w="2551" w:type="dxa"/>
            <w:vAlign w:val="center"/>
          </w:tcPr>
          <w:p>
            <w:pPr>
              <w:pStyle w:val="28"/>
            </w:pPr>
            <w:r>
              <w:t>按时发放工资</w:t>
            </w:r>
          </w:p>
        </w:tc>
        <w:tc>
          <w:tcPr>
            <w:tcW w:w="2268" w:type="dxa"/>
            <w:vAlign w:val="center"/>
          </w:tcPr>
          <w:p>
            <w:pPr>
              <w:pStyle w:val="28"/>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发放标准</w:t>
            </w:r>
          </w:p>
        </w:tc>
        <w:tc>
          <w:tcPr>
            <w:tcW w:w="2835" w:type="dxa"/>
            <w:vAlign w:val="center"/>
          </w:tcPr>
          <w:p>
            <w:pPr>
              <w:pStyle w:val="28"/>
            </w:pPr>
            <w:r>
              <w:t>是否按文件规定拨付工资及社会保险</w:t>
            </w:r>
          </w:p>
        </w:tc>
        <w:tc>
          <w:tcPr>
            <w:tcW w:w="2551" w:type="dxa"/>
            <w:vAlign w:val="center"/>
          </w:tcPr>
          <w:p>
            <w:pPr>
              <w:pStyle w:val="28"/>
            </w:pPr>
            <w:r>
              <w:t>按标准拨付</w:t>
            </w:r>
          </w:p>
        </w:tc>
        <w:tc>
          <w:tcPr>
            <w:tcW w:w="2268" w:type="dxa"/>
            <w:vAlign w:val="center"/>
          </w:tcPr>
          <w:p>
            <w:pPr>
              <w:pStyle w:val="28"/>
            </w:pPr>
            <w:r>
              <w:t>工资表、拨付凭证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开展工资情况</w:t>
            </w:r>
          </w:p>
        </w:tc>
        <w:tc>
          <w:tcPr>
            <w:tcW w:w="2835" w:type="dxa"/>
            <w:vAlign w:val="center"/>
          </w:tcPr>
          <w:p>
            <w:pPr>
              <w:pStyle w:val="28"/>
            </w:pPr>
            <w:r>
              <w:t>分流人员在本职工资岗位正常开展工作</w:t>
            </w:r>
          </w:p>
        </w:tc>
        <w:tc>
          <w:tcPr>
            <w:tcW w:w="2551" w:type="dxa"/>
            <w:vAlign w:val="center"/>
          </w:tcPr>
          <w:p>
            <w:pPr>
              <w:pStyle w:val="28"/>
            </w:pPr>
            <w:r>
              <w:t>正常开展工作</w:t>
            </w:r>
          </w:p>
        </w:tc>
        <w:tc>
          <w:tcPr>
            <w:tcW w:w="2268" w:type="dxa"/>
            <w:vAlign w:val="center"/>
          </w:tcPr>
          <w:p>
            <w:pPr>
              <w:pStyle w:val="28"/>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职工满意度</w:t>
            </w:r>
          </w:p>
        </w:tc>
        <w:tc>
          <w:tcPr>
            <w:tcW w:w="2835" w:type="dxa"/>
            <w:vAlign w:val="center"/>
          </w:tcPr>
          <w:p>
            <w:pPr>
              <w:pStyle w:val="28"/>
            </w:pPr>
            <w:r>
              <w:t>职工对工资发放及社保费缴纳情况的满意度</w:t>
            </w:r>
          </w:p>
        </w:tc>
        <w:tc>
          <w:tcPr>
            <w:tcW w:w="2551" w:type="dxa"/>
            <w:vAlign w:val="center"/>
          </w:tcPr>
          <w:p>
            <w:pPr>
              <w:pStyle w:val="28"/>
            </w:pPr>
            <w:r>
              <w:t>≥90%</w:t>
            </w:r>
          </w:p>
        </w:tc>
        <w:tc>
          <w:tcPr>
            <w:tcW w:w="2268" w:type="dxa"/>
            <w:vAlign w:val="center"/>
          </w:tcPr>
          <w:p>
            <w:pPr>
              <w:pStyle w:val="28"/>
            </w:pPr>
            <w:r>
              <w:t>调查情况表</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2、农村产权中心劳务派遣人员工资绩效目标表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1.及时发放劳务派遣人员的工资和缴纳社保费用，保障劳务派遣人员的利益。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质量指标</w:t>
            </w:r>
          </w:p>
        </w:tc>
        <w:tc>
          <w:tcPr>
            <w:tcW w:w="2835" w:type="dxa"/>
            <w:vAlign w:val="center"/>
          </w:tcPr>
          <w:p>
            <w:pPr>
              <w:pStyle w:val="28"/>
            </w:pPr>
            <w:r>
              <w:t>工资发放率（%）</w:t>
            </w:r>
          </w:p>
        </w:tc>
        <w:tc>
          <w:tcPr>
            <w:tcW w:w="2835" w:type="dxa"/>
            <w:vAlign w:val="center"/>
          </w:tcPr>
          <w:p>
            <w:pPr>
              <w:pStyle w:val="28"/>
            </w:pPr>
            <w:r>
              <w:t>实际发放工资占应发放工资的比例</w:t>
            </w:r>
          </w:p>
        </w:tc>
        <w:tc>
          <w:tcPr>
            <w:tcW w:w="2551" w:type="dxa"/>
            <w:vAlign w:val="center"/>
          </w:tcPr>
          <w:p>
            <w:pPr>
              <w:pStyle w:val="28"/>
            </w:pPr>
            <w:r>
              <w:t>100%</w:t>
            </w:r>
          </w:p>
        </w:tc>
        <w:tc>
          <w:tcPr>
            <w:tcW w:w="2268" w:type="dxa"/>
            <w:vAlign w:val="center"/>
          </w:tcPr>
          <w:p>
            <w:pPr>
              <w:pStyle w:val="28"/>
            </w:pPr>
            <w:r>
              <w:t>工资拨付凭证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覆盖人数</w:t>
            </w:r>
          </w:p>
        </w:tc>
        <w:tc>
          <w:tcPr>
            <w:tcW w:w="2835" w:type="dxa"/>
            <w:vAlign w:val="center"/>
          </w:tcPr>
          <w:p>
            <w:pPr>
              <w:pStyle w:val="28"/>
            </w:pPr>
            <w:r>
              <w:t>发放工资及缴纳保险的人数</w:t>
            </w:r>
          </w:p>
        </w:tc>
        <w:tc>
          <w:tcPr>
            <w:tcW w:w="2551" w:type="dxa"/>
            <w:vAlign w:val="center"/>
          </w:tcPr>
          <w:p>
            <w:pPr>
              <w:pStyle w:val="28"/>
            </w:pPr>
            <w:r>
              <w:t>11人</w:t>
            </w:r>
          </w:p>
        </w:tc>
        <w:tc>
          <w:tcPr>
            <w:tcW w:w="2268"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拨付及时率</w:t>
            </w:r>
          </w:p>
        </w:tc>
        <w:tc>
          <w:tcPr>
            <w:tcW w:w="2835" w:type="dxa"/>
            <w:vAlign w:val="center"/>
          </w:tcPr>
          <w:p>
            <w:pPr>
              <w:pStyle w:val="28"/>
            </w:pPr>
            <w:r>
              <w:t>每月按时发放工资</w:t>
            </w:r>
          </w:p>
        </w:tc>
        <w:tc>
          <w:tcPr>
            <w:tcW w:w="2551" w:type="dxa"/>
            <w:vAlign w:val="center"/>
          </w:tcPr>
          <w:p>
            <w:pPr>
              <w:pStyle w:val="28"/>
            </w:pPr>
            <w:r>
              <w:t>按时发放工资</w:t>
            </w:r>
          </w:p>
        </w:tc>
        <w:tc>
          <w:tcPr>
            <w:tcW w:w="2268"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发放标准</w:t>
            </w:r>
          </w:p>
        </w:tc>
        <w:tc>
          <w:tcPr>
            <w:tcW w:w="2835" w:type="dxa"/>
            <w:vAlign w:val="center"/>
          </w:tcPr>
          <w:p>
            <w:pPr>
              <w:pStyle w:val="28"/>
            </w:pPr>
            <w:r>
              <w:t>是否按文件规定拨付工资及社保费</w:t>
            </w:r>
          </w:p>
        </w:tc>
        <w:tc>
          <w:tcPr>
            <w:tcW w:w="2551" w:type="dxa"/>
            <w:vAlign w:val="center"/>
          </w:tcPr>
          <w:p>
            <w:pPr>
              <w:pStyle w:val="28"/>
            </w:pPr>
            <w:r>
              <w:t>按标准拨付</w:t>
            </w:r>
          </w:p>
        </w:tc>
        <w:tc>
          <w:tcPr>
            <w:tcW w:w="2268" w:type="dxa"/>
            <w:vAlign w:val="center"/>
          </w:tcPr>
          <w:p>
            <w:pPr>
              <w:pStyle w:val="28"/>
            </w:pPr>
            <w:r>
              <w:t>工资表、拨款凭证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开展工作情况</w:t>
            </w:r>
          </w:p>
        </w:tc>
        <w:tc>
          <w:tcPr>
            <w:tcW w:w="2835" w:type="dxa"/>
            <w:vAlign w:val="center"/>
          </w:tcPr>
          <w:p>
            <w:pPr>
              <w:pStyle w:val="28"/>
            </w:pPr>
            <w:r>
              <w:t>派遣人员工资岗位正常开展工作</w:t>
            </w:r>
          </w:p>
        </w:tc>
        <w:tc>
          <w:tcPr>
            <w:tcW w:w="2551" w:type="dxa"/>
            <w:vAlign w:val="center"/>
          </w:tcPr>
          <w:p>
            <w:pPr>
              <w:pStyle w:val="28"/>
            </w:pPr>
            <w:r>
              <w:t>正常开展工作</w:t>
            </w:r>
          </w:p>
        </w:tc>
        <w:tc>
          <w:tcPr>
            <w:tcW w:w="2268" w:type="dxa"/>
            <w:vAlign w:val="center"/>
          </w:tcPr>
          <w:p>
            <w:pPr>
              <w:pStyle w:val="28"/>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派遣人员满意度</w:t>
            </w:r>
          </w:p>
        </w:tc>
        <w:tc>
          <w:tcPr>
            <w:tcW w:w="2835" w:type="dxa"/>
            <w:vAlign w:val="center"/>
          </w:tcPr>
          <w:p>
            <w:pPr>
              <w:pStyle w:val="28"/>
            </w:pPr>
            <w:r>
              <w:t>派遣人员对工资发放及社保费缴纳情况的满意度</w:t>
            </w:r>
          </w:p>
        </w:tc>
        <w:tc>
          <w:tcPr>
            <w:tcW w:w="2551" w:type="dxa"/>
            <w:vAlign w:val="center"/>
          </w:tcPr>
          <w:p>
            <w:pPr>
              <w:pStyle w:val="28"/>
            </w:pPr>
            <w:r>
              <w:t>≥90%</w:t>
            </w:r>
          </w:p>
        </w:tc>
        <w:tc>
          <w:tcPr>
            <w:tcW w:w="2268" w:type="dxa"/>
            <w:vAlign w:val="center"/>
          </w:tcPr>
          <w:p>
            <w:pPr>
              <w:pStyle w:val="28"/>
            </w:pPr>
            <w:r>
              <w:t>调查情况表</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3、农村产权中心运转服务费绩效目标表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1.及时支付农村产权交易中心业务经费，保障农村产权中心业务正常开展。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交易笔数</w:t>
            </w:r>
          </w:p>
        </w:tc>
        <w:tc>
          <w:tcPr>
            <w:tcW w:w="2835" w:type="dxa"/>
            <w:vAlign w:val="center"/>
          </w:tcPr>
          <w:p>
            <w:pPr>
              <w:pStyle w:val="28"/>
            </w:pPr>
            <w:r>
              <w:t>平台交易量</w:t>
            </w:r>
          </w:p>
        </w:tc>
        <w:tc>
          <w:tcPr>
            <w:tcW w:w="2551" w:type="dxa"/>
            <w:vAlign w:val="center"/>
          </w:tcPr>
          <w:p>
            <w:pPr>
              <w:pStyle w:val="28"/>
            </w:pPr>
            <w:r>
              <w:t>≥15笔</w:t>
            </w:r>
          </w:p>
        </w:tc>
        <w:tc>
          <w:tcPr>
            <w:tcW w:w="2268" w:type="dxa"/>
            <w:vAlign w:val="center"/>
          </w:tcPr>
          <w:p>
            <w:pPr>
              <w:pStyle w:val="28"/>
            </w:pPr>
            <w:r>
              <w:t>交易合同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拨付情况</w:t>
            </w:r>
          </w:p>
        </w:tc>
        <w:tc>
          <w:tcPr>
            <w:tcW w:w="2835" w:type="dxa"/>
            <w:vAlign w:val="center"/>
          </w:tcPr>
          <w:p>
            <w:pPr>
              <w:pStyle w:val="28"/>
            </w:pPr>
            <w:r>
              <w:t>办公经费实际拨付占应拨付的比例</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编制公用经费标准</w:t>
            </w:r>
          </w:p>
        </w:tc>
        <w:tc>
          <w:tcPr>
            <w:tcW w:w="2835" w:type="dxa"/>
            <w:vAlign w:val="center"/>
          </w:tcPr>
          <w:p>
            <w:pPr>
              <w:pStyle w:val="28"/>
            </w:pPr>
            <w:r>
              <w:t>编制公用经费标准</w:t>
            </w:r>
          </w:p>
        </w:tc>
        <w:tc>
          <w:tcPr>
            <w:tcW w:w="2551" w:type="dxa"/>
            <w:vAlign w:val="center"/>
          </w:tcPr>
          <w:p>
            <w:pPr>
              <w:pStyle w:val="28"/>
            </w:pPr>
            <w:r>
              <w:t>按规定标准执行</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资金支付及时率</w:t>
            </w:r>
          </w:p>
        </w:tc>
        <w:tc>
          <w:tcPr>
            <w:tcW w:w="2835" w:type="dxa"/>
            <w:vAlign w:val="center"/>
          </w:tcPr>
          <w:p>
            <w:pPr>
              <w:pStyle w:val="28"/>
            </w:pPr>
            <w:r>
              <w:t>资金支付及时率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交易中心工作正常运转</w:t>
            </w:r>
          </w:p>
        </w:tc>
        <w:tc>
          <w:tcPr>
            <w:tcW w:w="2835" w:type="dxa"/>
            <w:vAlign w:val="center"/>
          </w:tcPr>
          <w:p>
            <w:pPr>
              <w:pStyle w:val="28"/>
            </w:pPr>
            <w:r>
              <w:t>保障交易中心工作正常开展</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职工满意度</w:t>
            </w:r>
          </w:p>
        </w:tc>
        <w:tc>
          <w:tcPr>
            <w:tcW w:w="2835" w:type="dxa"/>
            <w:vAlign w:val="center"/>
          </w:tcPr>
          <w:p>
            <w:pPr>
              <w:pStyle w:val="28"/>
            </w:pPr>
            <w:r>
              <w:t>职工满意度</w:t>
            </w:r>
          </w:p>
        </w:tc>
        <w:tc>
          <w:tcPr>
            <w:tcW w:w="2551" w:type="dxa"/>
            <w:vAlign w:val="center"/>
          </w:tcPr>
          <w:p>
            <w:pPr>
              <w:pStyle w:val="28"/>
            </w:pPr>
            <w:r>
              <w:t>≥90%</w:t>
            </w:r>
          </w:p>
        </w:tc>
        <w:tc>
          <w:tcPr>
            <w:tcW w:w="2268" w:type="dxa"/>
            <w:vAlign w:val="center"/>
          </w:tcPr>
          <w:p>
            <w:pPr>
              <w:pStyle w:val="28"/>
            </w:pPr>
            <w:r>
              <w:t>调查表</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4、自收自支人员工资及社保费用绩效目标表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1.按标准发放人员工资及缴纳社保费用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质量指标</w:t>
            </w:r>
          </w:p>
        </w:tc>
        <w:tc>
          <w:tcPr>
            <w:tcW w:w="2835" w:type="dxa"/>
            <w:vAlign w:val="center"/>
          </w:tcPr>
          <w:p>
            <w:pPr>
              <w:pStyle w:val="28"/>
            </w:pPr>
            <w:r>
              <w:t>工资发放率（%）</w:t>
            </w:r>
          </w:p>
        </w:tc>
        <w:tc>
          <w:tcPr>
            <w:tcW w:w="2835" w:type="dxa"/>
            <w:vAlign w:val="center"/>
          </w:tcPr>
          <w:p>
            <w:pPr>
              <w:pStyle w:val="28"/>
            </w:pPr>
            <w:r>
              <w:t>实际发放工资占应发放工资的比例</w:t>
            </w:r>
          </w:p>
        </w:tc>
        <w:tc>
          <w:tcPr>
            <w:tcW w:w="2551" w:type="dxa"/>
            <w:vAlign w:val="center"/>
          </w:tcPr>
          <w:p>
            <w:pPr>
              <w:pStyle w:val="28"/>
            </w:pPr>
            <w:r>
              <w:t>100%</w:t>
            </w:r>
          </w:p>
        </w:tc>
        <w:tc>
          <w:tcPr>
            <w:tcW w:w="2268"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覆盖人数</w:t>
            </w:r>
          </w:p>
        </w:tc>
        <w:tc>
          <w:tcPr>
            <w:tcW w:w="2835" w:type="dxa"/>
            <w:vAlign w:val="center"/>
          </w:tcPr>
          <w:p>
            <w:pPr>
              <w:pStyle w:val="28"/>
            </w:pPr>
            <w:r>
              <w:t>发放工资及缴纳保险的人数</w:t>
            </w:r>
          </w:p>
        </w:tc>
        <w:tc>
          <w:tcPr>
            <w:tcW w:w="2551" w:type="dxa"/>
            <w:vAlign w:val="center"/>
          </w:tcPr>
          <w:p>
            <w:pPr>
              <w:pStyle w:val="28"/>
            </w:pPr>
            <w:r>
              <w:t>8人</w:t>
            </w:r>
          </w:p>
        </w:tc>
        <w:tc>
          <w:tcPr>
            <w:tcW w:w="2268"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拨付及时率</w:t>
            </w:r>
          </w:p>
        </w:tc>
        <w:tc>
          <w:tcPr>
            <w:tcW w:w="2835" w:type="dxa"/>
            <w:vAlign w:val="center"/>
          </w:tcPr>
          <w:p>
            <w:pPr>
              <w:pStyle w:val="28"/>
            </w:pPr>
            <w:r>
              <w:t>每月按时发放工资</w:t>
            </w:r>
          </w:p>
        </w:tc>
        <w:tc>
          <w:tcPr>
            <w:tcW w:w="2551" w:type="dxa"/>
            <w:vAlign w:val="center"/>
          </w:tcPr>
          <w:p>
            <w:pPr>
              <w:pStyle w:val="28"/>
            </w:pPr>
            <w:r>
              <w:t>按月及时发放</w:t>
            </w:r>
          </w:p>
        </w:tc>
        <w:tc>
          <w:tcPr>
            <w:tcW w:w="2268"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发放标准</w:t>
            </w:r>
          </w:p>
        </w:tc>
        <w:tc>
          <w:tcPr>
            <w:tcW w:w="2835" w:type="dxa"/>
            <w:vAlign w:val="center"/>
          </w:tcPr>
          <w:p>
            <w:pPr>
              <w:pStyle w:val="28"/>
            </w:pPr>
            <w:r>
              <w:t>按文件标准拨付工资及社会保险</w:t>
            </w:r>
          </w:p>
        </w:tc>
        <w:tc>
          <w:tcPr>
            <w:tcW w:w="2551" w:type="dxa"/>
            <w:vAlign w:val="center"/>
          </w:tcPr>
          <w:p>
            <w:pPr>
              <w:pStyle w:val="28"/>
            </w:pPr>
            <w:r>
              <w:t>人社部分审批表</w:t>
            </w:r>
          </w:p>
        </w:tc>
        <w:tc>
          <w:tcPr>
            <w:tcW w:w="2268"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开展工资情况</w:t>
            </w:r>
          </w:p>
        </w:tc>
        <w:tc>
          <w:tcPr>
            <w:tcW w:w="2835" w:type="dxa"/>
            <w:vAlign w:val="center"/>
          </w:tcPr>
          <w:p>
            <w:pPr>
              <w:pStyle w:val="28"/>
            </w:pPr>
            <w:r>
              <w:t>自收自支人员在本职工资岗位正常开展工作</w:t>
            </w:r>
          </w:p>
        </w:tc>
        <w:tc>
          <w:tcPr>
            <w:tcW w:w="2551" w:type="dxa"/>
            <w:vAlign w:val="center"/>
          </w:tcPr>
          <w:p>
            <w:pPr>
              <w:pStyle w:val="28"/>
            </w:pPr>
            <w:r>
              <w:t>正常开展工作</w:t>
            </w:r>
          </w:p>
        </w:tc>
        <w:tc>
          <w:tcPr>
            <w:tcW w:w="2268" w:type="dxa"/>
            <w:vAlign w:val="center"/>
          </w:tcPr>
          <w:p>
            <w:pPr>
              <w:pStyle w:val="28"/>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职工满意度</w:t>
            </w:r>
          </w:p>
        </w:tc>
        <w:tc>
          <w:tcPr>
            <w:tcW w:w="2835" w:type="dxa"/>
            <w:vAlign w:val="center"/>
          </w:tcPr>
          <w:p>
            <w:pPr>
              <w:pStyle w:val="28"/>
            </w:pPr>
            <w:r>
              <w:t>职工对工资发放及社保费缴纳情况的满意度</w:t>
            </w:r>
          </w:p>
        </w:tc>
        <w:tc>
          <w:tcPr>
            <w:tcW w:w="2551" w:type="dxa"/>
            <w:vAlign w:val="center"/>
          </w:tcPr>
          <w:p>
            <w:pPr>
              <w:pStyle w:val="28"/>
            </w:pPr>
            <w:r>
              <w:t>满意</w:t>
            </w:r>
          </w:p>
        </w:tc>
        <w:tc>
          <w:tcPr>
            <w:tcW w:w="2268" w:type="dxa"/>
            <w:vAlign w:val="center"/>
          </w:tcPr>
          <w:p>
            <w:pPr>
              <w:pStyle w:val="28"/>
            </w:pPr>
            <w:r>
              <w:t>问询</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2022年，石家庄市藁城区供销合作总社本级安排政府采购预算0.00万元。具体内容见下表。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石家庄市藁城区供销合作总社本级上年末固定资产金额为85.78万元（详见下表）。本年度拟购置固定资产总额为0.00万元，已按要求列入政府采购预算，详见政府采购预算表。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906001石家庄市藁城区供销合作总社本级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1200</w:t>
            </w:r>
          </w:p>
        </w:tc>
        <w:tc>
          <w:tcPr>
            <w:tcW w:w="2835" w:type="dxa"/>
            <w:vAlign w:val="center"/>
          </w:tcPr>
          <w:p>
            <w:pPr>
              <w:pStyle w:val="13"/>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1200</w:t>
            </w:r>
          </w:p>
        </w:tc>
        <w:tc>
          <w:tcPr>
            <w:tcW w:w="2835" w:type="dxa"/>
            <w:vAlign w:val="center"/>
          </w:tcPr>
          <w:p>
            <w:pPr>
              <w:pStyle w:val="13"/>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w:t>
            </w:r>
          </w:p>
        </w:tc>
        <w:tc>
          <w:tcPr>
            <w:tcW w:w="2835" w:type="dxa"/>
            <w:vAlign w:val="center"/>
          </w:tcPr>
          <w:p>
            <w:pPr>
              <w:pStyle w:val="13"/>
            </w:pPr>
            <w:r>
              <w:t>29.56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4C4966"/>
    <w:multiLevelType w:val="singleLevel"/>
    <w:tmpl w:val="2C4C496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IxMGY4MGJkNDM5ZjhkNDg1N2FhYzViOGYwOTQ0ZWMifQ=="/>
  </w:docVars>
  <w:rsids>
    <w:rsidRoot w:val="00000000"/>
    <w:rsid w:val="03A03184"/>
    <w:rsid w:val="059D607E"/>
    <w:rsid w:val="1A670100"/>
    <w:rsid w:val="1B2F1113"/>
    <w:rsid w:val="274E7FB6"/>
    <w:rsid w:val="2B727A55"/>
    <w:rsid w:val="2E2A34C6"/>
    <w:rsid w:val="3D1617E6"/>
    <w:rsid w:val="44194BC4"/>
    <w:rsid w:val="4B490FD8"/>
    <w:rsid w:val="4D2D4BAA"/>
    <w:rsid w:val="4FFE6835"/>
    <w:rsid w:val="501D3AAC"/>
    <w:rsid w:val="54372316"/>
    <w:rsid w:val="57664CC0"/>
    <w:rsid w:val="576B339E"/>
    <w:rsid w:val="59645E7F"/>
    <w:rsid w:val="5A470DD9"/>
    <w:rsid w:val="609D1752"/>
    <w:rsid w:val="60FF1298"/>
    <w:rsid w:val="65E91ED4"/>
    <w:rsid w:val="66D76AB5"/>
    <w:rsid w:val="6A7352EB"/>
    <w:rsid w:val="6AB04778"/>
    <w:rsid w:val="6DE36C13"/>
    <w:rsid w:val="6EDB5132"/>
    <w:rsid w:val="6F810491"/>
    <w:rsid w:val="739345BC"/>
    <w:rsid w:val="74597C2E"/>
    <w:rsid w:val="75B65EDC"/>
    <w:rsid w:val="769C3E9C"/>
    <w:rsid w:val="793C5E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7fbbee95-96ae-48c8-b10d-b5e8caebb414"/>
    <w:qFormat/>
    <w:uiPriority w:val="0"/>
    <w:rPr>
      <w:rFonts w:ascii="Times New Roman" w:hAnsi="Times New Roman" w:eastAsia="Times New Roman" w:cstheme="minorBidi"/>
      <w:sz w:val="24"/>
      <w:szCs w:val="24"/>
      <w:lang w:val="en-US" w:eastAsia="uk-UA" w:bidi="ar-SA"/>
    </w:rPr>
  </w:style>
  <w:style w:type="paragraph" w:customStyle="1" w:styleId="27">
    <w:name w:val="单元格样式1_4fa532a0-fd51-4191-985e-da24ee05ca9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7d370909-4abf-4e32-8705-4b2de15c0065"/>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0931bae-15e7-42e2-aeaa-9e9c8277ce4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2022-02-14T17:58:06Z</dcterms:created>
  <dcterms:modified xsi:type="dcterms:W3CDTF">2022-02-14T09:58:06Z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2022-02-14T17:57:57Z</dcterms:created>
  <dcterms:modified xsi:type="dcterms:W3CDTF">2022-02-14T09:57:57Z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2022-02-14T17:57:59Z</dcterms:created>
  <dcterms:modified xsi:type="dcterms:W3CDTF">2022-02-14T09:57:59Z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2022-02-14T17:58:04Z</dcterms:created>
  <dcterms:modified xsi:type="dcterms:W3CDTF">2022-02-14T09:58:04Z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a8c8bec-3ace-4d2d-90a5-ff40e1888dbf}">
  <ds:schemaRefs/>
</ds:datastoreItem>
</file>

<file path=customXml/itemProps2.xml><?xml version="1.0" encoding="utf-8"?>
<ds:datastoreItem xmlns:ds="http://schemas.openxmlformats.org/officeDocument/2006/customXml" ds:itemID="{3512e837-63db-47e2-ac25-2d22da070f86}">
  <ds:schemaRefs/>
</ds:datastoreItem>
</file>

<file path=customXml/itemProps3.xml><?xml version="1.0" encoding="utf-8"?>
<ds:datastoreItem xmlns:ds="http://schemas.openxmlformats.org/officeDocument/2006/customXml" ds:itemID="{8c3d2e44-880f-4ba0-b157-03849716b3a1}">
  <ds:schemaRefs/>
</ds:datastoreItem>
</file>

<file path=customXml/itemProps4.xml><?xml version="1.0" encoding="utf-8"?>
<ds:datastoreItem xmlns:ds="http://schemas.openxmlformats.org/officeDocument/2006/customXml" ds:itemID="{3891a436-826d-4177-949b-aa2e90162d9c}">
  <ds:schemaRefs/>
</ds:datastoreItem>
</file>

<file path=customXml/itemProps5.xml><?xml version="1.0" encoding="utf-8"?>
<ds:datastoreItem xmlns:ds="http://schemas.openxmlformats.org/officeDocument/2006/customXml" ds:itemID="{ed5d518e-4be1-432a-97e8-669521ced287}">
  <ds:schemaRefs/>
</ds:datastoreItem>
</file>

<file path=customXml/itemProps6.xml><?xml version="1.0" encoding="utf-8"?>
<ds:datastoreItem xmlns:ds="http://schemas.openxmlformats.org/officeDocument/2006/customXml" ds:itemID="{98d0b9c1-1915-495b-9747-1deb5fb6a39f}">
  <ds:schemaRefs/>
</ds:datastoreItem>
</file>

<file path=customXml/itemProps7.xml><?xml version="1.0" encoding="utf-8"?>
<ds:datastoreItem xmlns:ds="http://schemas.openxmlformats.org/officeDocument/2006/customXml" ds:itemID="{44f2d793-d34b-4b91-8fd8-8bc9f2b027ce}">
  <ds:schemaRefs/>
</ds:datastoreItem>
</file>

<file path=customXml/itemProps8.xml><?xml version="1.0" encoding="utf-8"?>
<ds:datastoreItem xmlns:ds="http://schemas.openxmlformats.org/officeDocument/2006/customXml" ds:itemID="{23953dd8-f633-472f-8aca-ade9a6ca7dfc}">
  <ds:schemaRefs/>
</ds:datastoreItem>
</file>

<file path=docProps/app.xml><?xml version="1.0" encoding="utf-8"?>
<Properties xmlns="http://schemas.openxmlformats.org/officeDocument/2006/extended-properties" xmlns:vt="http://schemas.openxmlformats.org/officeDocument/2006/docPropsVTypes">
  <Pages>62</Pages>
  <Words>13906</Words>
  <Characters>15546</Characters>
  <TotalTime>3</TotalTime>
  <ScaleCrop>false</ScaleCrop>
  <LinksUpToDate>false</LinksUpToDate>
  <CharactersWithSpaces>15826</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2022-02-14T17:58:00Z</dcterms:created>
  <dc:creator>Administrator</dc:creator>
  <cp:lastModifiedBy>Administrator</cp:lastModifiedBy>
  <dcterms:modified xsi:type="dcterms:W3CDTF">2023-09-04T06:53:31Z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D1D118E495C54C7FB4303BBD5EEC15DC</vt:lpwstr>
  </property>
</Properties>
</file>