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hint="default" w:ascii="方正楷体_GBK" w:hAnsi="方正楷体_GBK" w:eastAsia="方正楷体_GBK" w:cs="方正楷体_GBK"/>
          <w:b/>
          <w:color w:val="000000"/>
          <w:sz w:val="44"/>
          <w:szCs w:val="44"/>
          <w:lang w:val="en-US" w:eastAsia="zh-CN"/>
        </w:rPr>
      </w:pPr>
      <w:bookmarkStart w:id="19" w:name="_GoBack"/>
      <w:bookmarkEnd w:id="19"/>
      <w:r>
        <w:rPr>
          <w:rFonts w:hint="eastAsia" w:ascii="方正楷体_GBK" w:hAnsi="方正楷体_GBK" w:eastAsia="方正楷体_GBK" w:cs="方正楷体_GBK"/>
          <w:b/>
          <w:color w:val="000000"/>
          <w:sz w:val="44"/>
          <w:szCs w:val="44"/>
          <w:lang w:val="en-US" w:eastAsia="zh-CN"/>
        </w:rPr>
        <w:t>藁城区政府投资项目代建中心2022年度部门预算公开</w:t>
      </w:r>
    </w:p>
    <w:p>
      <w:pPr>
        <w:spacing w:before="0" w:after="0" w:line="240" w:lineRule="auto"/>
        <w:ind w:firstLine="0"/>
        <w:jc w:val="left"/>
        <w:outlineLvl w:val="9"/>
        <w:rPr>
          <w:rFonts w:ascii="方正楷体_GBK" w:hAnsi="方正楷体_GBK" w:eastAsia="方正楷体_GBK" w:cs="方正楷体_GBK"/>
          <w:b/>
          <w:color w:val="000000"/>
          <w:sz w:val="44"/>
          <w:szCs w:val="44"/>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_Toc14344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_Toc14344 \h </w:instrText>
      </w:r>
      <w:r>
        <w:fldChar w:fldCharType="separate"/>
      </w:r>
      <w:r>
        <w:t>1</w:t>
      </w:r>
      <w:r>
        <w:fldChar w:fldCharType="end"/>
      </w:r>
      <w:r>
        <w:fldChar w:fldCharType="end"/>
      </w:r>
    </w:p>
    <w:p>
      <w:pPr>
        <w:pStyle w:val="4"/>
        <w:tabs>
          <w:tab w:val="right" w:leader="dot" w:pos="14800"/>
        </w:tabs>
      </w:pPr>
      <w:r>
        <w:fldChar w:fldCharType="begin"/>
      </w:r>
      <w:r>
        <w:instrText xml:space="preserve"> HYPERLINK \l _Toc15661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_Toc15661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_Toc16259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_Toc16259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_Toc3615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_Toc3615 \h </w:instrText>
      </w:r>
      <w:r>
        <w:fldChar w:fldCharType="separate"/>
      </w:r>
      <w:r>
        <w:t>10</w:t>
      </w:r>
      <w:r>
        <w:fldChar w:fldCharType="end"/>
      </w:r>
      <w:r>
        <w:fldChar w:fldCharType="end"/>
      </w:r>
    </w:p>
    <w:p>
      <w:pPr>
        <w:pStyle w:val="4"/>
        <w:tabs>
          <w:tab w:val="right" w:leader="dot" w:pos="14800"/>
        </w:tabs>
      </w:pPr>
      <w:r>
        <w:fldChar w:fldCharType="begin"/>
      </w:r>
      <w:r>
        <w:instrText xml:space="preserve"> HYPERLINK \l _Toc16544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_Toc16544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_Toc12429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_Toc12429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_Toc25386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_Toc25386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_Toc14870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_Toc14870 \h </w:instrText>
      </w:r>
      <w:r>
        <w:fldChar w:fldCharType="separate"/>
      </w:r>
      <w:r>
        <w:t>20</w:t>
      </w:r>
      <w:r>
        <w:fldChar w:fldCharType="end"/>
      </w:r>
      <w:r>
        <w:fldChar w:fldCharType="end"/>
      </w:r>
    </w:p>
    <w:p>
      <w:pPr>
        <w:pStyle w:val="4"/>
        <w:tabs>
          <w:tab w:val="right" w:leader="dot" w:pos="14800"/>
        </w:tabs>
      </w:pPr>
      <w:r>
        <w:fldChar w:fldCharType="begin"/>
      </w:r>
      <w:r>
        <w:instrText xml:space="preserve"> HYPERLINK \l _Toc18234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_Toc18234 \h </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_Toc9362 </w:instrText>
      </w:r>
      <w:r>
        <w:fldChar w:fldCharType="separate"/>
      </w:r>
      <w:r>
        <w:rPr>
          <w:rFonts w:ascii="黑体" w:hAnsi="黑体" w:eastAsia="黑体" w:cs="黑体"/>
        </w:rPr>
        <w:t>一、部门职责及机构设置情况</w:t>
      </w:r>
      <w:r>
        <w:tab/>
      </w:r>
      <w:r>
        <w:fldChar w:fldCharType="begin"/>
      </w:r>
      <w:r>
        <w:instrText xml:space="preserve"> PAGEREF _Toc9362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_Toc28759 </w:instrText>
      </w:r>
      <w:r>
        <w:fldChar w:fldCharType="separate"/>
      </w:r>
      <w:r>
        <w:rPr>
          <w:rFonts w:ascii="黑体" w:hAnsi="黑体" w:eastAsia="黑体" w:cs="黑体"/>
        </w:rPr>
        <w:t>二、部门预算安排的总体情况</w:t>
      </w:r>
      <w:r>
        <w:tab/>
      </w:r>
      <w:r>
        <w:fldChar w:fldCharType="begin"/>
      </w:r>
      <w:r>
        <w:instrText xml:space="preserve"> PAGEREF _Toc28759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_Toc4106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_Toc4106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_Toc28599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_Toc28599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_Toc17040 </w:instrText>
      </w:r>
      <w:r>
        <w:fldChar w:fldCharType="separate"/>
      </w:r>
      <w:r>
        <w:rPr>
          <w:rFonts w:ascii="黑体" w:hAnsi="黑体" w:eastAsia="黑体" w:cs="黑体"/>
        </w:rPr>
        <w:t>五、预算绩效信息</w:t>
      </w:r>
      <w:r>
        <w:tab/>
      </w:r>
      <w:r>
        <w:fldChar w:fldCharType="begin"/>
      </w:r>
      <w:r>
        <w:instrText xml:space="preserve"> PAGEREF _Toc17040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_Toc421 </w:instrText>
      </w:r>
      <w:r>
        <w:fldChar w:fldCharType="separate"/>
      </w:r>
      <w:r>
        <w:rPr>
          <w:rFonts w:ascii="黑体" w:hAnsi="黑体" w:eastAsia="黑体" w:cs="黑体"/>
        </w:rPr>
        <w:t>六、政府采购预算情况</w:t>
      </w:r>
      <w:r>
        <w:tab/>
      </w:r>
      <w:r>
        <w:fldChar w:fldCharType="begin"/>
      </w:r>
      <w:r>
        <w:instrText xml:space="preserve"> PAGEREF _Toc421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_Toc18935 </w:instrText>
      </w:r>
      <w:r>
        <w:fldChar w:fldCharType="separate"/>
      </w:r>
      <w:r>
        <w:rPr>
          <w:rFonts w:hint="eastAsia" w:ascii="黑体" w:hAnsi="黑体" w:eastAsia="黑体" w:cs="黑体"/>
          <w:lang w:val="uk-UA"/>
        </w:rPr>
        <w:t>七、国有资产信息-固定资产占用情况</w:t>
      </w:r>
      <w:r>
        <w:tab/>
      </w:r>
      <w:r>
        <w:fldChar w:fldCharType="begin"/>
      </w:r>
      <w:r>
        <w:instrText xml:space="preserve"> PAGEREF _Toc18935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_Toc6916 </w:instrText>
      </w:r>
      <w:r>
        <w:fldChar w:fldCharType="separate"/>
      </w:r>
      <w:r>
        <w:rPr>
          <w:rFonts w:ascii="黑体" w:hAnsi="黑体" w:eastAsia="黑体" w:cs="黑体"/>
        </w:rPr>
        <w:t>八、名词解释</w:t>
      </w:r>
      <w:r>
        <w:tab/>
      </w:r>
      <w:r>
        <w:fldChar w:fldCharType="begin"/>
      </w:r>
      <w:r>
        <w:instrText xml:space="preserve"> PAGEREF _Toc6916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_Toc14785 </w:instrText>
      </w:r>
      <w:r>
        <w:fldChar w:fldCharType="separate"/>
      </w:r>
      <w:r>
        <w:rPr>
          <w:rFonts w:ascii="黑体" w:hAnsi="黑体" w:eastAsia="黑体" w:cs="黑体"/>
        </w:rPr>
        <w:t>九、其他需要说明的事项</w:t>
      </w:r>
      <w:r>
        <w:tab/>
      </w:r>
      <w:r>
        <w:fldChar w:fldCharType="begin"/>
      </w:r>
      <w:r>
        <w:instrText xml:space="preserve"> PAGEREF _Toc14785 \h </w:instrText>
      </w:r>
      <w:r>
        <w:fldChar w:fldCharType="separate"/>
      </w:r>
      <w:r>
        <w:t>33</w:t>
      </w:r>
      <w:r>
        <w:fldChar w:fldCharType="end"/>
      </w:r>
      <w:r>
        <w:fldChar w:fldCharType="end"/>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14344"/>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879.88</w:t>
            </w:r>
          </w:p>
        </w:tc>
        <w:tc>
          <w:tcPr>
            <w:tcW w:w="1971" w:type="dxa"/>
            <w:vAlign w:val="center"/>
          </w:tcPr>
          <w:p>
            <w:pPr>
              <w:pStyle w:val="12"/>
            </w:pPr>
            <w:r>
              <w:t>一、一般公共服务支出</w:t>
            </w:r>
          </w:p>
        </w:tc>
        <w:tc>
          <w:tcPr>
            <w:tcW w:w="1971" w:type="dxa"/>
            <w:vAlign w:val="center"/>
          </w:tcPr>
          <w:p>
            <w:pPr>
              <w:pStyle w:val="13"/>
            </w:pPr>
            <w:r>
              <w:t>133.88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r>
              <w:t>300.00</w:t>
            </w: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1179.88</w:t>
            </w:r>
          </w:p>
        </w:tc>
        <w:tc>
          <w:tcPr>
            <w:tcW w:w="1971" w:type="dxa"/>
            <w:vAlign w:val="center"/>
          </w:tcPr>
          <w:p>
            <w:pPr>
              <w:pStyle w:val="14"/>
            </w:pPr>
            <w:r>
              <w:t>本年支出合计</w:t>
            </w:r>
          </w:p>
        </w:tc>
        <w:tc>
          <w:tcPr>
            <w:tcW w:w="1971" w:type="dxa"/>
            <w:vAlign w:val="center"/>
          </w:tcPr>
          <w:p>
            <w:pPr>
              <w:pStyle w:val="15"/>
            </w:pPr>
            <w:r>
              <w:t>1179.88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1179.88</w:t>
            </w:r>
          </w:p>
        </w:tc>
        <w:tc>
          <w:tcPr>
            <w:tcW w:w="1971" w:type="dxa"/>
            <w:vAlign w:val="center"/>
          </w:tcPr>
          <w:p>
            <w:pPr>
              <w:pStyle w:val="14"/>
            </w:pPr>
            <w:r>
              <w:t>支出总计</w:t>
            </w:r>
          </w:p>
        </w:tc>
        <w:tc>
          <w:tcPr>
            <w:tcW w:w="1971" w:type="dxa"/>
            <w:vAlign w:val="center"/>
          </w:tcPr>
          <w:p>
            <w:pPr>
              <w:pStyle w:val="15"/>
            </w:pPr>
            <w:r>
              <w:t>1179.88</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5661"/>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1179.88</w:t>
            </w:r>
          </w:p>
        </w:tc>
        <w:tc>
          <w:tcPr>
            <w:tcW w:w="758" w:type="dxa"/>
            <w:vAlign w:val="center"/>
          </w:tcPr>
          <w:p>
            <w:pPr>
              <w:pStyle w:val="15"/>
            </w:pPr>
            <w:r>
              <w:t>1179.88</w:t>
            </w:r>
          </w:p>
        </w:tc>
        <w:tc>
          <w:tcPr>
            <w:tcW w:w="758" w:type="dxa"/>
            <w:vAlign w:val="center"/>
          </w:tcPr>
          <w:p>
            <w:pPr>
              <w:pStyle w:val="15"/>
            </w:pPr>
            <w:r>
              <w:t>1179.88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20106</w:t>
            </w:r>
          </w:p>
        </w:tc>
        <w:tc>
          <w:tcPr>
            <w:tcW w:w="758" w:type="dxa"/>
            <w:vAlign w:val="center"/>
          </w:tcPr>
          <w:p>
            <w:pPr>
              <w:pStyle w:val="12"/>
            </w:pPr>
            <w:r>
              <w:t>财政事务</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2010650</w:t>
            </w:r>
          </w:p>
        </w:tc>
        <w:tc>
          <w:tcPr>
            <w:tcW w:w="758" w:type="dxa"/>
            <w:vAlign w:val="center"/>
          </w:tcPr>
          <w:p>
            <w:pPr>
              <w:pStyle w:val="12"/>
            </w:pPr>
            <w:r>
              <w:t>事业运行</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r>
              <w:t>133.88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204</w:t>
            </w:r>
          </w:p>
        </w:tc>
        <w:tc>
          <w:tcPr>
            <w:tcW w:w="758" w:type="dxa"/>
            <w:vAlign w:val="center"/>
          </w:tcPr>
          <w:p>
            <w:pPr>
              <w:pStyle w:val="12"/>
            </w:pPr>
            <w:r>
              <w:t>公共安全支出</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20407</w:t>
            </w:r>
          </w:p>
        </w:tc>
        <w:tc>
          <w:tcPr>
            <w:tcW w:w="758" w:type="dxa"/>
            <w:vAlign w:val="center"/>
          </w:tcPr>
          <w:p>
            <w:pPr>
              <w:pStyle w:val="12"/>
            </w:pPr>
            <w:r>
              <w:t>监狱</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2040706</w:t>
            </w:r>
          </w:p>
        </w:tc>
        <w:tc>
          <w:tcPr>
            <w:tcW w:w="758" w:type="dxa"/>
            <w:vAlign w:val="center"/>
          </w:tcPr>
          <w:p>
            <w:pPr>
              <w:pStyle w:val="12"/>
            </w:pPr>
            <w:r>
              <w:t>狱政设施建设</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r>
              <w:t>231.00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205</w:t>
            </w:r>
          </w:p>
        </w:tc>
        <w:tc>
          <w:tcPr>
            <w:tcW w:w="758" w:type="dxa"/>
            <w:vAlign w:val="center"/>
          </w:tcPr>
          <w:p>
            <w:pPr>
              <w:pStyle w:val="12"/>
            </w:pPr>
            <w:r>
              <w:t>教育支出</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20502</w:t>
            </w:r>
          </w:p>
        </w:tc>
        <w:tc>
          <w:tcPr>
            <w:tcW w:w="758" w:type="dxa"/>
            <w:vAlign w:val="center"/>
          </w:tcPr>
          <w:p>
            <w:pPr>
              <w:pStyle w:val="12"/>
            </w:pPr>
            <w:r>
              <w:t>普通教育</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2050202</w:t>
            </w:r>
          </w:p>
        </w:tc>
        <w:tc>
          <w:tcPr>
            <w:tcW w:w="758" w:type="dxa"/>
            <w:vAlign w:val="center"/>
          </w:tcPr>
          <w:p>
            <w:pPr>
              <w:pStyle w:val="12"/>
            </w:pPr>
            <w:r>
              <w:t>小学教育</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r>
              <w:t>405.00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3"/>
            </w:pPr>
            <w:r>
              <w:t>410.00</w:t>
            </w:r>
          </w:p>
        </w:tc>
        <w:tc>
          <w:tcPr>
            <w:tcW w:w="758" w:type="dxa"/>
            <w:vAlign w:val="center"/>
          </w:tcPr>
          <w:p>
            <w:pPr>
              <w:pStyle w:val="13"/>
            </w:pPr>
            <w:r>
              <w:t>410.00</w:t>
            </w:r>
          </w:p>
        </w:tc>
        <w:tc>
          <w:tcPr>
            <w:tcW w:w="758" w:type="dxa"/>
            <w:vAlign w:val="center"/>
          </w:tcPr>
          <w:p>
            <w:pPr>
              <w:pStyle w:val="13"/>
            </w:pPr>
            <w:r>
              <w:t>410.00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2120106</w:t>
            </w:r>
          </w:p>
        </w:tc>
        <w:tc>
          <w:tcPr>
            <w:tcW w:w="758" w:type="dxa"/>
            <w:vAlign w:val="center"/>
          </w:tcPr>
          <w:p>
            <w:pPr>
              <w:pStyle w:val="12"/>
            </w:pPr>
            <w:r>
              <w:t>工程建设管理</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r>
              <w:t>110.00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2120803</w:t>
            </w:r>
          </w:p>
        </w:tc>
        <w:tc>
          <w:tcPr>
            <w:tcW w:w="758" w:type="dxa"/>
            <w:vAlign w:val="center"/>
          </w:tcPr>
          <w:p>
            <w:pPr>
              <w:pStyle w:val="12"/>
            </w:pPr>
            <w:r>
              <w:t>城市建设支出</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r>
              <w:t>300.00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6259"/>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1179.88</w:t>
            </w:r>
          </w:p>
        </w:tc>
        <w:tc>
          <w:tcPr>
            <w:tcW w:w="1095" w:type="dxa"/>
            <w:vAlign w:val="center"/>
          </w:tcPr>
          <w:p>
            <w:pPr>
              <w:pStyle w:val="15"/>
            </w:pPr>
            <w:r>
              <w:t>133.88</w:t>
            </w:r>
          </w:p>
        </w:tc>
        <w:tc>
          <w:tcPr>
            <w:tcW w:w="1095" w:type="dxa"/>
            <w:vAlign w:val="center"/>
          </w:tcPr>
          <w:p>
            <w:pPr>
              <w:pStyle w:val="15"/>
            </w:pPr>
            <w:r>
              <w:t>1046.00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20106</w:t>
            </w:r>
          </w:p>
        </w:tc>
        <w:tc>
          <w:tcPr>
            <w:tcW w:w="1095" w:type="dxa"/>
            <w:vAlign w:val="center"/>
          </w:tcPr>
          <w:p>
            <w:pPr>
              <w:pStyle w:val="12"/>
            </w:pPr>
            <w:r>
              <w:t>财政事务</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2010650</w:t>
            </w:r>
          </w:p>
        </w:tc>
        <w:tc>
          <w:tcPr>
            <w:tcW w:w="1095" w:type="dxa"/>
            <w:vAlign w:val="center"/>
          </w:tcPr>
          <w:p>
            <w:pPr>
              <w:pStyle w:val="12"/>
            </w:pPr>
            <w:r>
              <w:t>事业运行</w:t>
            </w:r>
          </w:p>
        </w:tc>
        <w:tc>
          <w:tcPr>
            <w:tcW w:w="1095" w:type="dxa"/>
            <w:vAlign w:val="center"/>
          </w:tcPr>
          <w:p>
            <w:pPr>
              <w:pStyle w:val="13"/>
            </w:pPr>
            <w:r>
              <w:t>133.88</w:t>
            </w:r>
          </w:p>
        </w:tc>
        <w:tc>
          <w:tcPr>
            <w:tcW w:w="1095" w:type="dxa"/>
            <w:vAlign w:val="center"/>
          </w:tcPr>
          <w:p>
            <w:pPr>
              <w:pStyle w:val="13"/>
            </w:pPr>
            <w:r>
              <w:t>133.88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204</w:t>
            </w:r>
          </w:p>
        </w:tc>
        <w:tc>
          <w:tcPr>
            <w:tcW w:w="1095" w:type="dxa"/>
            <w:vAlign w:val="center"/>
          </w:tcPr>
          <w:p>
            <w:pPr>
              <w:pStyle w:val="12"/>
            </w:pPr>
            <w:r>
              <w:t>公共安全支出</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20407</w:t>
            </w:r>
          </w:p>
        </w:tc>
        <w:tc>
          <w:tcPr>
            <w:tcW w:w="1095" w:type="dxa"/>
            <w:vAlign w:val="center"/>
          </w:tcPr>
          <w:p>
            <w:pPr>
              <w:pStyle w:val="12"/>
            </w:pPr>
            <w:r>
              <w:t>监狱</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2040706</w:t>
            </w:r>
          </w:p>
        </w:tc>
        <w:tc>
          <w:tcPr>
            <w:tcW w:w="1095" w:type="dxa"/>
            <w:vAlign w:val="center"/>
          </w:tcPr>
          <w:p>
            <w:pPr>
              <w:pStyle w:val="12"/>
            </w:pPr>
            <w:r>
              <w:t>狱政设施建设</w:t>
            </w: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r>
              <w:t>231.00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205</w:t>
            </w:r>
          </w:p>
        </w:tc>
        <w:tc>
          <w:tcPr>
            <w:tcW w:w="1095" w:type="dxa"/>
            <w:vAlign w:val="center"/>
          </w:tcPr>
          <w:p>
            <w:pPr>
              <w:pStyle w:val="12"/>
            </w:pPr>
            <w:r>
              <w:t>教育支出</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20502</w:t>
            </w:r>
          </w:p>
        </w:tc>
        <w:tc>
          <w:tcPr>
            <w:tcW w:w="1095" w:type="dxa"/>
            <w:vAlign w:val="center"/>
          </w:tcPr>
          <w:p>
            <w:pPr>
              <w:pStyle w:val="12"/>
            </w:pPr>
            <w:r>
              <w:t>普通教育</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2050202</w:t>
            </w:r>
          </w:p>
        </w:tc>
        <w:tc>
          <w:tcPr>
            <w:tcW w:w="1095" w:type="dxa"/>
            <w:vAlign w:val="center"/>
          </w:tcPr>
          <w:p>
            <w:pPr>
              <w:pStyle w:val="12"/>
            </w:pPr>
            <w:r>
              <w:t>小学教育</w:t>
            </w: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r>
              <w:t>405.00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3"/>
            </w:pPr>
            <w:r>
              <w:t>410.00</w:t>
            </w:r>
          </w:p>
        </w:tc>
        <w:tc>
          <w:tcPr>
            <w:tcW w:w="1095" w:type="dxa"/>
            <w:vAlign w:val="center"/>
          </w:tcPr>
          <w:p>
            <w:pPr>
              <w:pStyle w:val="13"/>
            </w:pPr>
          </w:p>
        </w:tc>
        <w:tc>
          <w:tcPr>
            <w:tcW w:w="1095" w:type="dxa"/>
            <w:vAlign w:val="center"/>
          </w:tcPr>
          <w:p>
            <w:pPr>
              <w:pStyle w:val="13"/>
            </w:pPr>
            <w:r>
              <w:t>410.00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2120106</w:t>
            </w:r>
          </w:p>
        </w:tc>
        <w:tc>
          <w:tcPr>
            <w:tcW w:w="1095" w:type="dxa"/>
            <w:vAlign w:val="center"/>
          </w:tcPr>
          <w:p>
            <w:pPr>
              <w:pStyle w:val="12"/>
            </w:pPr>
            <w:r>
              <w:t>工程建设管理</w:t>
            </w: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r>
              <w:t>110.00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2120803</w:t>
            </w:r>
          </w:p>
        </w:tc>
        <w:tc>
          <w:tcPr>
            <w:tcW w:w="1095" w:type="dxa"/>
            <w:vAlign w:val="center"/>
          </w:tcPr>
          <w:p>
            <w:pPr>
              <w:pStyle w:val="12"/>
            </w:pPr>
            <w:r>
              <w:t>城市建设支出</w:t>
            </w: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r>
              <w:t>300.00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615"/>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879.88</w:t>
            </w:r>
          </w:p>
        </w:tc>
        <w:tc>
          <w:tcPr>
            <w:tcW w:w="1232" w:type="dxa"/>
            <w:vAlign w:val="center"/>
          </w:tcPr>
          <w:p>
            <w:pPr>
              <w:pStyle w:val="12"/>
            </w:pPr>
            <w:r>
              <w:t>一、一般公共服务支出</w:t>
            </w:r>
          </w:p>
        </w:tc>
        <w:tc>
          <w:tcPr>
            <w:tcW w:w="1232" w:type="dxa"/>
            <w:vAlign w:val="center"/>
          </w:tcPr>
          <w:p>
            <w:pPr>
              <w:pStyle w:val="13"/>
            </w:pPr>
            <w:r>
              <w:t>133.88</w:t>
            </w:r>
          </w:p>
        </w:tc>
        <w:tc>
          <w:tcPr>
            <w:tcW w:w="1232" w:type="dxa"/>
            <w:vAlign w:val="center"/>
          </w:tcPr>
          <w:p>
            <w:pPr>
              <w:pStyle w:val="13"/>
            </w:pPr>
            <w:r>
              <w:t>133.88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r>
              <w:t>300.00</w:t>
            </w: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r>
              <w:t>231.00</w:t>
            </w:r>
          </w:p>
        </w:tc>
        <w:tc>
          <w:tcPr>
            <w:tcW w:w="1232" w:type="dxa"/>
            <w:vAlign w:val="center"/>
          </w:tcPr>
          <w:p>
            <w:pPr>
              <w:pStyle w:val="13"/>
            </w:pPr>
            <w:r>
              <w:t>231.00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r>
              <w:t>405.00</w:t>
            </w:r>
          </w:p>
        </w:tc>
        <w:tc>
          <w:tcPr>
            <w:tcW w:w="1232" w:type="dxa"/>
            <w:vAlign w:val="center"/>
          </w:tcPr>
          <w:p>
            <w:pPr>
              <w:pStyle w:val="13"/>
            </w:pPr>
            <w:r>
              <w:t>405.00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r>
              <w:t>410.00</w:t>
            </w:r>
          </w:p>
        </w:tc>
        <w:tc>
          <w:tcPr>
            <w:tcW w:w="1232" w:type="dxa"/>
            <w:vAlign w:val="center"/>
          </w:tcPr>
          <w:p>
            <w:pPr>
              <w:pStyle w:val="13"/>
            </w:pPr>
            <w:r>
              <w:t>110.00</w:t>
            </w:r>
          </w:p>
        </w:tc>
        <w:tc>
          <w:tcPr>
            <w:tcW w:w="1232" w:type="dxa"/>
            <w:vAlign w:val="center"/>
          </w:tcPr>
          <w:p>
            <w:pPr>
              <w:pStyle w:val="13"/>
            </w:pPr>
            <w:r>
              <w:t>300.00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1179.88</w:t>
            </w:r>
          </w:p>
        </w:tc>
        <w:tc>
          <w:tcPr>
            <w:tcW w:w="1232" w:type="dxa"/>
            <w:vAlign w:val="center"/>
          </w:tcPr>
          <w:p>
            <w:pPr>
              <w:pStyle w:val="14"/>
            </w:pPr>
            <w:r>
              <w:t>本年支出合计</w:t>
            </w:r>
          </w:p>
        </w:tc>
        <w:tc>
          <w:tcPr>
            <w:tcW w:w="1232" w:type="dxa"/>
            <w:vAlign w:val="center"/>
          </w:tcPr>
          <w:p>
            <w:pPr>
              <w:pStyle w:val="15"/>
            </w:pPr>
            <w:r>
              <w:t>1179.88</w:t>
            </w:r>
          </w:p>
        </w:tc>
        <w:tc>
          <w:tcPr>
            <w:tcW w:w="1232" w:type="dxa"/>
            <w:vAlign w:val="center"/>
          </w:tcPr>
          <w:p>
            <w:pPr>
              <w:pStyle w:val="15"/>
            </w:pPr>
            <w:r>
              <w:t>879.88</w:t>
            </w:r>
          </w:p>
        </w:tc>
        <w:tc>
          <w:tcPr>
            <w:tcW w:w="1232" w:type="dxa"/>
            <w:vAlign w:val="center"/>
          </w:tcPr>
          <w:p>
            <w:pPr>
              <w:pStyle w:val="15"/>
            </w:pPr>
            <w:r>
              <w:t>300.00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1179.88</w:t>
            </w:r>
          </w:p>
        </w:tc>
        <w:tc>
          <w:tcPr>
            <w:tcW w:w="1232" w:type="dxa"/>
            <w:vAlign w:val="center"/>
          </w:tcPr>
          <w:p>
            <w:pPr>
              <w:pStyle w:val="14"/>
            </w:pPr>
            <w:r>
              <w:t>支出总计</w:t>
            </w:r>
          </w:p>
        </w:tc>
        <w:tc>
          <w:tcPr>
            <w:tcW w:w="1232" w:type="dxa"/>
            <w:vAlign w:val="center"/>
          </w:tcPr>
          <w:p>
            <w:pPr>
              <w:pStyle w:val="15"/>
            </w:pPr>
            <w:r>
              <w:t>1179.88</w:t>
            </w:r>
          </w:p>
        </w:tc>
        <w:tc>
          <w:tcPr>
            <w:tcW w:w="1232" w:type="dxa"/>
            <w:vAlign w:val="center"/>
          </w:tcPr>
          <w:p>
            <w:pPr>
              <w:pStyle w:val="15"/>
            </w:pPr>
            <w:r>
              <w:t>879.88</w:t>
            </w:r>
          </w:p>
        </w:tc>
        <w:tc>
          <w:tcPr>
            <w:tcW w:w="1232" w:type="dxa"/>
            <w:vAlign w:val="center"/>
          </w:tcPr>
          <w:p>
            <w:pPr>
              <w:pStyle w:val="15"/>
            </w:pPr>
            <w:r>
              <w:t>300.00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6544"/>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879.88</w:t>
            </w:r>
          </w:p>
        </w:tc>
        <w:tc>
          <w:tcPr>
            <w:tcW w:w="1643" w:type="dxa"/>
            <w:vAlign w:val="center"/>
          </w:tcPr>
          <w:p>
            <w:pPr>
              <w:pStyle w:val="15"/>
            </w:pPr>
            <w:r>
              <w:t>133.88</w:t>
            </w:r>
          </w:p>
        </w:tc>
        <w:tc>
          <w:tcPr>
            <w:tcW w:w="1643" w:type="dxa"/>
            <w:vAlign w:val="center"/>
          </w:tcPr>
          <w:p>
            <w:pPr>
              <w:pStyle w:val="15"/>
            </w:pPr>
            <w:r>
              <w:t>746.00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20106</w:t>
            </w:r>
          </w:p>
        </w:tc>
        <w:tc>
          <w:tcPr>
            <w:tcW w:w="1643" w:type="dxa"/>
            <w:vAlign w:val="center"/>
          </w:tcPr>
          <w:p>
            <w:pPr>
              <w:pStyle w:val="12"/>
            </w:pPr>
            <w:r>
              <w:t>财政事务</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2010650</w:t>
            </w:r>
          </w:p>
        </w:tc>
        <w:tc>
          <w:tcPr>
            <w:tcW w:w="1643" w:type="dxa"/>
            <w:vAlign w:val="center"/>
          </w:tcPr>
          <w:p>
            <w:pPr>
              <w:pStyle w:val="12"/>
            </w:pPr>
            <w:r>
              <w:t>事业运行</w:t>
            </w:r>
          </w:p>
        </w:tc>
        <w:tc>
          <w:tcPr>
            <w:tcW w:w="1643" w:type="dxa"/>
            <w:vAlign w:val="center"/>
          </w:tcPr>
          <w:p>
            <w:pPr>
              <w:pStyle w:val="13"/>
            </w:pPr>
            <w:r>
              <w:t>133.88</w:t>
            </w:r>
          </w:p>
        </w:tc>
        <w:tc>
          <w:tcPr>
            <w:tcW w:w="1643" w:type="dxa"/>
            <w:vAlign w:val="center"/>
          </w:tcPr>
          <w:p>
            <w:pPr>
              <w:pStyle w:val="13"/>
            </w:pPr>
            <w:r>
              <w:t>133.88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204</w:t>
            </w:r>
          </w:p>
        </w:tc>
        <w:tc>
          <w:tcPr>
            <w:tcW w:w="1643" w:type="dxa"/>
            <w:vAlign w:val="center"/>
          </w:tcPr>
          <w:p>
            <w:pPr>
              <w:pStyle w:val="12"/>
            </w:pPr>
            <w:r>
              <w:t>公共安全支出</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20407</w:t>
            </w:r>
          </w:p>
        </w:tc>
        <w:tc>
          <w:tcPr>
            <w:tcW w:w="1643" w:type="dxa"/>
            <w:vAlign w:val="center"/>
          </w:tcPr>
          <w:p>
            <w:pPr>
              <w:pStyle w:val="12"/>
            </w:pPr>
            <w:r>
              <w:t>监狱</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2040706</w:t>
            </w:r>
          </w:p>
        </w:tc>
        <w:tc>
          <w:tcPr>
            <w:tcW w:w="1643" w:type="dxa"/>
            <w:vAlign w:val="center"/>
          </w:tcPr>
          <w:p>
            <w:pPr>
              <w:pStyle w:val="12"/>
            </w:pPr>
            <w:r>
              <w:t>狱政设施建设</w:t>
            </w:r>
          </w:p>
        </w:tc>
        <w:tc>
          <w:tcPr>
            <w:tcW w:w="1643" w:type="dxa"/>
            <w:vAlign w:val="center"/>
          </w:tcPr>
          <w:p>
            <w:pPr>
              <w:pStyle w:val="13"/>
            </w:pPr>
            <w:r>
              <w:t>231.00</w:t>
            </w:r>
          </w:p>
        </w:tc>
        <w:tc>
          <w:tcPr>
            <w:tcW w:w="1643" w:type="dxa"/>
            <w:vAlign w:val="center"/>
          </w:tcPr>
          <w:p>
            <w:pPr>
              <w:pStyle w:val="13"/>
            </w:pPr>
          </w:p>
        </w:tc>
        <w:tc>
          <w:tcPr>
            <w:tcW w:w="1643" w:type="dxa"/>
            <w:vAlign w:val="center"/>
          </w:tcPr>
          <w:p>
            <w:pPr>
              <w:pStyle w:val="13"/>
            </w:pPr>
            <w:r>
              <w:t>231.00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205</w:t>
            </w:r>
          </w:p>
        </w:tc>
        <w:tc>
          <w:tcPr>
            <w:tcW w:w="1643" w:type="dxa"/>
            <w:vAlign w:val="center"/>
          </w:tcPr>
          <w:p>
            <w:pPr>
              <w:pStyle w:val="12"/>
            </w:pPr>
            <w:r>
              <w:t>教育支出</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20502</w:t>
            </w:r>
          </w:p>
        </w:tc>
        <w:tc>
          <w:tcPr>
            <w:tcW w:w="1643" w:type="dxa"/>
            <w:vAlign w:val="center"/>
          </w:tcPr>
          <w:p>
            <w:pPr>
              <w:pStyle w:val="12"/>
            </w:pPr>
            <w:r>
              <w:t>普通教育</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2050202</w:t>
            </w:r>
          </w:p>
        </w:tc>
        <w:tc>
          <w:tcPr>
            <w:tcW w:w="1643" w:type="dxa"/>
            <w:vAlign w:val="center"/>
          </w:tcPr>
          <w:p>
            <w:pPr>
              <w:pStyle w:val="12"/>
            </w:pPr>
            <w:r>
              <w:t>小学教育</w:t>
            </w:r>
          </w:p>
        </w:tc>
        <w:tc>
          <w:tcPr>
            <w:tcW w:w="1643" w:type="dxa"/>
            <w:vAlign w:val="center"/>
          </w:tcPr>
          <w:p>
            <w:pPr>
              <w:pStyle w:val="13"/>
            </w:pPr>
            <w:r>
              <w:t>405.00</w:t>
            </w:r>
          </w:p>
        </w:tc>
        <w:tc>
          <w:tcPr>
            <w:tcW w:w="1643" w:type="dxa"/>
            <w:vAlign w:val="center"/>
          </w:tcPr>
          <w:p>
            <w:pPr>
              <w:pStyle w:val="13"/>
            </w:pPr>
          </w:p>
        </w:tc>
        <w:tc>
          <w:tcPr>
            <w:tcW w:w="1643" w:type="dxa"/>
            <w:vAlign w:val="center"/>
          </w:tcPr>
          <w:p>
            <w:pPr>
              <w:pStyle w:val="13"/>
            </w:pPr>
            <w:r>
              <w:t>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2120106</w:t>
            </w:r>
          </w:p>
        </w:tc>
        <w:tc>
          <w:tcPr>
            <w:tcW w:w="1643" w:type="dxa"/>
            <w:vAlign w:val="center"/>
          </w:tcPr>
          <w:p>
            <w:pPr>
              <w:pStyle w:val="12"/>
            </w:pPr>
            <w:r>
              <w:t>工程建设管理</w:t>
            </w:r>
          </w:p>
        </w:tc>
        <w:tc>
          <w:tcPr>
            <w:tcW w:w="1643" w:type="dxa"/>
            <w:vAlign w:val="center"/>
          </w:tcPr>
          <w:p>
            <w:pPr>
              <w:pStyle w:val="13"/>
            </w:pPr>
            <w:r>
              <w:t>110.00</w:t>
            </w:r>
          </w:p>
        </w:tc>
        <w:tc>
          <w:tcPr>
            <w:tcW w:w="1643" w:type="dxa"/>
            <w:vAlign w:val="center"/>
          </w:tcPr>
          <w:p>
            <w:pPr>
              <w:pStyle w:val="13"/>
            </w:pPr>
          </w:p>
        </w:tc>
        <w:tc>
          <w:tcPr>
            <w:tcW w:w="1643" w:type="dxa"/>
            <w:vAlign w:val="center"/>
          </w:tcPr>
          <w:p>
            <w:pPr>
              <w:pStyle w:val="13"/>
            </w:pPr>
            <w:r>
              <w:t>110.00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2429"/>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133.88</w:t>
            </w:r>
          </w:p>
        </w:tc>
        <w:tc>
          <w:tcPr>
            <w:tcW w:w="1643" w:type="dxa"/>
            <w:vAlign w:val="center"/>
          </w:tcPr>
          <w:p>
            <w:pPr>
              <w:pStyle w:val="15"/>
            </w:pPr>
            <w:r>
              <w:t>123.33</w:t>
            </w:r>
          </w:p>
        </w:tc>
        <w:tc>
          <w:tcPr>
            <w:tcW w:w="1643" w:type="dxa"/>
            <w:vAlign w:val="center"/>
          </w:tcPr>
          <w:p>
            <w:pPr>
              <w:pStyle w:val="15"/>
            </w:pPr>
            <w:r>
              <w:t>10.55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123.33</w:t>
            </w:r>
          </w:p>
        </w:tc>
        <w:tc>
          <w:tcPr>
            <w:tcW w:w="1643" w:type="dxa"/>
            <w:vAlign w:val="center"/>
          </w:tcPr>
          <w:p>
            <w:pPr>
              <w:pStyle w:val="13"/>
            </w:pPr>
            <w:r>
              <w:t>123.33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26.37</w:t>
            </w:r>
          </w:p>
        </w:tc>
        <w:tc>
          <w:tcPr>
            <w:tcW w:w="1643" w:type="dxa"/>
            <w:vAlign w:val="center"/>
          </w:tcPr>
          <w:p>
            <w:pPr>
              <w:pStyle w:val="13"/>
            </w:pPr>
            <w:r>
              <w:t>26.37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32.46</w:t>
            </w:r>
          </w:p>
        </w:tc>
        <w:tc>
          <w:tcPr>
            <w:tcW w:w="1643" w:type="dxa"/>
            <w:vAlign w:val="center"/>
          </w:tcPr>
          <w:p>
            <w:pPr>
              <w:pStyle w:val="13"/>
            </w:pPr>
            <w:r>
              <w:t>32.46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24.65</w:t>
            </w:r>
          </w:p>
        </w:tc>
        <w:tc>
          <w:tcPr>
            <w:tcW w:w="1643" w:type="dxa"/>
            <w:vAlign w:val="center"/>
          </w:tcPr>
          <w:p>
            <w:pPr>
              <w:pStyle w:val="13"/>
            </w:pPr>
            <w:r>
              <w:t>24.65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10.67</w:t>
            </w:r>
          </w:p>
        </w:tc>
        <w:tc>
          <w:tcPr>
            <w:tcW w:w="1643" w:type="dxa"/>
            <w:vAlign w:val="center"/>
          </w:tcPr>
          <w:p>
            <w:pPr>
              <w:pStyle w:val="13"/>
            </w:pPr>
            <w:r>
              <w:t>10.67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5.60</w:t>
            </w:r>
          </w:p>
        </w:tc>
        <w:tc>
          <w:tcPr>
            <w:tcW w:w="1643" w:type="dxa"/>
            <w:vAlign w:val="center"/>
          </w:tcPr>
          <w:p>
            <w:pPr>
              <w:pStyle w:val="13"/>
            </w:pPr>
            <w:r>
              <w:t>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4.33</w:t>
            </w:r>
          </w:p>
        </w:tc>
        <w:tc>
          <w:tcPr>
            <w:tcW w:w="1643" w:type="dxa"/>
            <w:vAlign w:val="center"/>
          </w:tcPr>
          <w:p>
            <w:pPr>
              <w:pStyle w:val="13"/>
            </w:pPr>
            <w:r>
              <w:t>4.33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10.40</w:t>
            </w:r>
          </w:p>
        </w:tc>
        <w:tc>
          <w:tcPr>
            <w:tcW w:w="1643" w:type="dxa"/>
            <w:vAlign w:val="center"/>
          </w:tcPr>
          <w:p>
            <w:pPr>
              <w:pStyle w:val="13"/>
            </w:pPr>
            <w:r>
              <w:t>10.40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8.85</w:t>
            </w:r>
          </w:p>
        </w:tc>
        <w:tc>
          <w:tcPr>
            <w:tcW w:w="1643" w:type="dxa"/>
            <w:vAlign w:val="center"/>
          </w:tcPr>
          <w:p>
            <w:pPr>
              <w:pStyle w:val="13"/>
            </w:pPr>
            <w:r>
              <w:t>8.85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10.55</w:t>
            </w:r>
          </w:p>
        </w:tc>
        <w:tc>
          <w:tcPr>
            <w:tcW w:w="1643" w:type="dxa"/>
            <w:vAlign w:val="center"/>
          </w:tcPr>
          <w:p>
            <w:pPr>
              <w:pStyle w:val="13"/>
            </w:pPr>
          </w:p>
        </w:tc>
        <w:tc>
          <w:tcPr>
            <w:tcW w:w="1643" w:type="dxa"/>
            <w:vAlign w:val="center"/>
          </w:tcPr>
          <w:p>
            <w:pPr>
              <w:pStyle w:val="13"/>
            </w:pPr>
            <w:r>
              <w:t>10.55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4.80</w:t>
            </w:r>
          </w:p>
        </w:tc>
        <w:tc>
          <w:tcPr>
            <w:tcW w:w="1643" w:type="dxa"/>
            <w:vAlign w:val="center"/>
          </w:tcPr>
          <w:p>
            <w:pPr>
              <w:pStyle w:val="13"/>
            </w:pPr>
          </w:p>
        </w:tc>
        <w:tc>
          <w:tcPr>
            <w:tcW w:w="1643"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5386"/>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300.00</w:t>
            </w:r>
          </w:p>
        </w:tc>
        <w:tc>
          <w:tcPr>
            <w:tcW w:w="1643" w:type="dxa"/>
            <w:vAlign w:val="center"/>
          </w:tcPr>
          <w:p>
            <w:pPr>
              <w:pStyle w:val="15"/>
            </w:pPr>
          </w:p>
        </w:tc>
        <w:tc>
          <w:tcPr>
            <w:tcW w:w="1643"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2120803</w:t>
            </w:r>
          </w:p>
        </w:tc>
        <w:tc>
          <w:tcPr>
            <w:tcW w:w="1643" w:type="dxa"/>
            <w:vAlign w:val="center"/>
          </w:tcPr>
          <w:p>
            <w:pPr>
              <w:pStyle w:val="12"/>
            </w:pPr>
            <w:r>
              <w:t>城市建设支出</w:t>
            </w:r>
          </w:p>
        </w:tc>
        <w:tc>
          <w:tcPr>
            <w:tcW w:w="1643" w:type="dxa"/>
            <w:vAlign w:val="center"/>
          </w:tcPr>
          <w:p>
            <w:pPr>
              <w:pStyle w:val="13"/>
            </w:pPr>
            <w:r>
              <w:t>300.00</w:t>
            </w:r>
          </w:p>
        </w:tc>
        <w:tc>
          <w:tcPr>
            <w:tcW w:w="1643" w:type="dxa"/>
            <w:vAlign w:val="center"/>
          </w:tcPr>
          <w:p>
            <w:pPr>
              <w:pStyle w:val="13"/>
            </w:pPr>
          </w:p>
        </w:tc>
        <w:tc>
          <w:tcPr>
            <w:tcW w:w="1643" w:type="dxa"/>
            <w:vAlign w:val="center"/>
          </w:tcPr>
          <w:p>
            <w:pPr>
              <w:pStyle w:val="13"/>
            </w:pPr>
            <w:r>
              <w:t>300.00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14870"/>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8234"/>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藁城区政府投资项目代建中心2022年部门预算信息公开情况说明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藁城区政府投资项目代建中心2022年部门预算信息公开情况说明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、《地方预决算公开操作规程》和《关于进一步推进预算公开工作的实施意见》规定，现将藁城区政府投资项目代建中心2022年部门预算公开如下：</w:t>
      </w:r>
    </w:p>
    <w:p>
      <w:pPr>
        <w:spacing w:before="10" w:after="10" w:line="360" w:lineRule="auto"/>
        <w:ind w:firstLine="640"/>
        <w:jc w:val="left"/>
        <w:outlineLvl w:val="2"/>
      </w:pPr>
      <w:bookmarkStart w:id="9" w:name="_Toc9362"/>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（一）本着科学、实用、节约的原则，根据批复的项目可研（实施方案），就项目建设内容、规模、标准等与使用单位实际需求进行沟通，对代建项目建设全过程进行管理。</w:t>
      </w:r>
    </w:p>
    <w:p>
      <w:pPr>
        <w:pStyle w:val="17"/>
      </w:pPr>
      <w:r>
        <w:t>（二）负责办理有关报建报批手续，以发包人身份与项目使用单位共同负责工程勘察、设计、施工、监理和重要设备、材料、货物等的招标采购及管理工作。</w:t>
      </w:r>
    </w:p>
    <w:p>
      <w:pPr>
        <w:pStyle w:val="17"/>
      </w:pPr>
      <w:r>
        <w:t>（三）制订代建项目工作方案、工作计划和项目管理目标，与项目使用单位共同编报项目年度支出预算。</w:t>
      </w:r>
    </w:p>
    <w:p>
      <w:pPr>
        <w:pStyle w:val="17"/>
      </w:pPr>
      <w:r>
        <w:t>（四）按工程建设进度编制用款计划，对参建单位的资金拨付申请进行审核，并按程序拨付。</w:t>
      </w:r>
    </w:p>
    <w:p>
      <w:pPr>
        <w:pStyle w:val="17"/>
      </w:pPr>
      <w:r>
        <w:t>（五）负责评价参建单位的合同履行情况，组织指导参建单位科学合理做好项目建设过程中的投资控制、质量安全、工期进度、信息档案等工作，组织代建项目的中间验收、竣工验收、项目使用移交等。</w:t>
      </w:r>
    </w:p>
    <w:p>
      <w:pPr>
        <w:pStyle w:val="17"/>
      </w:pPr>
      <w:r>
        <w:t>（六）承办区政府交办的其他事项。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藁城区政府投资项目代建中心本级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360" w:lineRule="auto"/>
        <w:ind w:firstLine="640"/>
        <w:jc w:val="left"/>
        <w:outlineLvl w:val="2"/>
      </w:pPr>
      <w:bookmarkStart w:id="10" w:name="_Toc28759"/>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按照预算管理有关规定，目前我省部门预算的编制实行综合预算管理，即全部收入和支出都反映在预算中。藁城区政府投资项目代建中心机关及所属事业单位的收支包含在部门预算中。</w:t>
      </w:r>
    </w:p>
    <w:p>
      <w:pPr>
        <w:spacing w:line="460" w:lineRule="exact"/>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r>
        <w:rPr>
          <w:rFonts w:hint="eastAsia" w:eastAsia="仿宋" w:cs="Times New Roman"/>
          <w:sz w:val="32"/>
          <w:szCs w:val="32"/>
          <w:lang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万元，基金预算收入</w:t>
      </w:r>
      <w:r>
        <w:rPr>
          <w:rFonts w:hint="eastAsia" w:eastAsia="仿宋" w:cs="Times New Roman"/>
          <w:sz w:val="32"/>
          <w:szCs w:val="32"/>
          <w:lang w:val="en-US" w:eastAsia="zh-CN"/>
        </w:rPr>
        <w:t>30</w:t>
      </w:r>
      <w:r>
        <w:rPr>
          <w:rFonts w:hint="eastAsia" w:ascii="Times New Roman" w:hAnsi="Times New Roman" w:eastAsia="仿宋" w:cs="Times New Roman"/>
          <w:sz w:val="32"/>
          <w:szCs w:val="32"/>
        </w:rPr>
        <w:t>0万元，财政专户核拨收入0万元，其他来源收入0万元。</w:t>
      </w:r>
    </w:p>
    <w:p>
      <w:pPr>
        <w:spacing w:line="460" w:lineRule="exact"/>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r>
        <w:rPr>
          <w:rFonts w:hint="eastAsia" w:eastAsia="仿宋" w:cs="Times New Roman"/>
          <w:sz w:val="32"/>
          <w:szCs w:val="32"/>
          <w:lang w:val="en-US"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1179.88</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133.88</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123.33</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10.55</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1046</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教育</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40</w:t>
      </w:r>
      <w:r>
        <w:rPr>
          <w:rFonts w:hint="eastAsia" w:ascii="Times New Roman" w:hAnsi="Times New Roman" w:eastAsia="仿宋" w:cs="Times New Roman"/>
          <w:sz w:val="32"/>
          <w:szCs w:val="32"/>
        </w:rPr>
        <w:t>5万元，</w:t>
      </w:r>
      <w:r>
        <w:rPr>
          <w:rFonts w:hint="eastAsia" w:eastAsia="仿宋" w:cs="Times New Roman"/>
          <w:sz w:val="32"/>
          <w:szCs w:val="32"/>
          <w:lang w:val="en-US" w:eastAsia="zh-CN"/>
        </w:rPr>
        <w:t>公共安全</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231</w:t>
      </w:r>
      <w:r>
        <w:rPr>
          <w:rFonts w:hint="eastAsia" w:ascii="Times New Roman" w:hAnsi="Times New Roman" w:eastAsia="仿宋" w:cs="Times New Roman"/>
          <w:sz w:val="32"/>
          <w:szCs w:val="32"/>
        </w:rPr>
        <w:t>万元，城乡社区支出</w:t>
      </w:r>
      <w:r>
        <w:rPr>
          <w:rFonts w:hint="eastAsia" w:eastAsia="仿宋" w:cs="Times New Roman"/>
          <w:sz w:val="32"/>
          <w:szCs w:val="32"/>
          <w:lang w:val="en-US" w:eastAsia="zh-CN"/>
        </w:rPr>
        <w:t>110</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政府基金</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3</w:t>
      </w:r>
      <w:r>
        <w:rPr>
          <w:rFonts w:hint="eastAsia" w:ascii="Times New Roman" w:hAnsi="Times New Roman" w:eastAsia="仿宋" w:cs="Times New Roman"/>
          <w:sz w:val="32"/>
          <w:szCs w:val="32"/>
        </w:rPr>
        <w:t>00万元；其他支出0万元。</w:t>
      </w:r>
    </w:p>
    <w:p>
      <w:pPr>
        <w:spacing w:line="460" w:lineRule="exact"/>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r>
        <w:rPr>
          <w:rFonts w:hint="eastAsia" w:eastAsia="仿宋" w:cs="Times New Roman"/>
          <w:sz w:val="32"/>
          <w:szCs w:val="32"/>
          <w:lang w:eastAsia="zh-CN"/>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1179.88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724.74</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增加36.62</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688.12</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教育支出和公共安全支出</w:t>
      </w:r>
      <w:r>
        <w:rPr>
          <w:rFonts w:hint="eastAsia" w:ascii="Times New Roman" w:hAnsi="Times New Roman" w:eastAsia="仿宋" w:cs="Times New Roman"/>
          <w:sz w:val="32"/>
          <w:szCs w:val="32"/>
        </w:rPr>
        <w:t>；其他支出无增减变化。</w:t>
      </w:r>
    </w:p>
    <w:p>
      <w:pPr>
        <w:spacing w:before="0" w:after="0" w:line="500" w:lineRule="exact"/>
        <w:ind w:firstLine="560"/>
        <w:jc w:val="left"/>
        <w:outlineLvl w:val="9"/>
        <w:rPr>
          <w:rFonts w:ascii="Times New Roman" w:hAnsi="Times New Roman" w:eastAsia="方正仿宋_GBK" w:cs="Times New Roman"/>
          <w:color w:val="000000"/>
          <w:sz w:val="28"/>
        </w:r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4106"/>
      <w:r>
        <w:rPr>
          <w:rFonts w:ascii="黑体" w:hAnsi="黑体" w:eastAsia="黑体" w:cs="黑体"/>
          <w:color w:val="000000"/>
          <w:sz w:val="32"/>
        </w:rPr>
        <w:t>机关运行经费安排情况</w:t>
      </w:r>
      <w:bookmarkEnd w:id="11"/>
    </w:p>
    <w:p>
      <w:pPr>
        <w:spacing w:before="10" w:after="10" w:line="360" w:lineRule="auto"/>
        <w:ind w:firstLine="640" w:firstLineChars="200"/>
        <w:jc w:val="left"/>
        <w:outlineLvl w:val="2"/>
        <w:rPr>
          <w:rFonts w:hint="eastAsia" w:eastAsia="仿宋" w:cs="Times New Roman"/>
          <w:sz w:val="32"/>
          <w:szCs w:val="32"/>
          <w:lang w:val="en-US" w:eastAsia="zh-CN"/>
        </w:rPr>
      </w:pPr>
      <w:bookmarkStart w:id="12" w:name="_Toc24929"/>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10.55</w:t>
      </w:r>
      <w:r>
        <w:rPr>
          <w:rFonts w:hint="eastAsia" w:ascii="Times New Roman" w:hAnsi="Times New Roman" w:eastAsia="仿宋" w:cs="Times New Roman"/>
          <w:sz w:val="32"/>
          <w:szCs w:val="32"/>
        </w:rPr>
        <w:t>万元，主要用于保证机关正常运转的办公</w:t>
      </w:r>
      <w:r>
        <w:rPr>
          <w:rFonts w:hint="eastAsia" w:eastAsia="仿宋" w:cs="Times New Roman"/>
          <w:sz w:val="32"/>
          <w:szCs w:val="32"/>
          <w:lang w:val="en-US" w:eastAsia="zh-CN"/>
        </w:rPr>
        <w:t>费、</w:t>
      </w:r>
      <w:r>
        <w:rPr>
          <w:rFonts w:hint="eastAsia" w:ascii="Times New Roman" w:hAnsi="Times New Roman" w:eastAsia="仿宋" w:cs="Times New Roman"/>
          <w:sz w:val="32"/>
          <w:szCs w:val="32"/>
        </w:rPr>
        <w:t>福利费</w:t>
      </w:r>
      <w:r>
        <w:rPr>
          <w:rFonts w:hint="eastAsia" w:eastAsia="仿宋" w:cs="Times New Roman"/>
          <w:sz w:val="32"/>
          <w:szCs w:val="32"/>
          <w:lang w:val="en-US" w:eastAsia="zh-CN"/>
        </w:rPr>
        <w:t>等支出。</w:t>
      </w:r>
      <w:bookmarkEnd w:id="12"/>
    </w:p>
    <w:p>
      <w:pPr>
        <w:spacing w:before="10" w:after="10" w:line="360" w:lineRule="auto"/>
        <w:ind w:firstLine="640" w:firstLineChars="200"/>
        <w:jc w:val="left"/>
        <w:outlineLvl w:val="2"/>
      </w:pPr>
      <w:bookmarkStart w:id="13" w:name="_Toc28599"/>
      <w:r>
        <w:rPr>
          <w:rFonts w:ascii="黑体" w:hAnsi="黑体" w:eastAsia="黑体" w:cs="黑体"/>
          <w:color w:val="000000"/>
          <w:sz w:val="32"/>
        </w:rPr>
        <w:t>四、财政拨款“三公”经费预算情况及增减变化原因</w:t>
      </w:r>
      <w:bookmarkEnd w:id="13"/>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18"/>
      </w:pPr>
    </w:p>
    <w:p>
      <w:pPr>
        <w:spacing w:before="10" w:after="10" w:line="360" w:lineRule="auto"/>
        <w:ind w:firstLine="640"/>
        <w:jc w:val="left"/>
        <w:outlineLvl w:val="2"/>
      </w:pPr>
      <w:bookmarkStart w:id="14" w:name="_Toc17040"/>
      <w:r>
        <w:rPr>
          <w:rFonts w:ascii="黑体" w:hAnsi="黑体" w:eastAsia="黑体" w:cs="黑体"/>
          <w:color w:val="000000"/>
          <w:sz w:val="32"/>
        </w:rPr>
        <w:t>五、预算绩效信息</w:t>
      </w:r>
      <w:bookmarkEnd w:id="14"/>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2022年，代建中心将围绕全省发展大格局、大目标、大战略，围绕大力支持省会建设和高质量发展，继续严管理、抓落实、快推进，以区委、区政府确定的重点、民生项目为核心，集中精力抓好代建项目推进。继续推进完成上年未完工的项目，确保时限性强的项目如期完工验收。启动实施2022年新代建项目。按照区委、区政府统一安排部署，不断加强内部制度建设，注重实效，突出重点，将改革向纵深推进，以建精品、创品牌、树标杆为目标，不断提升项目管理水平，展示良好的政府投资项目形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1、以区委、区政府确定的重点、民生项目为核心，集中精力抓好代建项目推进。</w:t>
      </w:r>
    </w:p>
    <w:p>
      <w:pPr>
        <w:pStyle w:val="20"/>
      </w:pPr>
      <w:r>
        <w:t>绩效目标：继续推进完成上年未完工的项目，确保代建项目如期竣工验收，如综合体育馆、党校、中医院传染病区、人民医院续建、12所卫生院基础设施建设项目如期完工；启动2022年新代建项目，保证新代建项目如期开工，如异地干部保障用房、学前教育提升新建项目。</w:t>
      </w:r>
    </w:p>
    <w:p>
      <w:pPr>
        <w:pStyle w:val="20"/>
      </w:pPr>
      <w:r>
        <w:t>绩效指标：工程按期完成率100%；通过验收的工程量占验收建设总量 90%；新代建项目按期开工率 100% 。</w:t>
      </w:r>
    </w:p>
    <w:p>
      <w:pPr>
        <w:pStyle w:val="20"/>
      </w:pPr>
      <w:r>
        <w:t>2、按照区委、区政府统一安排部署，不断提高代建项目质量、安全及文明施工水平。</w:t>
      </w:r>
    </w:p>
    <w:p>
      <w:pPr>
        <w:pStyle w:val="20"/>
      </w:pPr>
      <w:r>
        <w:t>绩效目标：促进代建项目质量、安全及文明施工水平提高，保障施工质量安全及扬尘治理水平规范现场管理。</w:t>
      </w:r>
    </w:p>
    <w:p>
      <w:pPr>
        <w:pStyle w:val="20"/>
      </w:pPr>
      <w:r>
        <w:t>绩效指标：项目现场考核覆盖率大于或等于90%；进行现场检查考核并对检查出具考核报告大于或等于 10 次。</w:t>
      </w:r>
    </w:p>
    <w:p>
      <w:pPr>
        <w:pStyle w:val="20"/>
      </w:pPr>
      <w:r>
        <w:t>3、以建精品、创品牌、树标杆为目标，不断提升项目管理水平，展示良好的政府投资项目形象。</w:t>
      </w:r>
    </w:p>
    <w:p>
      <w:pPr>
        <w:pStyle w:val="20"/>
      </w:pPr>
      <w:r>
        <w:t>绩效目标：外抓管理、内强素质，严把工程质量关、现场文明施工关，促进代建项目质量、安全及文明施工水平提高；保障施工质量安全及扬尘治理水平规范现场管理，努力将每一项代建工程打造成为质量标杆工程、扬尘治理标杆工地，展示良好的政府投资项目形象。</w:t>
      </w:r>
    </w:p>
    <w:p>
      <w:pPr>
        <w:pStyle w:val="20"/>
      </w:pPr>
      <w:r>
        <w:t>绩效指标：通过验收的单位工程均符合河北省建筑质量验收规范确定的标准；发生较大及以上安全事故率为零；严格按照《石家庄市严管建筑施工扬尘十二条》规定达到“六个百分百、两个全覆盖”，代建项目工地环保合格率 100%。</w:t>
      </w:r>
    </w:p>
    <w:p>
      <w:pPr>
        <w:pStyle w:val="20"/>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p>
    <w:p>
      <w:pPr>
        <w:pStyle w:val="21"/>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1"/>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1"/>
      </w:pPr>
      <w:r>
        <w:t>(三)加强绩效运行监控。按要求开展绩效运行监控，全程跟踪预算执行进度，对执行过程中发现的问题及时反馈，制定切实可行举措，确保绩效目标如期保质实现。</w:t>
      </w:r>
    </w:p>
    <w:p>
      <w:pPr>
        <w:pStyle w:val="21"/>
      </w:pPr>
      <w:r>
        <w:t>(四)做好绩效自评。积极开展年度部门预算绩效自评和重点评价工作，在自评中发现问题并及时整改解决，开展重点评价工作，调整优化重大项目支出结构，提高财政资金使用效益</w:t>
      </w:r>
    </w:p>
    <w:p>
      <w:pPr>
        <w:pStyle w:val="21"/>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1"/>
      </w:pPr>
      <w:r>
        <w:t>(六)加强内部监督。加强内部监警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pStyle w:val="22"/>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2"/>
        <w:spacing w:before="0" w:after="0"/>
        <w:ind w:firstLine="560"/>
        <w:jc w:val="left"/>
        <w:outlineLvl w:val="9"/>
      </w:pPr>
      <w:r>
        <w:rPr>
          <w:rFonts w:ascii="方正仿宋_GBK" w:hAnsi="方正仿宋_GBK" w:eastAsia="方正仿宋_GBK" w:cs="方正仿宋_GBK"/>
          <w:b/>
          <w:color w:val="000000"/>
          <w:sz w:val="28"/>
        </w:rPr>
        <w:t>1、北孟小学新建教学楼及附属工程建设资金（附加）（校安）绩效目标表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1.改善办学条件、提高教育质量</w:t>
            </w:r>
          </w:p>
          <w:p>
            <w:pPr>
              <w:pStyle w:val="24"/>
            </w:pPr>
            <w:r>
              <w:t>2.促进教育均衡发展</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新建校舍面积</w:t>
            </w:r>
          </w:p>
        </w:tc>
        <w:tc>
          <w:tcPr>
            <w:tcW w:w="2466" w:type="dxa"/>
            <w:vAlign w:val="center"/>
          </w:tcPr>
          <w:p>
            <w:pPr>
              <w:pStyle w:val="24"/>
            </w:pPr>
            <w:r>
              <w:t>新建校舍面积</w:t>
            </w:r>
          </w:p>
        </w:tc>
        <w:tc>
          <w:tcPr>
            <w:tcW w:w="2466" w:type="dxa"/>
            <w:vAlign w:val="center"/>
          </w:tcPr>
          <w:p>
            <w:pPr>
              <w:pStyle w:val="24"/>
            </w:pPr>
            <w:r>
              <w:t>≥1986平方米</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新建、改造、维修的校舍建设项目验收合格完成率</w:t>
            </w:r>
          </w:p>
        </w:tc>
        <w:tc>
          <w:tcPr>
            <w:tcW w:w="2466" w:type="dxa"/>
            <w:vAlign w:val="center"/>
          </w:tcPr>
          <w:p>
            <w:pPr>
              <w:pStyle w:val="24"/>
            </w:pPr>
            <w:r>
              <w:t>完成率</w:t>
            </w:r>
          </w:p>
        </w:tc>
        <w:tc>
          <w:tcPr>
            <w:tcW w:w="2466" w:type="dxa"/>
            <w:vAlign w:val="center"/>
          </w:tcPr>
          <w:p>
            <w:pPr>
              <w:pStyle w:val="24"/>
            </w:pPr>
            <w:r>
              <w:t>≥100%</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工程完成及时率</w:t>
            </w:r>
          </w:p>
        </w:tc>
        <w:tc>
          <w:tcPr>
            <w:tcW w:w="2466" w:type="dxa"/>
            <w:vAlign w:val="center"/>
          </w:tcPr>
          <w:p>
            <w:pPr>
              <w:pStyle w:val="24"/>
            </w:pPr>
            <w:r>
              <w:t>工程完成及时情况</w:t>
            </w:r>
          </w:p>
        </w:tc>
        <w:tc>
          <w:tcPr>
            <w:tcW w:w="2466" w:type="dxa"/>
            <w:vAlign w:val="center"/>
          </w:tcPr>
          <w:p>
            <w:pPr>
              <w:pStyle w:val="24"/>
            </w:pPr>
            <w:r>
              <w:t>100按施工完成竣工验收报告</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单位面积成本</w:t>
            </w:r>
          </w:p>
        </w:tc>
        <w:tc>
          <w:tcPr>
            <w:tcW w:w="2466" w:type="dxa"/>
            <w:vAlign w:val="center"/>
          </w:tcPr>
          <w:p>
            <w:pPr>
              <w:pStyle w:val="24"/>
            </w:pPr>
            <w:r>
              <w:t>单位面积成本</w:t>
            </w:r>
          </w:p>
        </w:tc>
        <w:tc>
          <w:tcPr>
            <w:tcW w:w="2466" w:type="dxa"/>
            <w:vAlign w:val="center"/>
          </w:tcPr>
          <w:p>
            <w:pPr>
              <w:pStyle w:val="24"/>
            </w:pPr>
            <w:r>
              <w:t>≤2000元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校舍可持续使用年限</w:t>
            </w:r>
          </w:p>
        </w:tc>
        <w:tc>
          <w:tcPr>
            <w:tcW w:w="2466" w:type="dxa"/>
            <w:vAlign w:val="center"/>
          </w:tcPr>
          <w:p>
            <w:pPr>
              <w:pStyle w:val="24"/>
            </w:pPr>
            <w:r>
              <w:t>校舍可持续使用年限</w:t>
            </w:r>
          </w:p>
        </w:tc>
        <w:tc>
          <w:tcPr>
            <w:tcW w:w="2466" w:type="dxa"/>
            <w:vAlign w:val="center"/>
          </w:tcPr>
          <w:p>
            <w:pPr>
              <w:pStyle w:val="24"/>
            </w:pPr>
            <w:r>
              <w:t>50年</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教师满意度</w:t>
            </w:r>
          </w:p>
        </w:tc>
        <w:tc>
          <w:tcPr>
            <w:tcW w:w="2466" w:type="dxa"/>
            <w:vAlign w:val="center"/>
          </w:tcPr>
          <w:p>
            <w:pPr>
              <w:pStyle w:val="24"/>
            </w:pPr>
            <w:r>
              <w:t>教师满意度</w:t>
            </w:r>
          </w:p>
        </w:tc>
        <w:tc>
          <w:tcPr>
            <w:tcW w:w="2466" w:type="dxa"/>
            <w:vAlign w:val="center"/>
          </w:tcPr>
          <w:p>
            <w:pPr>
              <w:pStyle w:val="24"/>
            </w:pPr>
            <w:r>
              <w:t>≥90%</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2、卞家寨教学点教学楼、食堂及附属工程建设资金（附加）（校安）绩效目标表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1.改善办学条件、提高教育质量</w:t>
            </w:r>
          </w:p>
          <w:p>
            <w:pPr>
              <w:pStyle w:val="24"/>
            </w:pPr>
            <w:r>
              <w:t>2.促进教育均衡发展</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新建校舍面积</w:t>
            </w:r>
          </w:p>
        </w:tc>
        <w:tc>
          <w:tcPr>
            <w:tcW w:w="2466" w:type="dxa"/>
            <w:vAlign w:val="center"/>
          </w:tcPr>
          <w:p>
            <w:pPr>
              <w:pStyle w:val="24"/>
            </w:pPr>
            <w:r>
              <w:t>新建校舍面积</w:t>
            </w:r>
          </w:p>
        </w:tc>
        <w:tc>
          <w:tcPr>
            <w:tcW w:w="2466" w:type="dxa"/>
            <w:vAlign w:val="center"/>
          </w:tcPr>
          <w:p>
            <w:pPr>
              <w:pStyle w:val="24"/>
            </w:pPr>
            <w:r>
              <w:t>≥2591平方米</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新建、改造、维修的校舍建设项目验收合格完成率</w:t>
            </w:r>
          </w:p>
        </w:tc>
        <w:tc>
          <w:tcPr>
            <w:tcW w:w="2466" w:type="dxa"/>
            <w:vAlign w:val="center"/>
          </w:tcPr>
          <w:p>
            <w:pPr>
              <w:pStyle w:val="24"/>
            </w:pPr>
            <w:r>
              <w:t>新建、改造、维修的校舍建设项目验收合格完成率</w:t>
            </w:r>
          </w:p>
        </w:tc>
        <w:tc>
          <w:tcPr>
            <w:tcW w:w="2466" w:type="dxa"/>
            <w:vAlign w:val="center"/>
          </w:tcPr>
          <w:p>
            <w:pPr>
              <w:pStyle w:val="24"/>
            </w:pPr>
            <w:r>
              <w:t>100%</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工程完成及时率</w:t>
            </w:r>
          </w:p>
        </w:tc>
        <w:tc>
          <w:tcPr>
            <w:tcW w:w="2466" w:type="dxa"/>
            <w:vAlign w:val="center"/>
          </w:tcPr>
          <w:p>
            <w:pPr>
              <w:pStyle w:val="24"/>
            </w:pPr>
            <w:r>
              <w:t>工程完成及时情况</w:t>
            </w:r>
          </w:p>
        </w:tc>
        <w:tc>
          <w:tcPr>
            <w:tcW w:w="2466" w:type="dxa"/>
            <w:vAlign w:val="center"/>
          </w:tcPr>
          <w:p>
            <w:pPr>
              <w:pStyle w:val="24"/>
            </w:pPr>
            <w:r>
              <w:t>100按施工完成竣工验收报告</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单位面积成本</w:t>
            </w:r>
          </w:p>
        </w:tc>
        <w:tc>
          <w:tcPr>
            <w:tcW w:w="2466" w:type="dxa"/>
            <w:vAlign w:val="center"/>
          </w:tcPr>
          <w:p>
            <w:pPr>
              <w:pStyle w:val="24"/>
            </w:pPr>
            <w:r>
              <w:t>单位面积成本</w:t>
            </w:r>
          </w:p>
        </w:tc>
        <w:tc>
          <w:tcPr>
            <w:tcW w:w="2466" w:type="dxa"/>
            <w:vAlign w:val="center"/>
          </w:tcPr>
          <w:p>
            <w:pPr>
              <w:pStyle w:val="24"/>
            </w:pPr>
            <w:r>
              <w:t>≤2000元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校舍可持续使用年限</w:t>
            </w:r>
          </w:p>
        </w:tc>
        <w:tc>
          <w:tcPr>
            <w:tcW w:w="2466" w:type="dxa"/>
            <w:vAlign w:val="center"/>
          </w:tcPr>
          <w:p>
            <w:pPr>
              <w:pStyle w:val="24"/>
            </w:pPr>
            <w:r>
              <w:t>校舍可持续使用年限</w:t>
            </w:r>
          </w:p>
        </w:tc>
        <w:tc>
          <w:tcPr>
            <w:tcW w:w="2466" w:type="dxa"/>
            <w:vAlign w:val="center"/>
          </w:tcPr>
          <w:p>
            <w:pPr>
              <w:pStyle w:val="24"/>
            </w:pPr>
            <w:r>
              <w:t>50年</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教师满意度</w:t>
            </w:r>
          </w:p>
        </w:tc>
        <w:tc>
          <w:tcPr>
            <w:tcW w:w="2466" w:type="dxa"/>
            <w:vAlign w:val="center"/>
          </w:tcPr>
          <w:p>
            <w:pPr>
              <w:pStyle w:val="24"/>
            </w:pPr>
            <w:r>
              <w:t>教师满意度</w:t>
            </w:r>
          </w:p>
        </w:tc>
        <w:tc>
          <w:tcPr>
            <w:tcW w:w="2466" w:type="dxa"/>
            <w:vAlign w:val="center"/>
          </w:tcPr>
          <w:p>
            <w:pPr>
              <w:pStyle w:val="24"/>
            </w:pPr>
            <w:r>
              <w:t>≥90%</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3、看守所巡逻通道及营房改建工程资金绩效目标表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1.有效改善看守所监管设施落后水平，提高看守所管理水平</w:t>
            </w:r>
          </w:p>
          <w:p>
            <w:pPr>
              <w:pStyle w:val="24"/>
            </w:pPr>
            <w:r>
              <w:t>2.有效缓解武警执勤隐患，确保看守所安全</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改造通道、营房所面积</w:t>
            </w:r>
          </w:p>
        </w:tc>
        <w:tc>
          <w:tcPr>
            <w:tcW w:w="2466" w:type="dxa"/>
            <w:vAlign w:val="center"/>
          </w:tcPr>
          <w:p>
            <w:pPr>
              <w:pStyle w:val="24"/>
            </w:pPr>
            <w:r>
              <w:t>改造通道、营房面积</w:t>
            </w:r>
          </w:p>
        </w:tc>
        <w:tc>
          <w:tcPr>
            <w:tcW w:w="2466" w:type="dxa"/>
            <w:vAlign w:val="center"/>
          </w:tcPr>
          <w:p>
            <w:pPr>
              <w:pStyle w:val="24"/>
            </w:pPr>
            <w:r>
              <w:t>≥1200平方米</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改造、维修的通道、营房建设项目验收合格完成率</w:t>
            </w:r>
          </w:p>
        </w:tc>
        <w:tc>
          <w:tcPr>
            <w:tcW w:w="2466" w:type="dxa"/>
            <w:vAlign w:val="center"/>
          </w:tcPr>
          <w:p>
            <w:pPr>
              <w:pStyle w:val="24"/>
            </w:pPr>
            <w:r>
              <w:t>改造、维修的通道、营房建设项目验收合格完成率完成率</w:t>
            </w:r>
          </w:p>
        </w:tc>
        <w:tc>
          <w:tcPr>
            <w:tcW w:w="2466" w:type="dxa"/>
            <w:vAlign w:val="center"/>
          </w:tcPr>
          <w:p>
            <w:pPr>
              <w:pStyle w:val="24"/>
            </w:pPr>
            <w:r>
              <w:t>100%</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工程完成及时率</w:t>
            </w:r>
          </w:p>
        </w:tc>
        <w:tc>
          <w:tcPr>
            <w:tcW w:w="2466" w:type="dxa"/>
            <w:vAlign w:val="center"/>
          </w:tcPr>
          <w:p>
            <w:pPr>
              <w:pStyle w:val="24"/>
            </w:pPr>
            <w:r>
              <w:t>工程完成及时情况</w:t>
            </w:r>
          </w:p>
        </w:tc>
        <w:tc>
          <w:tcPr>
            <w:tcW w:w="2466" w:type="dxa"/>
            <w:vAlign w:val="center"/>
          </w:tcPr>
          <w:p>
            <w:pPr>
              <w:pStyle w:val="24"/>
            </w:pPr>
            <w:r>
              <w:t>100%</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单位面积成本</w:t>
            </w:r>
          </w:p>
        </w:tc>
        <w:tc>
          <w:tcPr>
            <w:tcW w:w="2466" w:type="dxa"/>
            <w:vAlign w:val="center"/>
          </w:tcPr>
          <w:p>
            <w:pPr>
              <w:pStyle w:val="24"/>
            </w:pPr>
            <w:r>
              <w:t>单位面积成本</w:t>
            </w:r>
          </w:p>
        </w:tc>
        <w:tc>
          <w:tcPr>
            <w:tcW w:w="2466" w:type="dxa"/>
            <w:vAlign w:val="center"/>
          </w:tcPr>
          <w:p>
            <w:pPr>
              <w:pStyle w:val="24"/>
            </w:pPr>
            <w:r>
              <w:t>≤2000元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对看守所安全和社会稳定的保障率</w:t>
            </w:r>
          </w:p>
        </w:tc>
        <w:tc>
          <w:tcPr>
            <w:tcW w:w="2466" w:type="dxa"/>
            <w:vAlign w:val="center"/>
          </w:tcPr>
          <w:p>
            <w:pPr>
              <w:pStyle w:val="24"/>
            </w:pPr>
            <w:r>
              <w:t>保证看守所及社会的稳定</w:t>
            </w:r>
          </w:p>
        </w:tc>
        <w:tc>
          <w:tcPr>
            <w:tcW w:w="2466" w:type="dxa"/>
            <w:vAlign w:val="center"/>
          </w:tcPr>
          <w:p>
            <w:pPr>
              <w:pStyle w:val="24"/>
            </w:pPr>
            <w:r>
              <w:t>100%</w:t>
            </w:r>
          </w:p>
        </w:tc>
        <w:tc>
          <w:tcPr>
            <w:tcW w:w="2466" w:type="dxa"/>
            <w:vAlign w:val="center"/>
          </w:tcPr>
          <w:p>
            <w:pPr>
              <w:pStyle w:val="24"/>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驻地武警满意度</w:t>
            </w:r>
          </w:p>
        </w:tc>
        <w:tc>
          <w:tcPr>
            <w:tcW w:w="2466" w:type="dxa"/>
            <w:vAlign w:val="center"/>
          </w:tcPr>
          <w:p>
            <w:pPr>
              <w:pStyle w:val="24"/>
            </w:pPr>
            <w:r>
              <w:t>驻地武警满意度</w:t>
            </w:r>
          </w:p>
        </w:tc>
        <w:tc>
          <w:tcPr>
            <w:tcW w:w="2466" w:type="dxa"/>
            <w:vAlign w:val="center"/>
          </w:tcPr>
          <w:p>
            <w:pPr>
              <w:pStyle w:val="24"/>
            </w:pPr>
            <w:r>
              <w:t>≥90%</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4、前期费及其他费绩效目标表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1.强化工程建设管理，使工程建设达到质量优、进度快、投资省、效益高的目的</w:t>
            </w:r>
          </w:p>
          <w:p>
            <w:pPr>
              <w:pStyle w:val="24"/>
            </w:pPr>
            <w:r>
              <w:t>2.明确岗位职责，提供管理咨询服务，科学有效地实施管理</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公司数量</w:t>
            </w:r>
          </w:p>
        </w:tc>
        <w:tc>
          <w:tcPr>
            <w:tcW w:w="2466" w:type="dxa"/>
            <w:vAlign w:val="center"/>
          </w:tcPr>
          <w:p>
            <w:pPr>
              <w:pStyle w:val="24"/>
            </w:pPr>
            <w:r>
              <w:t>招聘的公司数量</w:t>
            </w:r>
          </w:p>
        </w:tc>
        <w:tc>
          <w:tcPr>
            <w:tcW w:w="2466" w:type="dxa"/>
            <w:vAlign w:val="center"/>
          </w:tcPr>
          <w:p>
            <w:pPr>
              <w:pStyle w:val="24"/>
            </w:pPr>
            <w:r>
              <w:t>6个</w:t>
            </w:r>
          </w:p>
        </w:tc>
        <w:tc>
          <w:tcPr>
            <w:tcW w:w="2466" w:type="dxa"/>
            <w:vAlign w:val="center"/>
          </w:tcPr>
          <w:p>
            <w:pPr>
              <w:pStyle w:val="2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招聘公司合格率</w:t>
            </w:r>
          </w:p>
        </w:tc>
        <w:tc>
          <w:tcPr>
            <w:tcW w:w="2466" w:type="dxa"/>
            <w:vAlign w:val="center"/>
          </w:tcPr>
          <w:p>
            <w:pPr>
              <w:pStyle w:val="24"/>
            </w:pPr>
            <w:r>
              <w:t>招聘的公司服务质量达到合格效果</w:t>
            </w:r>
          </w:p>
        </w:tc>
        <w:tc>
          <w:tcPr>
            <w:tcW w:w="2466" w:type="dxa"/>
            <w:vAlign w:val="center"/>
          </w:tcPr>
          <w:p>
            <w:pPr>
              <w:pStyle w:val="24"/>
            </w:pPr>
            <w:r>
              <w:t>100%</w:t>
            </w:r>
          </w:p>
        </w:tc>
        <w:tc>
          <w:tcPr>
            <w:tcW w:w="2466" w:type="dxa"/>
            <w:vAlign w:val="center"/>
          </w:tcPr>
          <w:p>
            <w:pPr>
              <w:pStyle w:val="2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管理完成及时率</w:t>
            </w:r>
          </w:p>
        </w:tc>
        <w:tc>
          <w:tcPr>
            <w:tcW w:w="2466" w:type="dxa"/>
            <w:vAlign w:val="center"/>
          </w:tcPr>
          <w:p>
            <w:pPr>
              <w:pStyle w:val="24"/>
            </w:pPr>
            <w:r>
              <w:t>管理完成及时情况</w:t>
            </w:r>
          </w:p>
        </w:tc>
        <w:tc>
          <w:tcPr>
            <w:tcW w:w="2466" w:type="dxa"/>
            <w:vAlign w:val="center"/>
          </w:tcPr>
          <w:p>
            <w:pPr>
              <w:pStyle w:val="24"/>
            </w:pPr>
            <w:r>
              <w:t>100%</w:t>
            </w:r>
          </w:p>
        </w:tc>
        <w:tc>
          <w:tcPr>
            <w:tcW w:w="2466" w:type="dxa"/>
            <w:vAlign w:val="center"/>
          </w:tcPr>
          <w:p>
            <w:pPr>
              <w:pStyle w:val="2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项目完成成本</w:t>
            </w:r>
          </w:p>
        </w:tc>
        <w:tc>
          <w:tcPr>
            <w:tcW w:w="2466" w:type="dxa"/>
            <w:vAlign w:val="center"/>
          </w:tcPr>
          <w:p>
            <w:pPr>
              <w:pStyle w:val="24"/>
            </w:pPr>
            <w:r>
              <w:t>项目完成成本</w:t>
            </w:r>
          </w:p>
        </w:tc>
        <w:tc>
          <w:tcPr>
            <w:tcW w:w="2466" w:type="dxa"/>
            <w:vAlign w:val="center"/>
          </w:tcPr>
          <w:p>
            <w:pPr>
              <w:pStyle w:val="24"/>
            </w:pPr>
            <w:r>
              <w:t>≤110万元</w:t>
            </w:r>
          </w:p>
        </w:tc>
        <w:tc>
          <w:tcPr>
            <w:tcW w:w="2466" w:type="dxa"/>
            <w:vAlign w:val="center"/>
          </w:tcPr>
          <w:p>
            <w:pPr>
              <w:pStyle w:val="2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管理服务期限</w:t>
            </w:r>
          </w:p>
        </w:tc>
        <w:tc>
          <w:tcPr>
            <w:tcW w:w="2466" w:type="dxa"/>
            <w:vAlign w:val="center"/>
          </w:tcPr>
          <w:p>
            <w:pPr>
              <w:pStyle w:val="24"/>
            </w:pPr>
            <w:r>
              <w:t>管理期限自项目开工至竣工结算完成</w:t>
            </w:r>
          </w:p>
        </w:tc>
        <w:tc>
          <w:tcPr>
            <w:tcW w:w="2466" w:type="dxa"/>
            <w:vAlign w:val="center"/>
          </w:tcPr>
          <w:p>
            <w:pPr>
              <w:pStyle w:val="24"/>
            </w:pPr>
            <w:r>
              <w:t>管理项目工期</w:t>
            </w:r>
          </w:p>
        </w:tc>
        <w:tc>
          <w:tcPr>
            <w:tcW w:w="2466" w:type="dxa"/>
            <w:vAlign w:val="center"/>
          </w:tcPr>
          <w:p>
            <w:pPr>
              <w:pStyle w:val="2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工程发包方满意度指标</w:t>
            </w:r>
          </w:p>
        </w:tc>
        <w:tc>
          <w:tcPr>
            <w:tcW w:w="2466" w:type="dxa"/>
            <w:vAlign w:val="center"/>
          </w:tcPr>
          <w:p>
            <w:pPr>
              <w:pStyle w:val="24"/>
            </w:pPr>
            <w:r>
              <w:t>工程发包方满意度指标</w:t>
            </w:r>
          </w:p>
        </w:tc>
        <w:tc>
          <w:tcPr>
            <w:tcW w:w="2466" w:type="dxa"/>
            <w:vAlign w:val="center"/>
          </w:tcPr>
          <w:p>
            <w:pPr>
              <w:pStyle w:val="24"/>
            </w:pPr>
            <w:r>
              <w:t>≥90%</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5、杨马村小学新建实验楼项目资金（附加）（校安）绩效目标表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1.改善办学条件、提高教育质量</w:t>
            </w:r>
          </w:p>
          <w:p>
            <w:pPr>
              <w:pStyle w:val="24"/>
            </w:pPr>
            <w:r>
              <w:t>2.促进教育均衡发展</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新建校舍面积</w:t>
            </w:r>
          </w:p>
        </w:tc>
        <w:tc>
          <w:tcPr>
            <w:tcW w:w="2466" w:type="dxa"/>
            <w:vAlign w:val="center"/>
          </w:tcPr>
          <w:p>
            <w:pPr>
              <w:pStyle w:val="24"/>
            </w:pPr>
            <w:r>
              <w:t>新建校舍面积</w:t>
            </w:r>
          </w:p>
        </w:tc>
        <w:tc>
          <w:tcPr>
            <w:tcW w:w="2466" w:type="dxa"/>
            <w:vAlign w:val="center"/>
          </w:tcPr>
          <w:p>
            <w:pPr>
              <w:pStyle w:val="24"/>
            </w:pPr>
            <w:r>
              <w:t>≥2891平方米</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新建、改造、维修的校舍建设项目验收合格完成率</w:t>
            </w:r>
          </w:p>
        </w:tc>
        <w:tc>
          <w:tcPr>
            <w:tcW w:w="2466" w:type="dxa"/>
            <w:vAlign w:val="center"/>
          </w:tcPr>
          <w:p>
            <w:pPr>
              <w:pStyle w:val="24"/>
            </w:pPr>
            <w:r>
              <w:t>新建、改造、维修的校舍建设项目验收合格完成率</w:t>
            </w:r>
          </w:p>
        </w:tc>
        <w:tc>
          <w:tcPr>
            <w:tcW w:w="2466" w:type="dxa"/>
            <w:vAlign w:val="center"/>
          </w:tcPr>
          <w:p>
            <w:pPr>
              <w:pStyle w:val="24"/>
            </w:pPr>
            <w:r>
              <w:t>100%</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工程完成及时率</w:t>
            </w:r>
          </w:p>
        </w:tc>
        <w:tc>
          <w:tcPr>
            <w:tcW w:w="2466" w:type="dxa"/>
            <w:vAlign w:val="center"/>
          </w:tcPr>
          <w:p>
            <w:pPr>
              <w:pStyle w:val="24"/>
            </w:pPr>
            <w:r>
              <w:t>工程完成及时情况</w:t>
            </w:r>
          </w:p>
        </w:tc>
        <w:tc>
          <w:tcPr>
            <w:tcW w:w="2466" w:type="dxa"/>
            <w:vAlign w:val="center"/>
          </w:tcPr>
          <w:p>
            <w:pPr>
              <w:pStyle w:val="24"/>
            </w:pPr>
            <w:r>
              <w:t>100%</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单位面积成本</w:t>
            </w:r>
          </w:p>
        </w:tc>
        <w:tc>
          <w:tcPr>
            <w:tcW w:w="2466" w:type="dxa"/>
            <w:vAlign w:val="center"/>
          </w:tcPr>
          <w:p>
            <w:pPr>
              <w:pStyle w:val="24"/>
            </w:pPr>
            <w:r>
              <w:t>单位面积成本</w:t>
            </w:r>
          </w:p>
        </w:tc>
        <w:tc>
          <w:tcPr>
            <w:tcW w:w="2466" w:type="dxa"/>
            <w:vAlign w:val="center"/>
          </w:tcPr>
          <w:p>
            <w:pPr>
              <w:pStyle w:val="24"/>
            </w:pPr>
            <w:r>
              <w:t>≤2000元</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可持续影响指标</w:t>
            </w:r>
          </w:p>
        </w:tc>
        <w:tc>
          <w:tcPr>
            <w:tcW w:w="2466" w:type="dxa"/>
            <w:vAlign w:val="center"/>
          </w:tcPr>
          <w:p>
            <w:pPr>
              <w:pStyle w:val="24"/>
            </w:pPr>
            <w:r>
              <w:t>校舍可持续使用年限</w:t>
            </w:r>
          </w:p>
        </w:tc>
        <w:tc>
          <w:tcPr>
            <w:tcW w:w="2466" w:type="dxa"/>
            <w:vAlign w:val="center"/>
          </w:tcPr>
          <w:p>
            <w:pPr>
              <w:pStyle w:val="24"/>
            </w:pPr>
            <w:r>
              <w:t>校舍可持续使用年限</w:t>
            </w:r>
          </w:p>
        </w:tc>
        <w:tc>
          <w:tcPr>
            <w:tcW w:w="2466" w:type="dxa"/>
            <w:vAlign w:val="center"/>
          </w:tcPr>
          <w:p>
            <w:pPr>
              <w:pStyle w:val="24"/>
            </w:pPr>
            <w:r>
              <w:t>50年</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教师满意度</w:t>
            </w:r>
          </w:p>
        </w:tc>
        <w:tc>
          <w:tcPr>
            <w:tcW w:w="2466" w:type="dxa"/>
            <w:vAlign w:val="center"/>
          </w:tcPr>
          <w:p>
            <w:pPr>
              <w:pStyle w:val="24"/>
            </w:pPr>
            <w:r>
              <w:t>教师满意度</w:t>
            </w:r>
          </w:p>
        </w:tc>
        <w:tc>
          <w:tcPr>
            <w:tcW w:w="2466" w:type="dxa"/>
            <w:vAlign w:val="center"/>
          </w:tcPr>
          <w:p>
            <w:pPr>
              <w:pStyle w:val="24"/>
            </w:pPr>
            <w:r>
              <w:t>≥90%</w:t>
            </w:r>
          </w:p>
        </w:tc>
        <w:tc>
          <w:tcPr>
            <w:tcW w:w="2466" w:type="dxa"/>
            <w:vAlign w:val="center"/>
          </w:tcPr>
          <w:p>
            <w:pPr>
              <w:pStyle w:val="24"/>
            </w:pPr>
            <w:r>
              <w:t>调查问卷</w:t>
            </w:r>
          </w:p>
        </w:tc>
      </w:tr>
    </w:tbl>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6、异地交流干部保障房资金绩效目标表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1.有效解决我区易地交流干部住宿问题</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新建保障住房面积</w:t>
            </w:r>
          </w:p>
        </w:tc>
        <w:tc>
          <w:tcPr>
            <w:tcW w:w="2466" w:type="dxa"/>
            <w:vAlign w:val="center"/>
          </w:tcPr>
          <w:p>
            <w:pPr>
              <w:pStyle w:val="24"/>
            </w:pPr>
            <w:r>
              <w:t>新建保障住房面积</w:t>
            </w:r>
          </w:p>
        </w:tc>
        <w:tc>
          <w:tcPr>
            <w:tcW w:w="2466" w:type="dxa"/>
            <w:vAlign w:val="center"/>
          </w:tcPr>
          <w:p>
            <w:pPr>
              <w:pStyle w:val="24"/>
            </w:pPr>
            <w:r>
              <w:t>≤2500平方米</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新建保障住房工程验收合格完成率</w:t>
            </w:r>
          </w:p>
        </w:tc>
        <w:tc>
          <w:tcPr>
            <w:tcW w:w="2466" w:type="dxa"/>
            <w:vAlign w:val="center"/>
          </w:tcPr>
          <w:p>
            <w:pPr>
              <w:pStyle w:val="24"/>
            </w:pPr>
            <w:r>
              <w:t>新建保障住房工程验收合格完成率</w:t>
            </w:r>
          </w:p>
        </w:tc>
        <w:tc>
          <w:tcPr>
            <w:tcW w:w="2466" w:type="dxa"/>
            <w:vAlign w:val="center"/>
          </w:tcPr>
          <w:p>
            <w:pPr>
              <w:pStyle w:val="24"/>
            </w:pPr>
            <w:r>
              <w:t>100%</w:t>
            </w:r>
          </w:p>
        </w:tc>
        <w:tc>
          <w:tcPr>
            <w:tcW w:w="2466" w:type="dxa"/>
            <w:vAlign w:val="center"/>
          </w:tcPr>
          <w:p>
            <w:pPr>
              <w:pStyle w:val="24"/>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工程完成及时率</w:t>
            </w:r>
          </w:p>
        </w:tc>
        <w:tc>
          <w:tcPr>
            <w:tcW w:w="2466" w:type="dxa"/>
            <w:vAlign w:val="center"/>
          </w:tcPr>
          <w:p>
            <w:pPr>
              <w:pStyle w:val="24"/>
            </w:pPr>
            <w:r>
              <w:t>工程完成及时情况</w:t>
            </w:r>
          </w:p>
        </w:tc>
        <w:tc>
          <w:tcPr>
            <w:tcW w:w="2466" w:type="dxa"/>
            <w:vAlign w:val="center"/>
          </w:tcPr>
          <w:p>
            <w:pPr>
              <w:pStyle w:val="24"/>
            </w:pPr>
            <w:r>
              <w:t>100%</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单位面积成本</w:t>
            </w:r>
          </w:p>
        </w:tc>
        <w:tc>
          <w:tcPr>
            <w:tcW w:w="2466" w:type="dxa"/>
            <w:vAlign w:val="center"/>
          </w:tcPr>
          <w:p>
            <w:pPr>
              <w:pStyle w:val="24"/>
            </w:pPr>
            <w:r>
              <w:t>单位面积成本</w:t>
            </w:r>
          </w:p>
        </w:tc>
        <w:tc>
          <w:tcPr>
            <w:tcW w:w="2466" w:type="dxa"/>
            <w:vAlign w:val="center"/>
          </w:tcPr>
          <w:p>
            <w:pPr>
              <w:pStyle w:val="24"/>
            </w:pPr>
            <w:r>
              <w:t>≤2000元</w:t>
            </w:r>
          </w:p>
        </w:tc>
        <w:tc>
          <w:tcPr>
            <w:tcW w:w="2466" w:type="dxa"/>
            <w:vAlign w:val="center"/>
          </w:tcPr>
          <w:p>
            <w:pPr>
              <w:pStyle w:val="2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有效解决易地交流干部住宿率</w:t>
            </w:r>
          </w:p>
        </w:tc>
        <w:tc>
          <w:tcPr>
            <w:tcW w:w="2466" w:type="dxa"/>
            <w:vAlign w:val="center"/>
          </w:tcPr>
          <w:p>
            <w:pPr>
              <w:pStyle w:val="24"/>
            </w:pPr>
            <w:r>
              <w:t>保证易地交流干部住宿、工作的稳定</w:t>
            </w:r>
          </w:p>
        </w:tc>
        <w:tc>
          <w:tcPr>
            <w:tcW w:w="2466" w:type="dxa"/>
            <w:vAlign w:val="center"/>
          </w:tcPr>
          <w:p>
            <w:pPr>
              <w:pStyle w:val="24"/>
            </w:pPr>
            <w:r>
              <w:t>≥95%</w:t>
            </w:r>
          </w:p>
        </w:tc>
        <w:tc>
          <w:tcPr>
            <w:tcW w:w="2466" w:type="dxa"/>
            <w:vAlign w:val="center"/>
          </w:tcPr>
          <w:p>
            <w:pPr>
              <w:pStyle w:val="24"/>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易地交流干部满意度</w:t>
            </w:r>
          </w:p>
        </w:tc>
        <w:tc>
          <w:tcPr>
            <w:tcW w:w="2466" w:type="dxa"/>
            <w:vAlign w:val="center"/>
          </w:tcPr>
          <w:p>
            <w:pPr>
              <w:pStyle w:val="24"/>
            </w:pPr>
            <w:r>
              <w:t>我区易地交流干部满意度</w:t>
            </w:r>
          </w:p>
        </w:tc>
        <w:tc>
          <w:tcPr>
            <w:tcW w:w="2466" w:type="dxa"/>
            <w:vAlign w:val="center"/>
          </w:tcPr>
          <w:p>
            <w:pPr>
              <w:pStyle w:val="24"/>
            </w:pPr>
            <w:r>
              <w:t>≥90%</w:t>
            </w:r>
          </w:p>
        </w:tc>
        <w:tc>
          <w:tcPr>
            <w:tcW w:w="2466" w:type="dxa"/>
            <w:vAlign w:val="center"/>
          </w:tcPr>
          <w:p>
            <w:pPr>
              <w:pStyle w:val="24"/>
            </w:pPr>
            <w:r>
              <w:t>调查问卷</w:t>
            </w:r>
          </w:p>
        </w:tc>
      </w:tr>
    </w:tbl>
    <w:p>
      <w:pPr>
        <w:pStyle w:val="22"/>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5" w:name="_Toc421"/>
      <w:r>
        <w:rPr>
          <w:rFonts w:ascii="黑体" w:hAnsi="黑体" w:eastAsia="黑体" w:cs="黑体"/>
          <w:color w:val="000000"/>
          <w:sz w:val="32"/>
        </w:rPr>
        <w:t>六、政府采购预算情况</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2022年，藁城区政府投资项目代建中心安排政府采购预算0.00万元。具体内容见下表。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10" w:after="10" w:line="240" w:lineRule="auto"/>
        <w:ind w:firstLine="640"/>
        <w:jc w:val="left"/>
        <w:outlineLvl w:val="2"/>
        <w:rPr>
          <w:rFonts w:ascii="黑体" w:hAnsi="黑体" w:eastAsia="黑体" w:cs="黑体"/>
          <w:color w:val="000000"/>
          <w:sz w:val="32"/>
        </w:rPr>
      </w:pPr>
      <w:r>
        <w:rPr>
          <w:rFonts w:ascii="黑体" w:hAnsi="黑体" w:eastAsia="黑体" w:cs="黑体"/>
          <w:color w:val="000000"/>
          <w:sz w:val="32"/>
        </w:rPr>
        <w:t xml:space="preserve"> </w:t>
      </w:r>
    </w:p>
    <w:p>
      <w:pPr>
        <w:spacing w:before="10" w:after="10" w:line="240" w:lineRule="auto"/>
        <w:ind w:firstLine="640"/>
        <w:jc w:val="left"/>
        <w:outlineLvl w:val="2"/>
        <w:rPr>
          <w:rFonts w:ascii="仿宋" w:hAnsi="仿宋" w:eastAsia="仿宋" w:cs="黑体"/>
          <w:color w:val="FF0000"/>
          <w:sz w:val="32"/>
          <w:lang w:val="uk-UA"/>
        </w:rPr>
      </w:pPr>
      <w:bookmarkStart w:id="16" w:name="_Toc18935"/>
      <w:r>
        <w:rPr>
          <w:rFonts w:hint="eastAsia" w:ascii="黑体" w:hAnsi="黑体" w:eastAsia="黑体" w:cs="黑体"/>
          <w:color w:val="000000"/>
          <w:sz w:val="32"/>
          <w:lang w:val="uk-UA"/>
        </w:rPr>
        <w:t>七、国有资产信息-固定资产占用情况</w:t>
      </w:r>
      <w:bookmarkEnd w:id="16"/>
      <w:r>
        <w:rPr>
          <w:rFonts w:hint="eastAsia" w:ascii="黑体" w:hAnsi="黑体" w:eastAsia="黑体" w:cs="黑体"/>
          <w:color w:val="000000"/>
          <w:sz w:val="32"/>
          <w:lang w:val="uk-UA"/>
        </w:rPr>
        <w:t xml:space="preserve"> </w:t>
      </w:r>
      <w:r>
        <w:rPr>
          <w:rFonts w:hint="eastAsia" w:ascii="仿宋" w:hAnsi="仿宋" w:eastAsia="仿宋" w:cs="黑体"/>
          <w:color w:val="FF0000"/>
          <w:sz w:val="32"/>
          <w:lang w:val="uk-UA"/>
        </w:rPr>
        <w:t xml:space="preserve"> </w:t>
      </w:r>
    </w:p>
    <w:p>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藁城区政府投资项目代建中心（含所属单位）上年末固定资产金额为14.97万元（详见下表）。本年度拟购置固定资产总额为0.00万元，已按要求列入政府采购预算，详见政府采购预算表。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909藁城区政府投资项目代建中心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p>
        </w:tc>
        <w:tc>
          <w:tcPr>
            <w:tcW w:w="4933" w:type="dxa"/>
            <w:vAlign w:val="center"/>
          </w:tcPr>
          <w:p>
            <w:pPr>
              <w:pStyle w:val="13"/>
            </w:pPr>
            <w:r>
              <w:t>14.97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6916"/>
      <w:r>
        <w:rPr>
          <w:rFonts w:ascii="黑体" w:hAnsi="黑体" w:eastAsia="黑体" w:cs="黑体"/>
          <w:color w:val="000000"/>
          <w:sz w:val="32"/>
        </w:rPr>
        <w:t>八、名词解释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14785"/>
      <w:r>
        <w:rPr>
          <w:rFonts w:ascii="黑体" w:hAnsi="黑体" w:eastAsia="黑体" w:cs="黑体"/>
          <w:color w:val="000000"/>
          <w:sz w:val="32"/>
        </w:rPr>
        <w:t>九、其他需要说明的事项</w:t>
      </w:r>
      <w:bookmarkEnd w:id="18"/>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D456CD"/>
    <w:multiLevelType w:val="singleLevel"/>
    <w:tmpl w:val="5AD456C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1M2I0Y2ZmYjQ1YjI1YjI0MjhiMWQ3MmFiOTg2YTUifQ=="/>
  </w:docVars>
  <w:rsids>
    <w:rsidRoot w:val="387A2741"/>
    <w:rsid w:val="2BB54DC2"/>
    <w:rsid w:val="315230CA"/>
    <w:rsid w:val="387A2741"/>
    <w:rsid w:val="44C60B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420" w:leftChars="200"/>
    </w:p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Normal_b797f115-b3c5-49a4-ac61-c5b1503b4126"/>
    <w:autoRedefine/>
    <w:qFormat/>
    <w:uiPriority w:val="0"/>
    <w:rPr>
      <w:rFonts w:ascii="Times New Roman" w:hAnsi="Times New Roman" w:eastAsia="Times New Roman" w:cstheme="minorBidi"/>
      <w:sz w:val="24"/>
      <w:szCs w:val="24"/>
      <w:lang w:val="en-US" w:eastAsia="uk-UA" w:bidi="ar-SA"/>
    </w:rPr>
  </w:style>
  <w:style w:type="paragraph" w:customStyle="1" w:styleId="23">
    <w:name w:val="单元格样式1_ff662808-6e4d-45b9-80cc-7da5e848ea02"/>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4">
    <w:name w:val="单元格样式2_1f7f8a1b-6d73-41eb-bdb6-cbfc7efdf7a1"/>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5">
    <w:name w:val="单元格样式3_d3d85840-51d5-4141-a3b6-eec5f5e4c274"/>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2023-09-05T01:41:00Z</dcterms:created>
  <dc:creator>Administrator</dc:creator>
  <cp:lastModifiedBy>Administrator</cp:lastModifiedBy>
  <dcterms:modified xsi:type="dcterms:W3CDTF">2024-02-23T02:12:34Z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4D60E30D1F564472BF6EC6DA9FDC7D04_12</vt:lpwstr>
  </property>
</Properties>
</file>