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tabs>
          <w:tab w:val="right" w:leader="dot" w:pos="14562"/>
        </w:tabs>
        <w:jc w:val="center"/>
        <w:rPr>
          <w:rFonts w:hint="default" w:eastAsia="方正仿宋_GBK"/>
          <w:lang w:val="en-US" w:eastAsia="zh-CN"/>
        </w:rPr>
      </w:pPr>
      <w:r>
        <w:rPr>
          <w:b w:val="0"/>
          <w:sz w:val="44"/>
          <w:szCs w:val="44"/>
        </w:rPr>
        <w:t>藁城区政府投资项目代建中心</w:t>
      </w:r>
      <w:r>
        <w:rPr>
          <w:rFonts w:hint="eastAsia"/>
          <w:b w:val="0"/>
          <w:sz w:val="44"/>
          <w:szCs w:val="44"/>
          <w:lang w:eastAsia="zh-CN"/>
        </w:rPr>
        <w:t>部门所属单位</w:t>
      </w:r>
      <w:r>
        <w:rPr>
          <w:rFonts w:hint="eastAsia"/>
          <w:b w:val="0"/>
          <w:sz w:val="44"/>
          <w:szCs w:val="44"/>
          <w:lang w:val="en-US" w:eastAsia="zh-CN"/>
        </w:rPr>
        <w:t>2022年单位预算公开</w:t>
      </w:r>
    </w:p>
    <w:p>
      <w:pPr>
        <w:pStyle w:val="3"/>
        <w:tabs>
          <w:tab w:val="right" w:leader="dot" w:pos="14562"/>
        </w:tabs>
      </w:pPr>
    </w:p>
    <w:p>
      <w:pPr>
        <w:pStyle w:val="3"/>
        <w:tabs>
          <w:tab w:val="right" w:leader="dot" w:pos="14562"/>
        </w:tabs>
      </w:pPr>
    </w:p>
    <w:p>
      <w:pPr>
        <w:pStyle w:val="3"/>
        <w:tabs>
          <w:tab w:val="right" w:leader="dot" w:pos="14562"/>
        </w:tabs>
      </w:pPr>
    </w:p>
    <w:p>
      <w:pPr>
        <w:pStyle w:val="3"/>
        <w:tabs>
          <w:tab w:val="right" w:leader="dot" w:pos="14562"/>
        </w:tabs>
      </w:pPr>
    </w:p>
    <w:p>
      <w:pPr>
        <w:pStyle w:val="3"/>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一、藁城区政府投资项目代建中心本级收支预算</w:t>
      </w:r>
      <w:r>
        <w:tab/>
      </w:r>
      <w:r>
        <w:rPr>
          <w:rFonts w:hint="eastAsia"/>
          <w:lang w:val="en-US" w:eastAsia="zh-CN"/>
        </w:rPr>
        <w:t>3</w:t>
      </w:r>
      <w:r>
        <w:fldChar w:fldCharType="end"/>
      </w:r>
      <w:r>
        <w:rPr>
          <w:rFonts w:hint="eastAsia"/>
          <w:lang w:val="en-US" w:eastAsia="zh-CN"/>
        </w:rPr>
        <w:t>4-64</w:t>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line="240" w:lineRule="auto"/>
        <w:ind w:firstLine="0"/>
        <w:jc w:val="center"/>
        <w:outlineLvl w:val="9"/>
      </w:pPr>
      <w:bookmarkStart w:id="0" w:name="_Toc_4_4_0000000019"/>
      <w:r>
        <w:rPr>
          <w:rFonts w:ascii="方正小标宋_GBK" w:hAnsi="方正小标宋_GBK" w:eastAsia="方正小标宋_GBK" w:cs="方正小标宋_GBK"/>
          <w:b w:val="0"/>
          <w:color w:val="000000"/>
          <w:sz w:val="44"/>
        </w:rPr>
        <w:t>一、藁城区政府投资项目代建中心本级收支预算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879.88</w:t>
            </w:r>
          </w:p>
        </w:tc>
        <w:tc>
          <w:tcPr>
            <w:tcW w:w="2959" w:type="dxa"/>
            <w:vAlign w:val="center"/>
          </w:tcPr>
          <w:p>
            <w:pPr>
              <w:pStyle w:val="14"/>
            </w:pPr>
            <w:r>
              <w:t>一、一般公共服务支出</w:t>
            </w:r>
          </w:p>
        </w:tc>
        <w:tc>
          <w:tcPr>
            <w:tcW w:w="2959" w:type="dxa"/>
            <w:vAlign w:val="center"/>
          </w:tcPr>
          <w:p>
            <w:pPr>
              <w:pStyle w:val="13"/>
            </w:pPr>
            <w:r>
              <w:t>133.88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300.00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1179.88</w:t>
            </w:r>
          </w:p>
        </w:tc>
        <w:tc>
          <w:tcPr>
            <w:tcW w:w="2959" w:type="dxa"/>
            <w:vAlign w:val="center"/>
          </w:tcPr>
          <w:p>
            <w:pPr>
              <w:pStyle w:val="16"/>
            </w:pPr>
            <w:r>
              <w:t>本年支出合计</w:t>
            </w:r>
          </w:p>
        </w:tc>
        <w:tc>
          <w:tcPr>
            <w:tcW w:w="2959" w:type="dxa"/>
            <w:vAlign w:val="center"/>
          </w:tcPr>
          <w:p>
            <w:pPr>
              <w:pStyle w:val="17"/>
            </w:pPr>
            <w:r>
              <w:t>1179.88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1179.88</w:t>
            </w:r>
          </w:p>
        </w:tc>
        <w:tc>
          <w:tcPr>
            <w:tcW w:w="2959" w:type="dxa"/>
            <w:vAlign w:val="center"/>
          </w:tcPr>
          <w:p>
            <w:pPr>
              <w:pStyle w:val="16"/>
            </w:pPr>
            <w:r>
              <w:t>支出总计</w:t>
            </w:r>
          </w:p>
        </w:tc>
        <w:tc>
          <w:tcPr>
            <w:tcW w:w="2959" w:type="dxa"/>
            <w:vAlign w:val="center"/>
          </w:tcPr>
          <w:p>
            <w:pPr>
              <w:pStyle w:val="17"/>
            </w:pPr>
            <w:r>
              <w:t>1179.88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1179.88</w:t>
            </w:r>
          </w:p>
        </w:tc>
        <w:tc>
          <w:tcPr>
            <w:tcW w:w="758" w:type="dxa"/>
            <w:vAlign w:val="center"/>
          </w:tcPr>
          <w:p>
            <w:pPr>
              <w:pStyle w:val="17"/>
            </w:pPr>
            <w:r>
              <w:t>1179.88</w:t>
            </w:r>
          </w:p>
        </w:tc>
        <w:tc>
          <w:tcPr>
            <w:tcW w:w="758" w:type="dxa"/>
            <w:vAlign w:val="center"/>
          </w:tcPr>
          <w:p>
            <w:pPr>
              <w:pStyle w:val="17"/>
            </w:pPr>
            <w:r>
              <w:t>1179.88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20106</w:t>
            </w:r>
          </w:p>
        </w:tc>
        <w:tc>
          <w:tcPr>
            <w:tcW w:w="758" w:type="dxa"/>
            <w:vAlign w:val="center"/>
          </w:tcPr>
          <w:p>
            <w:pPr>
              <w:pStyle w:val="14"/>
            </w:pPr>
            <w:r>
              <w:t>财政事务</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2010650</w:t>
            </w:r>
          </w:p>
        </w:tc>
        <w:tc>
          <w:tcPr>
            <w:tcW w:w="758" w:type="dxa"/>
            <w:vAlign w:val="center"/>
          </w:tcPr>
          <w:p>
            <w:pPr>
              <w:pStyle w:val="14"/>
            </w:pPr>
            <w:r>
              <w:t>事业运行</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204</w:t>
            </w:r>
          </w:p>
        </w:tc>
        <w:tc>
          <w:tcPr>
            <w:tcW w:w="758" w:type="dxa"/>
            <w:vAlign w:val="center"/>
          </w:tcPr>
          <w:p>
            <w:pPr>
              <w:pStyle w:val="14"/>
            </w:pPr>
            <w:r>
              <w:t>公共安全支出</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20407</w:t>
            </w:r>
          </w:p>
        </w:tc>
        <w:tc>
          <w:tcPr>
            <w:tcW w:w="758" w:type="dxa"/>
            <w:vAlign w:val="center"/>
          </w:tcPr>
          <w:p>
            <w:pPr>
              <w:pStyle w:val="14"/>
            </w:pPr>
            <w:r>
              <w:t>监狱</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2040706</w:t>
            </w:r>
          </w:p>
        </w:tc>
        <w:tc>
          <w:tcPr>
            <w:tcW w:w="758" w:type="dxa"/>
            <w:vAlign w:val="center"/>
          </w:tcPr>
          <w:p>
            <w:pPr>
              <w:pStyle w:val="14"/>
            </w:pPr>
            <w:r>
              <w:t>狱政设施建设</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410.00</w:t>
            </w:r>
          </w:p>
        </w:tc>
        <w:tc>
          <w:tcPr>
            <w:tcW w:w="758" w:type="dxa"/>
            <w:vAlign w:val="center"/>
          </w:tcPr>
          <w:p>
            <w:pPr>
              <w:pStyle w:val="13"/>
            </w:pPr>
            <w:r>
              <w:t>410.00</w:t>
            </w:r>
          </w:p>
        </w:tc>
        <w:tc>
          <w:tcPr>
            <w:tcW w:w="758" w:type="dxa"/>
            <w:vAlign w:val="center"/>
          </w:tcPr>
          <w:p>
            <w:pPr>
              <w:pStyle w:val="13"/>
            </w:pPr>
            <w:r>
              <w:t>410.00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21201</w:t>
            </w:r>
          </w:p>
        </w:tc>
        <w:tc>
          <w:tcPr>
            <w:tcW w:w="758" w:type="dxa"/>
            <w:vAlign w:val="center"/>
          </w:tcPr>
          <w:p>
            <w:pPr>
              <w:pStyle w:val="14"/>
            </w:pPr>
            <w:r>
              <w:t>城乡社区管理事务</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2120106</w:t>
            </w:r>
          </w:p>
        </w:tc>
        <w:tc>
          <w:tcPr>
            <w:tcW w:w="758" w:type="dxa"/>
            <w:vAlign w:val="center"/>
          </w:tcPr>
          <w:p>
            <w:pPr>
              <w:pStyle w:val="14"/>
            </w:pPr>
            <w:r>
              <w:t>工程建设管理</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2120803</w:t>
            </w:r>
          </w:p>
        </w:tc>
        <w:tc>
          <w:tcPr>
            <w:tcW w:w="758" w:type="dxa"/>
            <w:vAlign w:val="center"/>
          </w:tcPr>
          <w:p>
            <w:pPr>
              <w:pStyle w:val="14"/>
            </w:pPr>
            <w:r>
              <w:t>城市建设支出</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1179.88</w:t>
            </w:r>
          </w:p>
        </w:tc>
        <w:tc>
          <w:tcPr>
            <w:tcW w:w="1095" w:type="dxa"/>
            <w:vAlign w:val="center"/>
          </w:tcPr>
          <w:p>
            <w:pPr>
              <w:pStyle w:val="17"/>
            </w:pPr>
            <w:r>
              <w:t>133.88</w:t>
            </w:r>
          </w:p>
        </w:tc>
        <w:tc>
          <w:tcPr>
            <w:tcW w:w="1095" w:type="dxa"/>
            <w:vAlign w:val="center"/>
          </w:tcPr>
          <w:p>
            <w:pPr>
              <w:pStyle w:val="17"/>
            </w:pPr>
            <w:r>
              <w:t>1046.00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20106</w:t>
            </w:r>
          </w:p>
        </w:tc>
        <w:tc>
          <w:tcPr>
            <w:tcW w:w="1095" w:type="dxa"/>
            <w:vAlign w:val="center"/>
          </w:tcPr>
          <w:p>
            <w:pPr>
              <w:pStyle w:val="14"/>
            </w:pPr>
            <w:r>
              <w:t>财政事务</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2010650</w:t>
            </w:r>
          </w:p>
        </w:tc>
        <w:tc>
          <w:tcPr>
            <w:tcW w:w="1095" w:type="dxa"/>
            <w:vAlign w:val="center"/>
          </w:tcPr>
          <w:p>
            <w:pPr>
              <w:pStyle w:val="14"/>
            </w:pPr>
            <w:r>
              <w:t>事业运行</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204</w:t>
            </w:r>
          </w:p>
        </w:tc>
        <w:tc>
          <w:tcPr>
            <w:tcW w:w="1095" w:type="dxa"/>
            <w:vAlign w:val="center"/>
          </w:tcPr>
          <w:p>
            <w:pPr>
              <w:pStyle w:val="14"/>
            </w:pPr>
            <w:r>
              <w:t>公共安全支出</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20407</w:t>
            </w:r>
          </w:p>
        </w:tc>
        <w:tc>
          <w:tcPr>
            <w:tcW w:w="1095" w:type="dxa"/>
            <w:vAlign w:val="center"/>
          </w:tcPr>
          <w:p>
            <w:pPr>
              <w:pStyle w:val="14"/>
            </w:pPr>
            <w:r>
              <w:t>监狱</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2040706</w:t>
            </w:r>
          </w:p>
        </w:tc>
        <w:tc>
          <w:tcPr>
            <w:tcW w:w="1095" w:type="dxa"/>
            <w:vAlign w:val="center"/>
          </w:tcPr>
          <w:p>
            <w:pPr>
              <w:pStyle w:val="14"/>
            </w:pPr>
            <w:r>
              <w:t>狱政设施建设</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410.00</w:t>
            </w:r>
          </w:p>
        </w:tc>
        <w:tc>
          <w:tcPr>
            <w:tcW w:w="1095" w:type="dxa"/>
            <w:vAlign w:val="center"/>
          </w:tcPr>
          <w:p>
            <w:pPr>
              <w:pStyle w:val="13"/>
            </w:pPr>
          </w:p>
        </w:tc>
        <w:tc>
          <w:tcPr>
            <w:tcW w:w="1095" w:type="dxa"/>
            <w:vAlign w:val="center"/>
          </w:tcPr>
          <w:p>
            <w:pPr>
              <w:pStyle w:val="13"/>
            </w:pPr>
            <w:r>
              <w:t>410.00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21201</w:t>
            </w:r>
          </w:p>
        </w:tc>
        <w:tc>
          <w:tcPr>
            <w:tcW w:w="1095" w:type="dxa"/>
            <w:vAlign w:val="center"/>
          </w:tcPr>
          <w:p>
            <w:pPr>
              <w:pStyle w:val="14"/>
            </w:pPr>
            <w:r>
              <w:t>城乡社区管理事务</w:t>
            </w: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2120106</w:t>
            </w:r>
          </w:p>
        </w:tc>
        <w:tc>
          <w:tcPr>
            <w:tcW w:w="1095" w:type="dxa"/>
            <w:vAlign w:val="center"/>
          </w:tcPr>
          <w:p>
            <w:pPr>
              <w:pStyle w:val="14"/>
            </w:pPr>
            <w:r>
              <w:t>工程建设管理</w:t>
            </w: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2120803</w:t>
            </w:r>
          </w:p>
        </w:tc>
        <w:tc>
          <w:tcPr>
            <w:tcW w:w="1095" w:type="dxa"/>
            <w:vAlign w:val="center"/>
          </w:tcPr>
          <w:p>
            <w:pPr>
              <w:pStyle w:val="14"/>
            </w:pPr>
            <w:r>
              <w:t>城市建设支出</w:t>
            </w: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879.88</w:t>
            </w:r>
          </w:p>
        </w:tc>
        <w:tc>
          <w:tcPr>
            <w:tcW w:w="1232" w:type="dxa"/>
            <w:vAlign w:val="center"/>
          </w:tcPr>
          <w:p>
            <w:pPr>
              <w:pStyle w:val="14"/>
            </w:pPr>
            <w:r>
              <w:t>一、一般公共服务支出</w:t>
            </w:r>
          </w:p>
        </w:tc>
        <w:tc>
          <w:tcPr>
            <w:tcW w:w="1232" w:type="dxa"/>
            <w:vAlign w:val="center"/>
          </w:tcPr>
          <w:p>
            <w:pPr>
              <w:pStyle w:val="13"/>
            </w:pPr>
            <w:r>
              <w:t>133.88</w:t>
            </w:r>
          </w:p>
        </w:tc>
        <w:tc>
          <w:tcPr>
            <w:tcW w:w="1232" w:type="dxa"/>
            <w:vAlign w:val="center"/>
          </w:tcPr>
          <w:p>
            <w:pPr>
              <w:pStyle w:val="13"/>
            </w:pPr>
            <w:r>
              <w:t>133.88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300.00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r>
              <w:t>231.00</w:t>
            </w:r>
          </w:p>
        </w:tc>
        <w:tc>
          <w:tcPr>
            <w:tcW w:w="1232" w:type="dxa"/>
            <w:vAlign w:val="center"/>
          </w:tcPr>
          <w:p>
            <w:pPr>
              <w:pStyle w:val="13"/>
            </w:pPr>
            <w:r>
              <w:t>231.00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405.00</w:t>
            </w:r>
          </w:p>
        </w:tc>
        <w:tc>
          <w:tcPr>
            <w:tcW w:w="1232" w:type="dxa"/>
            <w:vAlign w:val="center"/>
          </w:tcPr>
          <w:p>
            <w:pPr>
              <w:pStyle w:val="13"/>
            </w:pPr>
            <w:r>
              <w:t>405.00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410.00</w:t>
            </w:r>
          </w:p>
        </w:tc>
        <w:tc>
          <w:tcPr>
            <w:tcW w:w="1232" w:type="dxa"/>
            <w:vAlign w:val="center"/>
          </w:tcPr>
          <w:p>
            <w:pPr>
              <w:pStyle w:val="13"/>
            </w:pPr>
            <w:r>
              <w:t>110.00</w:t>
            </w:r>
          </w:p>
        </w:tc>
        <w:tc>
          <w:tcPr>
            <w:tcW w:w="1232" w:type="dxa"/>
            <w:vAlign w:val="center"/>
          </w:tcPr>
          <w:p>
            <w:pPr>
              <w:pStyle w:val="13"/>
            </w:pPr>
            <w:r>
              <w:t>300.00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1179.88</w:t>
            </w:r>
          </w:p>
        </w:tc>
        <w:tc>
          <w:tcPr>
            <w:tcW w:w="1232" w:type="dxa"/>
            <w:vAlign w:val="center"/>
          </w:tcPr>
          <w:p>
            <w:pPr>
              <w:pStyle w:val="16"/>
            </w:pPr>
            <w:r>
              <w:t>本年支出合计</w:t>
            </w:r>
          </w:p>
        </w:tc>
        <w:tc>
          <w:tcPr>
            <w:tcW w:w="1232" w:type="dxa"/>
            <w:vAlign w:val="center"/>
          </w:tcPr>
          <w:p>
            <w:pPr>
              <w:pStyle w:val="17"/>
            </w:pPr>
            <w:r>
              <w:t>1179.88</w:t>
            </w:r>
          </w:p>
        </w:tc>
        <w:tc>
          <w:tcPr>
            <w:tcW w:w="1232" w:type="dxa"/>
            <w:vAlign w:val="center"/>
          </w:tcPr>
          <w:p>
            <w:pPr>
              <w:pStyle w:val="17"/>
            </w:pPr>
            <w:r>
              <w:t>879.88</w:t>
            </w:r>
          </w:p>
        </w:tc>
        <w:tc>
          <w:tcPr>
            <w:tcW w:w="1232" w:type="dxa"/>
            <w:vAlign w:val="center"/>
          </w:tcPr>
          <w:p>
            <w:pPr>
              <w:pStyle w:val="17"/>
            </w:pPr>
            <w:r>
              <w:t>300.00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1179.88</w:t>
            </w:r>
          </w:p>
        </w:tc>
        <w:tc>
          <w:tcPr>
            <w:tcW w:w="1232" w:type="dxa"/>
            <w:vAlign w:val="center"/>
          </w:tcPr>
          <w:p>
            <w:pPr>
              <w:pStyle w:val="16"/>
            </w:pPr>
            <w:r>
              <w:t>支出总计</w:t>
            </w:r>
          </w:p>
        </w:tc>
        <w:tc>
          <w:tcPr>
            <w:tcW w:w="1232" w:type="dxa"/>
            <w:vAlign w:val="center"/>
          </w:tcPr>
          <w:p>
            <w:pPr>
              <w:pStyle w:val="17"/>
            </w:pPr>
            <w:r>
              <w:t>1179.88</w:t>
            </w:r>
          </w:p>
        </w:tc>
        <w:tc>
          <w:tcPr>
            <w:tcW w:w="1232" w:type="dxa"/>
            <w:vAlign w:val="center"/>
          </w:tcPr>
          <w:p>
            <w:pPr>
              <w:pStyle w:val="17"/>
            </w:pPr>
            <w:r>
              <w:t>879.88</w:t>
            </w:r>
          </w:p>
        </w:tc>
        <w:tc>
          <w:tcPr>
            <w:tcW w:w="1232" w:type="dxa"/>
            <w:vAlign w:val="center"/>
          </w:tcPr>
          <w:p>
            <w:pPr>
              <w:pStyle w:val="17"/>
            </w:pPr>
            <w:r>
              <w:t>300.00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879.88</w:t>
            </w:r>
          </w:p>
        </w:tc>
        <w:tc>
          <w:tcPr>
            <w:tcW w:w="1643" w:type="dxa"/>
            <w:vAlign w:val="center"/>
          </w:tcPr>
          <w:p>
            <w:pPr>
              <w:pStyle w:val="17"/>
            </w:pPr>
            <w:r>
              <w:t>133.88</w:t>
            </w:r>
          </w:p>
        </w:tc>
        <w:tc>
          <w:tcPr>
            <w:tcW w:w="1643" w:type="dxa"/>
            <w:vAlign w:val="center"/>
          </w:tcPr>
          <w:p>
            <w:pPr>
              <w:pStyle w:val="17"/>
            </w:pPr>
            <w:r>
              <w:t>746.00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20106</w:t>
            </w:r>
          </w:p>
        </w:tc>
        <w:tc>
          <w:tcPr>
            <w:tcW w:w="1643" w:type="dxa"/>
            <w:vAlign w:val="center"/>
          </w:tcPr>
          <w:p>
            <w:pPr>
              <w:pStyle w:val="14"/>
            </w:pPr>
            <w:r>
              <w:t>财政事务</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2010650</w:t>
            </w:r>
          </w:p>
        </w:tc>
        <w:tc>
          <w:tcPr>
            <w:tcW w:w="1643" w:type="dxa"/>
            <w:vAlign w:val="center"/>
          </w:tcPr>
          <w:p>
            <w:pPr>
              <w:pStyle w:val="14"/>
            </w:pPr>
            <w:r>
              <w:t>事业运行</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204</w:t>
            </w:r>
          </w:p>
        </w:tc>
        <w:tc>
          <w:tcPr>
            <w:tcW w:w="1643" w:type="dxa"/>
            <w:vAlign w:val="center"/>
          </w:tcPr>
          <w:p>
            <w:pPr>
              <w:pStyle w:val="14"/>
            </w:pPr>
            <w:r>
              <w:t>公共安全支出</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20407</w:t>
            </w:r>
          </w:p>
        </w:tc>
        <w:tc>
          <w:tcPr>
            <w:tcW w:w="1643" w:type="dxa"/>
            <w:vAlign w:val="center"/>
          </w:tcPr>
          <w:p>
            <w:pPr>
              <w:pStyle w:val="14"/>
            </w:pPr>
            <w:r>
              <w:t>监狱</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2040706</w:t>
            </w:r>
          </w:p>
        </w:tc>
        <w:tc>
          <w:tcPr>
            <w:tcW w:w="1643" w:type="dxa"/>
            <w:vAlign w:val="center"/>
          </w:tcPr>
          <w:p>
            <w:pPr>
              <w:pStyle w:val="14"/>
            </w:pPr>
            <w:r>
              <w:t>狱政设施建设</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21201</w:t>
            </w:r>
          </w:p>
        </w:tc>
        <w:tc>
          <w:tcPr>
            <w:tcW w:w="1643" w:type="dxa"/>
            <w:vAlign w:val="center"/>
          </w:tcPr>
          <w:p>
            <w:pPr>
              <w:pStyle w:val="14"/>
            </w:pPr>
            <w:r>
              <w:t>城乡社区管理事务</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2120106</w:t>
            </w:r>
          </w:p>
        </w:tc>
        <w:tc>
          <w:tcPr>
            <w:tcW w:w="1643" w:type="dxa"/>
            <w:vAlign w:val="center"/>
          </w:tcPr>
          <w:p>
            <w:pPr>
              <w:pStyle w:val="14"/>
            </w:pPr>
            <w:r>
              <w:t>工程建设管理</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133.88</w:t>
            </w:r>
          </w:p>
        </w:tc>
        <w:tc>
          <w:tcPr>
            <w:tcW w:w="1643" w:type="dxa"/>
            <w:vAlign w:val="center"/>
          </w:tcPr>
          <w:p>
            <w:pPr>
              <w:pStyle w:val="17"/>
            </w:pPr>
            <w:r>
              <w:t>123.33</w:t>
            </w:r>
          </w:p>
        </w:tc>
        <w:tc>
          <w:tcPr>
            <w:tcW w:w="1643" w:type="dxa"/>
            <w:vAlign w:val="center"/>
          </w:tcPr>
          <w:p>
            <w:pPr>
              <w:pStyle w:val="17"/>
            </w:pPr>
            <w:r>
              <w:t>10.55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123.33</w:t>
            </w:r>
          </w:p>
        </w:tc>
        <w:tc>
          <w:tcPr>
            <w:tcW w:w="1643" w:type="dxa"/>
            <w:vAlign w:val="center"/>
          </w:tcPr>
          <w:p>
            <w:pPr>
              <w:pStyle w:val="13"/>
            </w:pPr>
            <w:r>
              <w:t>123.33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26.37</w:t>
            </w:r>
          </w:p>
        </w:tc>
        <w:tc>
          <w:tcPr>
            <w:tcW w:w="1643" w:type="dxa"/>
            <w:vAlign w:val="center"/>
          </w:tcPr>
          <w:p>
            <w:pPr>
              <w:pStyle w:val="13"/>
            </w:pPr>
            <w:r>
              <w:t>26.37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32.46</w:t>
            </w:r>
          </w:p>
        </w:tc>
        <w:tc>
          <w:tcPr>
            <w:tcW w:w="1643" w:type="dxa"/>
            <w:vAlign w:val="center"/>
          </w:tcPr>
          <w:p>
            <w:pPr>
              <w:pStyle w:val="13"/>
            </w:pPr>
            <w:r>
              <w:t>32.46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24.65</w:t>
            </w:r>
          </w:p>
        </w:tc>
        <w:tc>
          <w:tcPr>
            <w:tcW w:w="1643" w:type="dxa"/>
            <w:vAlign w:val="center"/>
          </w:tcPr>
          <w:p>
            <w:pPr>
              <w:pStyle w:val="13"/>
            </w:pPr>
            <w:r>
              <w:t>24.65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10.67</w:t>
            </w:r>
          </w:p>
        </w:tc>
        <w:tc>
          <w:tcPr>
            <w:tcW w:w="1643" w:type="dxa"/>
            <w:vAlign w:val="center"/>
          </w:tcPr>
          <w:p>
            <w:pPr>
              <w:pStyle w:val="13"/>
            </w:pPr>
            <w:r>
              <w:t>10.67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5.60</w:t>
            </w:r>
          </w:p>
        </w:tc>
        <w:tc>
          <w:tcPr>
            <w:tcW w:w="1643" w:type="dxa"/>
            <w:vAlign w:val="center"/>
          </w:tcPr>
          <w:p>
            <w:pPr>
              <w:pStyle w:val="13"/>
            </w:pPr>
            <w:r>
              <w:t>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4.33</w:t>
            </w:r>
          </w:p>
        </w:tc>
        <w:tc>
          <w:tcPr>
            <w:tcW w:w="1643" w:type="dxa"/>
            <w:vAlign w:val="center"/>
          </w:tcPr>
          <w:p>
            <w:pPr>
              <w:pStyle w:val="13"/>
            </w:pPr>
            <w:r>
              <w:t>4.33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10.40</w:t>
            </w:r>
          </w:p>
        </w:tc>
        <w:tc>
          <w:tcPr>
            <w:tcW w:w="1643" w:type="dxa"/>
            <w:vAlign w:val="center"/>
          </w:tcPr>
          <w:p>
            <w:pPr>
              <w:pStyle w:val="13"/>
            </w:pPr>
            <w:r>
              <w:t>10.40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8.85</w:t>
            </w:r>
          </w:p>
        </w:tc>
        <w:tc>
          <w:tcPr>
            <w:tcW w:w="1643" w:type="dxa"/>
            <w:vAlign w:val="center"/>
          </w:tcPr>
          <w:p>
            <w:pPr>
              <w:pStyle w:val="13"/>
            </w:pPr>
            <w:r>
              <w:t>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10.55</w:t>
            </w:r>
          </w:p>
        </w:tc>
        <w:tc>
          <w:tcPr>
            <w:tcW w:w="1643" w:type="dxa"/>
            <w:vAlign w:val="center"/>
          </w:tcPr>
          <w:p>
            <w:pPr>
              <w:pStyle w:val="13"/>
            </w:pPr>
          </w:p>
        </w:tc>
        <w:tc>
          <w:tcPr>
            <w:tcW w:w="1643" w:type="dxa"/>
            <w:vAlign w:val="center"/>
          </w:tcPr>
          <w:p>
            <w:pPr>
              <w:pStyle w:val="13"/>
            </w:pPr>
            <w:r>
              <w:t>10.55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300.00</w:t>
            </w:r>
          </w:p>
        </w:tc>
        <w:tc>
          <w:tcPr>
            <w:tcW w:w="1643" w:type="dxa"/>
            <w:vAlign w:val="center"/>
          </w:tcPr>
          <w:p>
            <w:pPr>
              <w:pStyle w:val="17"/>
            </w:pPr>
          </w:p>
        </w:tc>
        <w:tc>
          <w:tcPr>
            <w:tcW w:w="1643" w:type="dxa"/>
            <w:vAlign w:val="center"/>
          </w:tcPr>
          <w:p>
            <w:pPr>
              <w:pStyle w:val="17"/>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2120803</w:t>
            </w:r>
          </w:p>
        </w:tc>
        <w:tc>
          <w:tcPr>
            <w:tcW w:w="1643" w:type="dxa"/>
            <w:vAlign w:val="center"/>
          </w:tcPr>
          <w:p>
            <w:pPr>
              <w:pStyle w:val="14"/>
            </w:pPr>
            <w:r>
              <w:t>城市建设支出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藁城区政府投资项目代建中心本级2022年单位预算信息公开情况说明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、《地方预决算公开操作规程》和《关于进一步推进预算公开工作的实施意见》规定，现将藁城区政府投资项目代建中心本级2022年单位预算公开如下：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（一）本着科学、实用、节约的原则，根据批复的项目可研（实施方案），就项目建设内容、规模、标准等与使用单位实际需求进行沟通，对代建项目建设全过程进行管理。</w:t>
      </w:r>
    </w:p>
    <w:p>
      <w:pPr>
        <w:pStyle w:val="19"/>
      </w:pPr>
      <w:r>
        <w:t>（二）负责办理有关报建报批手续，以发包人身份与项目使用单位共同负责工程勘察、设计、施工、监理和重要设备、材料、货物等的招标采购及管理工作。</w:t>
      </w:r>
    </w:p>
    <w:p>
      <w:pPr>
        <w:pStyle w:val="19"/>
      </w:pPr>
      <w:r>
        <w:t>（三）制订代建项目工作方案、工作计划和项目管理目标，与项目使用单位共同编报项目年度支出预算。</w:t>
      </w:r>
    </w:p>
    <w:p>
      <w:pPr>
        <w:pStyle w:val="19"/>
      </w:pPr>
      <w:r>
        <w:t>（四）按工程建设进度编制用款计划，对参建单位的资金拨付申请进行审核，并按程序拨付。</w:t>
      </w:r>
    </w:p>
    <w:p>
      <w:pPr>
        <w:pStyle w:val="19"/>
      </w:pPr>
      <w:r>
        <w:t>（五）负责评价参建单位的合同履行情况，组织指导参建单位科学合理做好项目建设过程中的投资控制、质量安全、工期进度、信息档案等工作，组织代建项目的中间验收、竣工验收、项目使用移交等。</w:t>
      </w:r>
    </w:p>
    <w:p>
      <w:pPr>
        <w:pStyle w:val="19"/>
      </w:pPr>
      <w:r>
        <w:t>（六）承办区政府交办的其他事项。</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藁城区政府投资项目代建中心本级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r>
        <w:rPr>
          <w:rFonts w:hint="eastAsia" w:eastAsia="仿宋" w:cs="Times New Roman"/>
          <w:sz w:val="32"/>
          <w:szCs w:val="32"/>
          <w:lang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30</w:t>
      </w:r>
      <w:r>
        <w:rPr>
          <w:rFonts w:hint="eastAsia" w:ascii="Times New Roman" w:hAnsi="Times New Roman" w:eastAsia="仿宋" w:cs="Times New Roman"/>
          <w:sz w:val="32"/>
          <w:szCs w:val="32"/>
        </w:rPr>
        <w:t>0万元，财政专户核拨收入0万元，其他来源收入0万元。</w:t>
      </w:r>
    </w:p>
    <w:p>
      <w:pPr>
        <w:spacing w:line="460" w:lineRule="exact"/>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r>
        <w:rPr>
          <w:rFonts w:hint="eastAsia" w:eastAsia="仿宋" w:cs="Times New Roman"/>
          <w:sz w:val="32"/>
          <w:szCs w:val="32"/>
          <w:lang w:val="en-US"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133.88</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123.33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10.55</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1046</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教育</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40</w:t>
      </w:r>
      <w:r>
        <w:rPr>
          <w:rFonts w:hint="eastAsia" w:ascii="Times New Roman" w:hAnsi="Times New Roman" w:eastAsia="仿宋" w:cs="Times New Roman"/>
          <w:sz w:val="32"/>
          <w:szCs w:val="32"/>
        </w:rPr>
        <w:t>5万元，</w:t>
      </w:r>
      <w:r>
        <w:rPr>
          <w:rFonts w:hint="eastAsia" w:eastAsia="仿宋" w:cs="Times New Roman"/>
          <w:sz w:val="32"/>
          <w:szCs w:val="32"/>
          <w:lang w:val="en-US" w:eastAsia="zh-CN"/>
        </w:rPr>
        <w:t>公共安全</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231</w:t>
      </w:r>
      <w:r>
        <w:rPr>
          <w:rFonts w:hint="eastAsia" w:ascii="Times New Roman" w:hAnsi="Times New Roman" w:eastAsia="仿宋" w:cs="Times New Roman"/>
          <w:sz w:val="32"/>
          <w:szCs w:val="32"/>
        </w:rPr>
        <w:t>万元，城乡社区支出</w:t>
      </w:r>
      <w:r>
        <w:rPr>
          <w:rFonts w:hint="eastAsia" w:eastAsia="仿宋" w:cs="Times New Roman"/>
          <w:sz w:val="32"/>
          <w:szCs w:val="32"/>
          <w:lang w:val="en-US" w:eastAsia="zh-CN"/>
        </w:rPr>
        <w:t>110</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政府基金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w:t>
      </w:r>
      <w:r>
        <w:rPr>
          <w:rFonts w:hint="eastAsia" w:ascii="Times New Roman" w:hAnsi="Times New Roman" w:eastAsia="仿宋" w:cs="Times New Roman"/>
          <w:sz w:val="32"/>
          <w:szCs w:val="32"/>
        </w:rPr>
        <w:t>00万元；其他支出0万元。</w:t>
      </w:r>
    </w:p>
    <w:p>
      <w:pPr>
        <w:spacing w:line="460" w:lineRule="exact"/>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r>
        <w:rPr>
          <w:rFonts w:hint="eastAsia" w:eastAsia="仿宋" w:cs="Times New Roman"/>
          <w:sz w:val="32"/>
          <w:szCs w:val="32"/>
          <w:lang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1179.88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724.74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增加36.62</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688.12</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教育支出和公共安全支出</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360" w:lineRule="auto"/>
        <w:ind w:firstLine="640" w:firstLineChars="200"/>
        <w:jc w:val="left"/>
        <w:outlineLvl w:val="2"/>
        <w:rPr>
          <w:rFonts w:hint="eastAsia" w:eastAsia="仿宋" w:cs="Times New Roman"/>
          <w:sz w:val="32"/>
          <w:szCs w:val="32"/>
          <w:lang w:val="en-US" w:eastAsia="zh-CN"/>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10.55</w:t>
      </w:r>
      <w:r>
        <w:rPr>
          <w:rFonts w:hint="eastAsia" w:ascii="Times New Roman" w:hAnsi="Times New Roman" w:eastAsia="仿宋" w:cs="Times New Roman"/>
          <w:sz w:val="32"/>
          <w:szCs w:val="32"/>
        </w:rPr>
        <w:t>万元，主要用于保证机关正常运转的办公</w:t>
      </w:r>
      <w:r>
        <w:rPr>
          <w:rFonts w:hint="eastAsia" w:eastAsia="仿宋" w:cs="Times New Roman"/>
          <w:sz w:val="32"/>
          <w:szCs w:val="32"/>
          <w:lang w:val="en-US" w:eastAsia="zh-CN"/>
        </w:rPr>
        <w:t>费、</w:t>
      </w:r>
      <w:r>
        <w:rPr>
          <w:rFonts w:hint="eastAsia" w:ascii="Times New Roman" w:hAnsi="Times New Roman" w:eastAsia="仿宋" w:cs="Times New Roman"/>
          <w:sz w:val="32"/>
          <w:szCs w:val="32"/>
        </w:rPr>
        <w:t>福利费</w:t>
      </w:r>
      <w:r>
        <w:rPr>
          <w:rFonts w:hint="eastAsia" w:eastAsia="仿宋" w:cs="Times New Roman"/>
          <w:sz w:val="32"/>
          <w:szCs w:val="32"/>
          <w:lang w:val="en-US" w:eastAsia="zh-CN"/>
        </w:rPr>
        <w:t>等支出。</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22"/>
      </w:pP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1、北孟小学新建教学楼及附属工程建设资金（附加）（校安）绩效目标表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1.改善办学条件、提高教育质量</w:t>
            </w:r>
          </w:p>
          <w:p>
            <w:pPr>
              <w:pStyle w:val="28"/>
            </w:pPr>
            <w:r>
              <w:t>2.促进教育均衡发展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新建校舍面积</w:t>
            </w:r>
          </w:p>
        </w:tc>
        <w:tc>
          <w:tcPr>
            <w:tcW w:w="2466" w:type="dxa"/>
            <w:vAlign w:val="center"/>
          </w:tcPr>
          <w:p>
            <w:pPr>
              <w:pStyle w:val="28"/>
            </w:pPr>
            <w:r>
              <w:t>新建校舍面积</w:t>
            </w:r>
          </w:p>
        </w:tc>
        <w:tc>
          <w:tcPr>
            <w:tcW w:w="2466" w:type="dxa"/>
            <w:vAlign w:val="center"/>
          </w:tcPr>
          <w:p>
            <w:pPr>
              <w:pStyle w:val="28"/>
            </w:pPr>
            <w:r>
              <w:t>≥1986平方米</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新建、改造、维修的校舍建设项目验收合格完成率</w:t>
            </w:r>
          </w:p>
        </w:tc>
        <w:tc>
          <w:tcPr>
            <w:tcW w:w="2466" w:type="dxa"/>
            <w:vAlign w:val="center"/>
          </w:tcPr>
          <w:p>
            <w:pPr>
              <w:pStyle w:val="28"/>
            </w:pPr>
            <w:r>
              <w:t>完成率</w:t>
            </w:r>
          </w:p>
        </w:tc>
        <w:tc>
          <w:tcPr>
            <w:tcW w:w="2466" w:type="dxa"/>
            <w:vAlign w:val="center"/>
          </w:tcPr>
          <w:p>
            <w:pPr>
              <w:pStyle w:val="28"/>
            </w:pPr>
            <w:r>
              <w:t>≥100%</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工程完成及时率</w:t>
            </w:r>
          </w:p>
        </w:tc>
        <w:tc>
          <w:tcPr>
            <w:tcW w:w="2466" w:type="dxa"/>
            <w:vAlign w:val="center"/>
          </w:tcPr>
          <w:p>
            <w:pPr>
              <w:pStyle w:val="28"/>
            </w:pPr>
            <w:r>
              <w:t>工程完成及时情况</w:t>
            </w:r>
          </w:p>
        </w:tc>
        <w:tc>
          <w:tcPr>
            <w:tcW w:w="2466" w:type="dxa"/>
            <w:vAlign w:val="center"/>
          </w:tcPr>
          <w:p>
            <w:pPr>
              <w:pStyle w:val="28"/>
            </w:pPr>
            <w:r>
              <w:t>100按施工完成竣工验收报告</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单位面积成本</w:t>
            </w:r>
          </w:p>
        </w:tc>
        <w:tc>
          <w:tcPr>
            <w:tcW w:w="2466" w:type="dxa"/>
            <w:vAlign w:val="center"/>
          </w:tcPr>
          <w:p>
            <w:pPr>
              <w:pStyle w:val="28"/>
            </w:pPr>
            <w:r>
              <w:t>单位面积成本</w:t>
            </w:r>
          </w:p>
        </w:tc>
        <w:tc>
          <w:tcPr>
            <w:tcW w:w="2466" w:type="dxa"/>
            <w:vAlign w:val="center"/>
          </w:tcPr>
          <w:p>
            <w:pPr>
              <w:pStyle w:val="28"/>
            </w:pPr>
            <w:r>
              <w:t>≤2000元</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校舍可持续使用年限</w:t>
            </w:r>
          </w:p>
        </w:tc>
        <w:tc>
          <w:tcPr>
            <w:tcW w:w="2466" w:type="dxa"/>
            <w:vAlign w:val="center"/>
          </w:tcPr>
          <w:p>
            <w:pPr>
              <w:pStyle w:val="28"/>
            </w:pPr>
            <w:r>
              <w:t>校舍可持续使用年限</w:t>
            </w:r>
          </w:p>
        </w:tc>
        <w:tc>
          <w:tcPr>
            <w:tcW w:w="2466" w:type="dxa"/>
            <w:vAlign w:val="center"/>
          </w:tcPr>
          <w:p>
            <w:pPr>
              <w:pStyle w:val="28"/>
            </w:pPr>
            <w:r>
              <w:t>50年</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教师满意度</w:t>
            </w:r>
          </w:p>
        </w:tc>
        <w:tc>
          <w:tcPr>
            <w:tcW w:w="2466" w:type="dxa"/>
            <w:vAlign w:val="center"/>
          </w:tcPr>
          <w:p>
            <w:pPr>
              <w:pStyle w:val="28"/>
            </w:pPr>
            <w:r>
              <w:t>教师满意度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2、卞家寨教学点教学楼、食堂及附属工程建设资金（附加）（校安）绩效目标表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1.改善办学条件、提高教育质量</w:t>
            </w:r>
          </w:p>
          <w:p>
            <w:pPr>
              <w:pStyle w:val="28"/>
            </w:pPr>
            <w:r>
              <w:t>2.促进教育均衡发展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新建校舍面积</w:t>
            </w:r>
          </w:p>
        </w:tc>
        <w:tc>
          <w:tcPr>
            <w:tcW w:w="2466" w:type="dxa"/>
            <w:vAlign w:val="center"/>
          </w:tcPr>
          <w:p>
            <w:pPr>
              <w:pStyle w:val="28"/>
            </w:pPr>
            <w:r>
              <w:t>新建校舍面积</w:t>
            </w:r>
          </w:p>
        </w:tc>
        <w:tc>
          <w:tcPr>
            <w:tcW w:w="2466" w:type="dxa"/>
            <w:vAlign w:val="center"/>
          </w:tcPr>
          <w:p>
            <w:pPr>
              <w:pStyle w:val="28"/>
            </w:pPr>
            <w:r>
              <w:t>≥2591平方米</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新建、改造、维修的校舍建设项目验收合格完成率</w:t>
            </w:r>
          </w:p>
        </w:tc>
        <w:tc>
          <w:tcPr>
            <w:tcW w:w="2466" w:type="dxa"/>
            <w:vAlign w:val="center"/>
          </w:tcPr>
          <w:p>
            <w:pPr>
              <w:pStyle w:val="28"/>
            </w:pPr>
            <w:r>
              <w:t>新建、改造、维修的校舍建设项目验收合格完成率</w:t>
            </w:r>
          </w:p>
        </w:tc>
        <w:tc>
          <w:tcPr>
            <w:tcW w:w="2466" w:type="dxa"/>
            <w:vAlign w:val="center"/>
          </w:tcPr>
          <w:p>
            <w:pPr>
              <w:pStyle w:val="28"/>
            </w:pPr>
            <w:r>
              <w:t>100%</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工程完成及时率</w:t>
            </w:r>
          </w:p>
        </w:tc>
        <w:tc>
          <w:tcPr>
            <w:tcW w:w="2466" w:type="dxa"/>
            <w:vAlign w:val="center"/>
          </w:tcPr>
          <w:p>
            <w:pPr>
              <w:pStyle w:val="28"/>
            </w:pPr>
            <w:r>
              <w:t>工程完成及时情况</w:t>
            </w:r>
          </w:p>
        </w:tc>
        <w:tc>
          <w:tcPr>
            <w:tcW w:w="2466" w:type="dxa"/>
            <w:vAlign w:val="center"/>
          </w:tcPr>
          <w:p>
            <w:pPr>
              <w:pStyle w:val="28"/>
            </w:pPr>
            <w:r>
              <w:t>100按施工完成竣工验收报告</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单位面积成本</w:t>
            </w:r>
          </w:p>
        </w:tc>
        <w:tc>
          <w:tcPr>
            <w:tcW w:w="2466" w:type="dxa"/>
            <w:vAlign w:val="center"/>
          </w:tcPr>
          <w:p>
            <w:pPr>
              <w:pStyle w:val="28"/>
            </w:pPr>
            <w:r>
              <w:t>单位面积成本</w:t>
            </w:r>
          </w:p>
        </w:tc>
        <w:tc>
          <w:tcPr>
            <w:tcW w:w="2466" w:type="dxa"/>
            <w:vAlign w:val="center"/>
          </w:tcPr>
          <w:p>
            <w:pPr>
              <w:pStyle w:val="28"/>
            </w:pPr>
            <w:r>
              <w:t>≤2000元</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校舍可持续使用年限</w:t>
            </w:r>
          </w:p>
        </w:tc>
        <w:tc>
          <w:tcPr>
            <w:tcW w:w="2466" w:type="dxa"/>
            <w:vAlign w:val="center"/>
          </w:tcPr>
          <w:p>
            <w:pPr>
              <w:pStyle w:val="28"/>
            </w:pPr>
            <w:r>
              <w:t>校舍可持续使用年限</w:t>
            </w:r>
          </w:p>
        </w:tc>
        <w:tc>
          <w:tcPr>
            <w:tcW w:w="2466" w:type="dxa"/>
            <w:vAlign w:val="center"/>
          </w:tcPr>
          <w:p>
            <w:pPr>
              <w:pStyle w:val="28"/>
            </w:pPr>
            <w:r>
              <w:t>50年</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教师满意度</w:t>
            </w:r>
          </w:p>
        </w:tc>
        <w:tc>
          <w:tcPr>
            <w:tcW w:w="2466" w:type="dxa"/>
            <w:vAlign w:val="center"/>
          </w:tcPr>
          <w:p>
            <w:pPr>
              <w:pStyle w:val="28"/>
            </w:pPr>
            <w:r>
              <w:t>教师满意度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3、看守所巡逻通道及营房改建工程资金绩效目标表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1.有效改善看守所监管设施落后水平，提高看守所管理水平</w:t>
            </w:r>
          </w:p>
          <w:p>
            <w:pPr>
              <w:pStyle w:val="28"/>
            </w:pPr>
            <w:r>
              <w:t>2.有效缓解武警执勤隐患，确保看守所安全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改造通道、营房所面积</w:t>
            </w:r>
          </w:p>
        </w:tc>
        <w:tc>
          <w:tcPr>
            <w:tcW w:w="2466" w:type="dxa"/>
            <w:vAlign w:val="center"/>
          </w:tcPr>
          <w:p>
            <w:pPr>
              <w:pStyle w:val="28"/>
            </w:pPr>
            <w:r>
              <w:t>改造通道、营房面积</w:t>
            </w:r>
          </w:p>
        </w:tc>
        <w:tc>
          <w:tcPr>
            <w:tcW w:w="2466" w:type="dxa"/>
            <w:vAlign w:val="center"/>
          </w:tcPr>
          <w:p>
            <w:pPr>
              <w:pStyle w:val="28"/>
            </w:pPr>
            <w:r>
              <w:t>≥1200平方米</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改造、维修的通道、营房建设项目验收合格完成率</w:t>
            </w:r>
          </w:p>
        </w:tc>
        <w:tc>
          <w:tcPr>
            <w:tcW w:w="2466" w:type="dxa"/>
            <w:vAlign w:val="center"/>
          </w:tcPr>
          <w:p>
            <w:pPr>
              <w:pStyle w:val="28"/>
            </w:pPr>
            <w:r>
              <w:t>改造、维修的通道、营房建设项目验收合格完成率完成率</w:t>
            </w:r>
          </w:p>
        </w:tc>
        <w:tc>
          <w:tcPr>
            <w:tcW w:w="2466" w:type="dxa"/>
            <w:vAlign w:val="center"/>
          </w:tcPr>
          <w:p>
            <w:pPr>
              <w:pStyle w:val="28"/>
            </w:pPr>
            <w:r>
              <w:t>100%</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工程完成及时率</w:t>
            </w:r>
          </w:p>
        </w:tc>
        <w:tc>
          <w:tcPr>
            <w:tcW w:w="2466" w:type="dxa"/>
            <w:vAlign w:val="center"/>
          </w:tcPr>
          <w:p>
            <w:pPr>
              <w:pStyle w:val="28"/>
            </w:pPr>
            <w:r>
              <w:t>工程完成及时情况</w:t>
            </w:r>
          </w:p>
        </w:tc>
        <w:tc>
          <w:tcPr>
            <w:tcW w:w="2466" w:type="dxa"/>
            <w:vAlign w:val="center"/>
          </w:tcPr>
          <w:p>
            <w:pPr>
              <w:pStyle w:val="28"/>
            </w:pPr>
            <w:r>
              <w:t>100%</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单位面积成本</w:t>
            </w:r>
          </w:p>
        </w:tc>
        <w:tc>
          <w:tcPr>
            <w:tcW w:w="2466" w:type="dxa"/>
            <w:vAlign w:val="center"/>
          </w:tcPr>
          <w:p>
            <w:pPr>
              <w:pStyle w:val="28"/>
            </w:pPr>
            <w:r>
              <w:t>单位面积成本</w:t>
            </w:r>
          </w:p>
        </w:tc>
        <w:tc>
          <w:tcPr>
            <w:tcW w:w="2466" w:type="dxa"/>
            <w:vAlign w:val="center"/>
          </w:tcPr>
          <w:p>
            <w:pPr>
              <w:pStyle w:val="28"/>
            </w:pPr>
            <w:r>
              <w:t>≤2000元</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对看守所安全和社会稳定的保障率</w:t>
            </w:r>
          </w:p>
        </w:tc>
        <w:tc>
          <w:tcPr>
            <w:tcW w:w="2466" w:type="dxa"/>
            <w:vAlign w:val="center"/>
          </w:tcPr>
          <w:p>
            <w:pPr>
              <w:pStyle w:val="28"/>
            </w:pPr>
            <w:r>
              <w:t>保证看守所及社会的稳定</w:t>
            </w:r>
          </w:p>
        </w:tc>
        <w:tc>
          <w:tcPr>
            <w:tcW w:w="2466" w:type="dxa"/>
            <w:vAlign w:val="center"/>
          </w:tcPr>
          <w:p>
            <w:pPr>
              <w:pStyle w:val="28"/>
            </w:pPr>
            <w:r>
              <w:t>100%</w:t>
            </w:r>
          </w:p>
        </w:tc>
        <w:tc>
          <w:tcPr>
            <w:tcW w:w="2466" w:type="dxa"/>
            <w:vAlign w:val="center"/>
          </w:tcPr>
          <w:p>
            <w:pPr>
              <w:pStyle w:val="28"/>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驻地武警满意度</w:t>
            </w:r>
          </w:p>
        </w:tc>
        <w:tc>
          <w:tcPr>
            <w:tcW w:w="2466" w:type="dxa"/>
            <w:vAlign w:val="center"/>
          </w:tcPr>
          <w:p>
            <w:pPr>
              <w:pStyle w:val="28"/>
            </w:pPr>
            <w:r>
              <w:t>驻地武警满意度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4、前期费及其他费绩效目标表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1.强化工程建设管理，使工程建设达到质量优、进度快、投资省、效益高的目的</w:t>
            </w:r>
          </w:p>
          <w:p>
            <w:pPr>
              <w:pStyle w:val="28"/>
            </w:pPr>
            <w:r>
              <w:t>2.明确岗位职责，提供管理咨询服务，科学有效地实施管理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公司数量</w:t>
            </w:r>
          </w:p>
        </w:tc>
        <w:tc>
          <w:tcPr>
            <w:tcW w:w="2466" w:type="dxa"/>
            <w:vAlign w:val="center"/>
          </w:tcPr>
          <w:p>
            <w:pPr>
              <w:pStyle w:val="28"/>
            </w:pPr>
            <w:r>
              <w:t>招聘的公司数量</w:t>
            </w:r>
          </w:p>
        </w:tc>
        <w:tc>
          <w:tcPr>
            <w:tcW w:w="2466" w:type="dxa"/>
            <w:vAlign w:val="center"/>
          </w:tcPr>
          <w:p>
            <w:pPr>
              <w:pStyle w:val="28"/>
            </w:pPr>
            <w:r>
              <w:t>6个</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招聘公司合格率</w:t>
            </w:r>
          </w:p>
        </w:tc>
        <w:tc>
          <w:tcPr>
            <w:tcW w:w="2466" w:type="dxa"/>
            <w:vAlign w:val="center"/>
          </w:tcPr>
          <w:p>
            <w:pPr>
              <w:pStyle w:val="28"/>
            </w:pPr>
            <w:r>
              <w:t>招聘的公司服务质量达到合格效果</w:t>
            </w:r>
          </w:p>
        </w:tc>
        <w:tc>
          <w:tcPr>
            <w:tcW w:w="2466" w:type="dxa"/>
            <w:vAlign w:val="center"/>
          </w:tcPr>
          <w:p>
            <w:pPr>
              <w:pStyle w:val="28"/>
            </w:pPr>
            <w:r>
              <w:t>100%</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管理完成及时率</w:t>
            </w:r>
          </w:p>
        </w:tc>
        <w:tc>
          <w:tcPr>
            <w:tcW w:w="2466" w:type="dxa"/>
            <w:vAlign w:val="center"/>
          </w:tcPr>
          <w:p>
            <w:pPr>
              <w:pStyle w:val="28"/>
            </w:pPr>
            <w:r>
              <w:t>管理完成及时情况</w:t>
            </w:r>
          </w:p>
        </w:tc>
        <w:tc>
          <w:tcPr>
            <w:tcW w:w="2466" w:type="dxa"/>
            <w:vAlign w:val="center"/>
          </w:tcPr>
          <w:p>
            <w:pPr>
              <w:pStyle w:val="28"/>
            </w:pPr>
            <w:r>
              <w:t>100%</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项目完成成本</w:t>
            </w:r>
          </w:p>
        </w:tc>
        <w:tc>
          <w:tcPr>
            <w:tcW w:w="2466" w:type="dxa"/>
            <w:vAlign w:val="center"/>
          </w:tcPr>
          <w:p>
            <w:pPr>
              <w:pStyle w:val="28"/>
            </w:pPr>
            <w:r>
              <w:t>项目完成成本</w:t>
            </w:r>
          </w:p>
        </w:tc>
        <w:tc>
          <w:tcPr>
            <w:tcW w:w="2466" w:type="dxa"/>
            <w:vAlign w:val="center"/>
          </w:tcPr>
          <w:p>
            <w:pPr>
              <w:pStyle w:val="28"/>
            </w:pPr>
            <w:r>
              <w:t>≤110万元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管理服务期限</w:t>
            </w:r>
          </w:p>
        </w:tc>
        <w:tc>
          <w:tcPr>
            <w:tcW w:w="2466" w:type="dxa"/>
            <w:vAlign w:val="center"/>
          </w:tcPr>
          <w:p>
            <w:pPr>
              <w:pStyle w:val="28"/>
            </w:pPr>
            <w:r>
              <w:t>管理期限自项目开工至竣工结算完成</w:t>
            </w:r>
          </w:p>
        </w:tc>
        <w:tc>
          <w:tcPr>
            <w:tcW w:w="2466" w:type="dxa"/>
            <w:vAlign w:val="center"/>
          </w:tcPr>
          <w:p>
            <w:pPr>
              <w:pStyle w:val="28"/>
            </w:pPr>
            <w:r>
              <w:t>管理项目工期</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工程发包方满意度指标</w:t>
            </w:r>
          </w:p>
        </w:tc>
        <w:tc>
          <w:tcPr>
            <w:tcW w:w="2466" w:type="dxa"/>
            <w:vAlign w:val="center"/>
          </w:tcPr>
          <w:p>
            <w:pPr>
              <w:pStyle w:val="28"/>
            </w:pPr>
            <w:r>
              <w:t>工程发包方满意度指标</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5、杨马村小学新建实验楼项目资金（附加）（校安）绩效目标表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1.改善办学条件、提高教育质量</w:t>
            </w:r>
          </w:p>
          <w:p>
            <w:pPr>
              <w:pStyle w:val="28"/>
            </w:pPr>
            <w:r>
              <w:t>2.促进教育均衡发展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新建校舍面积</w:t>
            </w:r>
          </w:p>
        </w:tc>
        <w:tc>
          <w:tcPr>
            <w:tcW w:w="2466" w:type="dxa"/>
            <w:vAlign w:val="center"/>
          </w:tcPr>
          <w:p>
            <w:pPr>
              <w:pStyle w:val="28"/>
            </w:pPr>
            <w:r>
              <w:t>新建校舍面积</w:t>
            </w:r>
          </w:p>
        </w:tc>
        <w:tc>
          <w:tcPr>
            <w:tcW w:w="2466" w:type="dxa"/>
            <w:vAlign w:val="center"/>
          </w:tcPr>
          <w:p>
            <w:pPr>
              <w:pStyle w:val="28"/>
            </w:pPr>
            <w:r>
              <w:t>≥2891平方米</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新建、改造、维修的校舍建设项目验收合格完成率</w:t>
            </w:r>
          </w:p>
        </w:tc>
        <w:tc>
          <w:tcPr>
            <w:tcW w:w="2466" w:type="dxa"/>
            <w:vAlign w:val="center"/>
          </w:tcPr>
          <w:p>
            <w:pPr>
              <w:pStyle w:val="28"/>
            </w:pPr>
            <w:r>
              <w:t>新建、改造、维修的校舍建设项目验收合格完成率</w:t>
            </w:r>
          </w:p>
        </w:tc>
        <w:tc>
          <w:tcPr>
            <w:tcW w:w="2466" w:type="dxa"/>
            <w:vAlign w:val="center"/>
          </w:tcPr>
          <w:p>
            <w:pPr>
              <w:pStyle w:val="28"/>
            </w:pPr>
            <w:r>
              <w:t>100%</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工程完成及时率</w:t>
            </w:r>
          </w:p>
        </w:tc>
        <w:tc>
          <w:tcPr>
            <w:tcW w:w="2466" w:type="dxa"/>
            <w:vAlign w:val="center"/>
          </w:tcPr>
          <w:p>
            <w:pPr>
              <w:pStyle w:val="28"/>
            </w:pPr>
            <w:r>
              <w:t>工程完成及时情况</w:t>
            </w:r>
          </w:p>
        </w:tc>
        <w:tc>
          <w:tcPr>
            <w:tcW w:w="2466" w:type="dxa"/>
            <w:vAlign w:val="center"/>
          </w:tcPr>
          <w:p>
            <w:pPr>
              <w:pStyle w:val="28"/>
            </w:pPr>
            <w:r>
              <w:t>100%</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单位面积成本</w:t>
            </w:r>
          </w:p>
        </w:tc>
        <w:tc>
          <w:tcPr>
            <w:tcW w:w="2466" w:type="dxa"/>
            <w:vAlign w:val="center"/>
          </w:tcPr>
          <w:p>
            <w:pPr>
              <w:pStyle w:val="28"/>
            </w:pPr>
            <w:r>
              <w:t>单位面积成本</w:t>
            </w:r>
          </w:p>
        </w:tc>
        <w:tc>
          <w:tcPr>
            <w:tcW w:w="2466" w:type="dxa"/>
            <w:vAlign w:val="center"/>
          </w:tcPr>
          <w:p>
            <w:pPr>
              <w:pStyle w:val="28"/>
            </w:pPr>
            <w:r>
              <w:t>≤2000元</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校舍可持续使用年限</w:t>
            </w:r>
          </w:p>
        </w:tc>
        <w:tc>
          <w:tcPr>
            <w:tcW w:w="2466" w:type="dxa"/>
            <w:vAlign w:val="center"/>
          </w:tcPr>
          <w:p>
            <w:pPr>
              <w:pStyle w:val="28"/>
            </w:pPr>
            <w:r>
              <w:t>校舍可持续使用年限</w:t>
            </w:r>
          </w:p>
        </w:tc>
        <w:tc>
          <w:tcPr>
            <w:tcW w:w="2466" w:type="dxa"/>
            <w:vAlign w:val="center"/>
          </w:tcPr>
          <w:p>
            <w:pPr>
              <w:pStyle w:val="28"/>
            </w:pPr>
            <w:r>
              <w:t>50年</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教师满意度</w:t>
            </w:r>
          </w:p>
        </w:tc>
        <w:tc>
          <w:tcPr>
            <w:tcW w:w="2466" w:type="dxa"/>
            <w:vAlign w:val="center"/>
          </w:tcPr>
          <w:p>
            <w:pPr>
              <w:pStyle w:val="28"/>
            </w:pPr>
            <w:r>
              <w:t>教师满意度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6、异地交流干部保障房资金绩效目标表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1.有效解决我区易地交流干部住宿问题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新建保障住房面积</w:t>
            </w:r>
          </w:p>
        </w:tc>
        <w:tc>
          <w:tcPr>
            <w:tcW w:w="2466" w:type="dxa"/>
            <w:vAlign w:val="center"/>
          </w:tcPr>
          <w:p>
            <w:pPr>
              <w:pStyle w:val="28"/>
            </w:pPr>
            <w:r>
              <w:t>新建保障住房面积</w:t>
            </w:r>
          </w:p>
        </w:tc>
        <w:tc>
          <w:tcPr>
            <w:tcW w:w="2466" w:type="dxa"/>
            <w:vAlign w:val="center"/>
          </w:tcPr>
          <w:p>
            <w:pPr>
              <w:pStyle w:val="28"/>
            </w:pPr>
            <w:r>
              <w:t>≤2500平方米</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新建保障住房工程验收合格完成率</w:t>
            </w:r>
          </w:p>
        </w:tc>
        <w:tc>
          <w:tcPr>
            <w:tcW w:w="2466" w:type="dxa"/>
            <w:vAlign w:val="center"/>
          </w:tcPr>
          <w:p>
            <w:pPr>
              <w:pStyle w:val="28"/>
            </w:pPr>
            <w:r>
              <w:t>新建保障住房工程验收合格完成率</w:t>
            </w:r>
          </w:p>
        </w:tc>
        <w:tc>
          <w:tcPr>
            <w:tcW w:w="2466" w:type="dxa"/>
            <w:vAlign w:val="center"/>
          </w:tcPr>
          <w:p>
            <w:pPr>
              <w:pStyle w:val="28"/>
            </w:pPr>
            <w:r>
              <w:t>100%</w:t>
            </w:r>
          </w:p>
        </w:tc>
        <w:tc>
          <w:tcPr>
            <w:tcW w:w="2466"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工程完成及时率</w:t>
            </w:r>
          </w:p>
        </w:tc>
        <w:tc>
          <w:tcPr>
            <w:tcW w:w="2466" w:type="dxa"/>
            <w:vAlign w:val="center"/>
          </w:tcPr>
          <w:p>
            <w:pPr>
              <w:pStyle w:val="28"/>
            </w:pPr>
            <w:r>
              <w:t>工程完成及时情况</w:t>
            </w:r>
          </w:p>
        </w:tc>
        <w:tc>
          <w:tcPr>
            <w:tcW w:w="2466" w:type="dxa"/>
            <w:vAlign w:val="center"/>
          </w:tcPr>
          <w:p>
            <w:pPr>
              <w:pStyle w:val="28"/>
            </w:pPr>
            <w:r>
              <w:t>100%</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单位面积成本</w:t>
            </w:r>
          </w:p>
        </w:tc>
        <w:tc>
          <w:tcPr>
            <w:tcW w:w="2466" w:type="dxa"/>
            <w:vAlign w:val="center"/>
          </w:tcPr>
          <w:p>
            <w:pPr>
              <w:pStyle w:val="28"/>
            </w:pPr>
            <w:r>
              <w:t>单位面积成本</w:t>
            </w:r>
          </w:p>
        </w:tc>
        <w:tc>
          <w:tcPr>
            <w:tcW w:w="2466" w:type="dxa"/>
            <w:vAlign w:val="center"/>
          </w:tcPr>
          <w:p>
            <w:pPr>
              <w:pStyle w:val="28"/>
            </w:pPr>
            <w:r>
              <w:t>≤2000元</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有效解决易地交流干部住宿率</w:t>
            </w:r>
          </w:p>
        </w:tc>
        <w:tc>
          <w:tcPr>
            <w:tcW w:w="2466" w:type="dxa"/>
            <w:vAlign w:val="center"/>
          </w:tcPr>
          <w:p>
            <w:pPr>
              <w:pStyle w:val="28"/>
            </w:pPr>
            <w:r>
              <w:t>保证易地交流干部住宿、工作的稳定</w:t>
            </w:r>
          </w:p>
        </w:tc>
        <w:tc>
          <w:tcPr>
            <w:tcW w:w="2466" w:type="dxa"/>
            <w:vAlign w:val="center"/>
          </w:tcPr>
          <w:p>
            <w:pPr>
              <w:pStyle w:val="28"/>
            </w:pPr>
            <w:r>
              <w:t>≥95%</w:t>
            </w:r>
          </w:p>
        </w:tc>
        <w:tc>
          <w:tcPr>
            <w:tcW w:w="2466" w:type="dxa"/>
            <w:vAlign w:val="center"/>
          </w:tcPr>
          <w:p>
            <w:pPr>
              <w:pStyle w:val="28"/>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易地交流干部满意度</w:t>
            </w:r>
          </w:p>
        </w:tc>
        <w:tc>
          <w:tcPr>
            <w:tcW w:w="2466" w:type="dxa"/>
            <w:vAlign w:val="center"/>
          </w:tcPr>
          <w:p>
            <w:pPr>
              <w:pStyle w:val="28"/>
            </w:pPr>
            <w:r>
              <w:t>我区易地交流干部满意度</w:t>
            </w:r>
          </w:p>
        </w:tc>
        <w:tc>
          <w:tcPr>
            <w:tcW w:w="2466" w:type="dxa"/>
            <w:vAlign w:val="center"/>
          </w:tcPr>
          <w:p>
            <w:pPr>
              <w:pStyle w:val="28"/>
            </w:pPr>
            <w:r>
              <w:t>≥90%</w:t>
            </w:r>
          </w:p>
        </w:tc>
        <w:tc>
          <w:tcPr>
            <w:tcW w:w="2466"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2022年，藁城区政府投资项目代建中心本级安排政府采购预算0.00万元。具体内容见下表。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10" w:after="10" w:line="240" w:lineRule="auto"/>
        <w:ind w:firstLine="640"/>
        <w:jc w:val="left"/>
        <w:outlineLvl w:val="2"/>
        <w:rPr>
          <w:rFonts w:ascii="仿宋" w:hAnsi="仿宋" w:eastAsia="仿宋" w:cs="黑体"/>
          <w:color w:val="FF0000"/>
          <w:sz w:val="32"/>
          <w:lang w:val="uk-UA"/>
        </w:rPr>
      </w:pPr>
      <w:r>
        <w:rPr>
          <w:rFonts w:hint="eastAsia" w:ascii="黑体" w:hAnsi="黑体" w:eastAsia="黑体" w:cs="黑体"/>
          <w:color w:val="000000"/>
          <w:sz w:val="32"/>
          <w:lang w:val="uk-UA"/>
        </w:rPr>
        <w:t xml:space="preserve">七、国有资产信息-固定资产占用情况 </w:t>
      </w:r>
      <w:r>
        <w:rPr>
          <w:rFonts w:hint="eastAsia" w:ascii="仿宋" w:hAnsi="仿宋" w:eastAsia="仿宋" w:cs="黑体"/>
          <w:color w:val="FF0000"/>
          <w:sz w:val="32"/>
          <w:lang w:val="uk-UA"/>
        </w:rPr>
        <w:t xml:space="preserve"> </w:t>
      </w:r>
    </w:p>
    <w:p>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藁城区政府投资项目代建中心本级上年末固定资产金额为14.97万元（详见下表）。本年度拟购置固定资产总额为0.00万元，已按要求列入政府采购预算，详见政府采购预算表。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909001藁城区政府投资项目代建中心本级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14.97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1M2I0Y2ZmYjQ1YjI1YjI0MjhiMWQ3MmFiOTg2YTUifQ=="/>
  </w:docVars>
  <w:rsids>
    <w:rsidRoot w:val="00000000"/>
    <w:rsid w:val="005550DA"/>
    <w:rsid w:val="099C263F"/>
    <w:rsid w:val="0A786C09"/>
    <w:rsid w:val="0DAF6930"/>
    <w:rsid w:val="0FC635F4"/>
    <w:rsid w:val="129B5CDA"/>
    <w:rsid w:val="141807E9"/>
    <w:rsid w:val="1C5169CE"/>
    <w:rsid w:val="23542AD8"/>
    <w:rsid w:val="2D45199D"/>
    <w:rsid w:val="30BC6FA0"/>
    <w:rsid w:val="509C6D3C"/>
    <w:rsid w:val="57AF7971"/>
    <w:rsid w:val="5AC1391D"/>
    <w:rsid w:val="5C053CA5"/>
    <w:rsid w:val="65E64969"/>
    <w:rsid w:val="67184229"/>
    <w:rsid w:val="68EC089F"/>
    <w:rsid w:val="71DB30EA"/>
    <w:rsid w:val="71F574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797f115-b3c5-49a4-ac61-c5b1503b4126"/>
    <w:qFormat/>
    <w:uiPriority w:val="0"/>
    <w:rPr>
      <w:rFonts w:ascii="Times New Roman" w:hAnsi="Times New Roman" w:eastAsia="Times New Roman" w:cstheme="minorBidi"/>
      <w:sz w:val="24"/>
      <w:szCs w:val="24"/>
      <w:lang w:val="en-US" w:eastAsia="uk-UA" w:bidi="ar-SA"/>
    </w:rPr>
  </w:style>
  <w:style w:type="paragraph" w:customStyle="1" w:styleId="27">
    <w:name w:val="单元格样式1_ff662808-6e4d-45b9-80cc-7da5e848ea0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1f7f8a1b-6d73-41eb-bdb6-cbfc7efdf7a1"/>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d3d85840-51d5-4141-a3b6-eec5f5e4c27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2022-02-14T18:00:21Z</dcterms:created>
  <dcterms:modified xsi:type="dcterms:W3CDTF">2022-02-14T10:00:21Z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2022-02-14T17:59:07Z</dcterms:created>
  <dcterms:modified xsi:type="dcterms:W3CDTF">2022-02-14T09:59:06Z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2022-02-14T17:59:22Z</dcterms:created>
  <dcterms:modified xsi:type="dcterms:W3CDTF">2022-02-14T09:59:22Z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2022-02-14T17:59:53Z</dcterms:created>
  <dcterms:modified xsi:type="dcterms:W3CDTF">2022-02-14T09:59:53Z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a08fe41-0c78-4a8d-9e5d-5dd085e88c72}">
  <ds:schemaRefs/>
</ds:datastoreItem>
</file>

<file path=customXml/itemProps2.xml><?xml version="1.0" encoding="utf-8"?>
<ds:datastoreItem xmlns:ds="http://schemas.openxmlformats.org/officeDocument/2006/customXml" ds:itemID="{d89885be-cfb0-47ee-84a6-3ee77336a00a}">
  <ds:schemaRefs/>
</ds:datastoreItem>
</file>

<file path=customXml/itemProps3.xml><?xml version="1.0" encoding="utf-8"?>
<ds:datastoreItem xmlns:ds="http://schemas.openxmlformats.org/officeDocument/2006/customXml" ds:itemID="{011bc90a-f11b-47b6-8f2c-672227ac871b}">
  <ds:schemaRefs/>
</ds:datastoreItem>
</file>

<file path=customXml/itemProps4.xml><?xml version="1.0" encoding="utf-8"?>
<ds:datastoreItem xmlns:ds="http://schemas.openxmlformats.org/officeDocument/2006/customXml" ds:itemID="{8ab310e7-ebd1-4518-b990-25bd5b36d55f}">
  <ds:schemaRefs/>
</ds:datastoreItem>
</file>

<file path=customXml/itemProps5.xml><?xml version="1.0" encoding="utf-8"?>
<ds:datastoreItem xmlns:ds="http://schemas.openxmlformats.org/officeDocument/2006/customXml" ds:itemID="{b15f594a-8c3c-4b12-a0ea-77a32b94ef04}">
  <ds:schemaRefs/>
</ds:datastoreItem>
</file>

<file path=customXml/itemProps6.xml><?xml version="1.0" encoding="utf-8"?>
<ds:datastoreItem xmlns:ds="http://schemas.openxmlformats.org/officeDocument/2006/customXml" ds:itemID="{dfd15f76-10b7-44cb-8dbc-7bf95f3f2cea}">
  <ds:schemaRefs/>
</ds:datastoreItem>
</file>

<file path=customXml/itemProps7.xml><?xml version="1.0" encoding="utf-8"?>
<ds:datastoreItem xmlns:ds="http://schemas.openxmlformats.org/officeDocument/2006/customXml" ds:itemID="{87931c22-15c4-4bcd-82e9-adedf94e85ce}">
  <ds:schemaRefs/>
</ds:datastoreItem>
</file>

<file path=customXml/itemProps8.xml><?xml version="1.0" encoding="utf-8"?>
<ds:datastoreItem xmlns:ds="http://schemas.openxmlformats.org/officeDocument/2006/customXml" ds:itemID="{72b2e66b-cec9-43fc-872d-3d2c7815b1f5}">
  <ds:schemaRefs/>
</ds:datastoreItem>
</file>

<file path=docProps/app.xml><?xml version="1.0" encoding="utf-8"?>
<Properties xmlns="http://schemas.openxmlformats.org/officeDocument/2006/extended-properties" xmlns:vt="http://schemas.openxmlformats.org/officeDocument/2006/docPropsVTypes">
  <Pages>66</Pages>
  <Words>14550</Words>
  <Characters>17464</Characters>
  <TotalTime>3</TotalTime>
  <ScaleCrop>false</ScaleCrop>
  <LinksUpToDate>false</LinksUpToDate>
  <CharactersWithSpaces>18338</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2022-02-14T18:00:00Z</dcterms:created>
  <dc:creator>Lenovo</dc:creator>
  <cp:lastModifiedBy>Administrator</cp:lastModifiedBy>
  <dcterms:modified xsi:type="dcterms:W3CDTF">2024-02-23T02:13:40Z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971D2E6F34114E90AEF95629EB50704E</vt:lpwstr>
  </property>
</Properties>
</file>