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bookmarkStart w:id="18" w:name="_GoBack"/>
      <w:bookmarkEnd w:id="18"/>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fldChar w:fldCharType="begin"/>
      </w:r>
      <w:r>
        <w:instrText xml:space="preserve">TOC \o "2-2" \h \z \u</w:instrText>
      </w:r>
      <w:r>
        <w:fldChar w:fldCharType="separate"/>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_Toc31023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部门预算收支总表</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_Toc31023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2</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_Toc18697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部门预算收入总表</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_Toc18697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6</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_Toc8809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部门预算支出总表</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_Toc8809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13</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_Toc13490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部门预算财政拨款收支总表</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_Toc13490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17</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_Toc30472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部门预算一般公共预算财政拨款支出表</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_Toc30472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24</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_Toc1827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部门预算一般公共预算财政拨款基本支出表</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_Toc1827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25</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_Toc18796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部门预算政府基金预算财政拨款支出表</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_Toc18796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27</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_Toc759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部门预算国有资本经营预算财政拨款支出表</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_Toc759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29</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_Toc3217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部门预算财政拨款“三公”经费支出表</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_Toc3217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30</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fldChar w:fldCharType="begin"/>
      </w:r>
      <w:r>
        <w:instrText xml:space="preserve">TOC \o "3-3" \h \z \u</w:instrText>
      </w:r>
      <w:r>
        <w:fldChar w:fldCharType="separate"/>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_Toc20627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一、部门职责及机构设置情况</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_Toc20627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33</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_Toc30453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二、部门预算安排的总体情况</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_Toc30453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34</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_Toc235 </w:instrText>
      </w:r>
      <w:r>
        <w:rPr>
          <w:rFonts w:ascii="Times New Roman" w:hAnsi="Times New Roman" w:eastAsia="方正仿宋_GBK" w:cs="Times New Roman"/>
          <w:b w:val="0"/>
          <w:color w:val="000000"/>
          <w:kern w:val="2"/>
          <w:sz w:val="28"/>
          <w:szCs w:val="24"/>
          <w:lang w:val="en-US" w:eastAsia="zh-CN" w:bidi="ar-SA"/>
        </w:rPr>
        <w:fldChar w:fldCharType="separate"/>
      </w:r>
      <w:r>
        <w:rPr>
          <w:rFonts w:hint="eastAsia" w:ascii="Times New Roman" w:hAnsi="Times New Roman" w:eastAsia="方正仿宋_GBK" w:cs="Times New Roman"/>
          <w:b w:val="0"/>
          <w:color w:val="000000"/>
          <w:kern w:val="2"/>
          <w:sz w:val="28"/>
          <w:szCs w:val="24"/>
          <w:lang w:val="en-US" w:eastAsia="zh-CN" w:bidi="ar-SA"/>
        </w:rPr>
        <w:t xml:space="preserve">三、 </w:t>
      </w:r>
      <w:r>
        <w:rPr>
          <w:rFonts w:ascii="Times New Roman" w:hAnsi="Times New Roman" w:eastAsia="方正仿宋_GBK" w:cs="Times New Roman"/>
          <w:b w:val="0"/>
          <w:color w:val="000000"/>
          <w:kern w:val="2"/>
          <w:sz w:val="28"/>
          <w:szCs w:val="24"/>
          <w:lang w:val="en-US" w:eastAsia="zh-CN" w:bidi="ar-SA"/>
        </w:rPr>
        <w:t>机关运行经费安排情况</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_Toc235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35</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_Toc4770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四、财政拨款“三公”经费预算情况及增减变化原因</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_Toc4770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35</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_Toc6627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五、预算绩效信息</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_Toc6627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36</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_Toc11618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六、政府采购预算情况</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_Toc11618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77</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_Toc7120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七、国有资产信息</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_Toc7120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85</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rPr>
          <w:rFonts w:ascii="Times New Roman" w:hAnsi="Times New Roman" w:eastAsia="方正仿宋_GBK" w:cs="Times New Roman"/>
          <w:b w:val="0"/>
          <w:color w:val="000000"/>
          <w:kern w:val="2"/>
          <w:sz w:val="28"/>
          <w:szCs w:val="24"/>
          <w:lang w:val="en-US" w:eastAsia="zh-CN" w:bidi="ar-SA"/>
        </w:rPr>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_Toc10164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八、名词解释</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_Toc10164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86</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pStyle w:val="4"/>
        <w:tabs>
          <w:tab w:val="right" w:leader="dot" w:pos="14800"/>
        </w:tabs>
      </w:pP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HYPERLINK \l _Toc18608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九、其他需要说明的事项</w:t>
      </w:r>
      <w:r>
        <w:rPr>
          <w:rFonts w:ascii="Times New Roman" w:hAnsi="Times New Roman" w:eastAsia="方正仿宋_GBK" w:cs="Times New Roman"/>
          <w:b w:val="0"/>
          <w:color w:val="000000"/>
          <w:kern w:val="2"/>
          <w:sz w:val="28"/>
          <w:szCs w:val="24"/>
          <w:lang w:val="en-US" w:eastAsia="zh-CN" w:bidi="ar-SA"/>
        </w:rPr>
        <w:tab/>
      </w:r>
      <w:r>
        <w:rPr>
          <w:rFonts w:ascii="Times New Roman" w:hAnsi="Times New Roman" w:eastAsia="方正仿宋_GBK" w:cs="Times New Roman"/>
          <w:b w:val="0"/>
          <w:color w:val="000000"/>
          <w:kern w:val="2"/>
          <w:sz w:val="28"/>
          <w:szCs w:val="24"/>
          <w:lang w:val="en-US" w:eastAsia="zh-CN" w:bidi="ar-SA"/>
        </w:rPr>
        <w:fldChar w:fldCharType="begin"/>
      </w:r>
      <w:r>
        <w:rPr>
          <w:rFonts w:ascii="Times New Roman" w:hAnsi="Times New Roman" w:eastAsia="方正仿宋_GBK" w:cs="Times New Roman"/>
          <w:b w:val="0"/>
          <w:color w:val="000000"/>
          <w:kern w:val="2"/>
          <w:sz w:val="28"/>
          <w:szCs w:val="24"/>
          <w:lang w:val="en-US" w:eastAsia="zh-CN" w:bidi="ar-SA"/>
        </w:rPr>
        <w:instrText xml:space="preserve"> PAGEREF _Toc18608 \h </w:instrText>
      </w:r>
      <w:r>
        <w:rPr>
          <w:rFonts w:ascii="Times New Roman" w:hAnsi="Times New Roman" w:eastAsia="方正仿宋_GBK" w:cs="Times New Roman"/>
          <w:b w:val="0"/>
          <w:color w:val="000000"/>
          <w:kern w:val="2"/>
          <w:sz w:val="28"/>
          <w:szCs w:val="24"/>
          <w:lang w:val="en-US" w:eastAsia="zh-CN" w:bidi="ar-SA"/>
        </w:rPr>
        <w:fldChar w:fldCharType="separate"/>
      </w:r>
      <w:r>
        <w:rPr>
          <w:rFonts w:ascii="Times New Roman" w:hAnsi="Times New Roman" w:eastAsia="方正仿宋_GBK" w:cs="Times New Roman"/>
          <w:b w:val="0"/>
          <w:color w:val="000000"/>
          <w:kern w:val="2"/>
          <w:sz w:val="28"/>
          <w:szCs w:val="24"/>
          <w:lang w:val="en-US" w:eastAsia="zh-CN" w:bidi="ar-SA"/>
        </w:rPr>
        <w:t>87</w:t>
      </w:r>
      <w:r>
        <w:rPr>
          <w:rFonts w:ascii="Times New Roman" w:hAnsi="Times New Roman" w:eastAsia="方正仿宋_GBK" w:cs="Times New Roman"/>
          <w:b w:val="0"/>
          <w:color w:val="000000"/>
          <w:kern w:val="2"/>
          <w:sz w:val="28"/>
          <w:szCs w:val="24"/>
          <w:lang w:val="en-US" w:eastAsia="zh-CN" w:bidi="ar-SA"/>
        </w:rPr>
        <w:fldChar w:fldCharType="end"/>
      </w:r>
      <w:r>
        <w:rPr>
          <w:rFonts w:ascii="Times New Roman" w:hAnsi="Times New Roman" w:eastAsia="方正仿宋_GBK" w:cs="Times New Roman"/>
          <w:b w:val="0"/>
          <w:color w:val="000000"/>
          <w:kern w:val="2"/>
          <w:sz w:val="28"/>
          <w:szCs w:val="24"/>
          <w:lang w:val="en-US" w:eastAsia="zh-CN" w:bidi="ar-SA"/>
        </w:rPr>
        <w:fldChar w:fldCharType="end"/>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fldChar w:fldCharType="end"/>
      </w:r>
    </w:p>
    <w:p>
      <w:pPr>
        <w:spacing w:before="0" w:after="0" w:line="240" w:lineRule="auto"/>
        <w:ind w:firstLine="0"/>
        <w:jc w:val="center"/>
        <w:outlineLvl w:val="1"/>
      </w:pPr>
      <w:bookmarkStart w:id="0" w:name="_Toc31023"/>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324石家庄市自然资源和规划局藁城分局</w:t>
            </w:r>
          </w:p>
        </w:tc>
        <w:tc>
          <w:tcPr>
            <w:tcW w:w="1971" w:type="dxa"/>
            <w:tcBorders>
              <w:top w:val="single" w:color="FFFFFF" w:sz="6" w:space="0"/>
              <w:left w:val="single" w:color="FFFFFF" w:sz="6" w:space="0"/>
              <w:right w:val="single" w:color="FFFFFF" w:sz="6" w:space="0"/>
            </w:tcBorders>
            <w:vAlign w:val="center"/>
          </w:tcPr>
          <w:p>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1502.37</w:t>
            </w:r>
          </w:p>
        </w:tc>
        <w:tc>
          <w:tcPr>
            <w:tcW w:w="1971" w:type="dxa"/>
            <w:vAlign w:val="center"/>
          </w:tcPr>
          <w:p>
            <w:pPr>
              <w:pStyle w:val="12"/>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r>
              <w:t>30840.34</w:t>
            </w: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r>
              <w:t>20433.24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r>
              <w:t>210.30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r>
              <w:t>1292.37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r>
              <w:t>10100.00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r>
              <w:t>394.91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4"/>
            </w:pPr>
            <w:r>
              <w:t>本年收入合计</w:t>
            </w:r>
          </w:p>
        </w:tc>
        <w:tc>
          <w:tcPr>
            <w:tcW w:w="1971" w:type="dxa"/>
            <w:vAlign w:val="center"/>
          </w:tcPr>
          <w:p>
            <w:pPr>
              <w:pStyle w:val="15"/>
            </w:pPr>
            <w:r>
              <w:t>32342.71</w:t>
            </w:r>
          </w:p>
        </w:tc>
        <w:tc>
          <w:tcPr>
            <w:tcW w:w="1971" w:type="dxa"/>
            <w:vAlign w:val="center"/>
          </w:tcPr>
          <w:p>
            <w:pPr>
              <w:pStyle w:val="14"/>
            </w:pPr>
            <w:r>
              <w:t>本年支出合计</w:t>
            </w:r>
          </w:p>
        </w:tc>
        <w:tc>
          <w:tcPr>
            <w:tcW w:w="1971" w:type="dxa"/>
            <w:vAlign w:val="center"/>
          </w:tcPr>
          <w:p>
            <w:pPr>
              <w:pStyle w:val="15"/>
            </w:pPr>
            <w:r>
              <w:t>32430.82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2"/>
            </w:pPr>
            <w:r>
              <w:t>上年结转结余</w:t>
            </w:r>
          </w:p>
        </w:tc>
        <w:tc>
          <w:tcPr>
            <w:tcW w:w="1971" w:type="dxa"/>
            <w:vAlign w:val="center"/>
          </w:tcPr>
          <w:p>
            <w:pPr>
              <w:pStyle w:val="13"/>
            </w:pPr>
            <w:r>
              <w:t>88.11</w:t>
            </w: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4"/>
            </w:pPr>
            <w:r>
              <w:t>收入总计</w:t>
            </w:r>
          </w:p>
        </w:tc>
        <w:tc>
          <w:tcPr>
            <w:tcW w:w="1971" w:type="dxa"/>
            <w:vAlign w:val="center"/>
          </w:tcPr>
          <w:p>
            <w:pPr>
              <w:pStyle w:val="15"/>
            </w:pPr>
            <w:r>
              <w:t>32430.82</w:t>
            </w:r>
          </w:p>
        </w:tc>
        <w:tc>
          <w:tcPr>
            <w:tcW w:w="1971" w:type="dxa"/>
            <w:vAlign w:val="center"/>
          </w:tcPr>
          <w:p>
            <w:pPr>
              <w:pStyle w:val="14"/>
            </w:pPr>
            <w:r>
              <w:t>支出总计</w:t>
            </w:r>
          </w:p>
        </w:tc>
        <w:tc>
          <w:tcPr>
            <w:tcW w:w="1971" w:type="dxa"/>
            <w:vAlign w:val="center"/>
          </w:tcPr>
          <w:p>
            <w:pPr>
              <w:pStyle w:val="15"/>
            </w:pPr>
            <w:r>
              <w:t>32430.82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18697"/>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324石家庄市自然资源和规划局藁城分局</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32430.82</w:t>
            </w:r>
          </w:p>
        </w:tc>
        <w:tc>
          <w:tcPr>
            <w:tcW w:w="758" w:type="dxa"/>
            <w:vAlign w:val="center"/>
          </w:tcPr>
          <w:p>
            <w:pPr>
              <w:pStyle w:val="15"/>
            </w:pPr>
            <w:r>
              <w:t>32342.71</w:t>
            </w:r>
          </w:p>
        </w:tc>
        <w:tc>
          <w:tcPr>
            <w:tcW w:w="758" w:type="dxa"/>
            <w:vAlign w:val="center"/>
          </w:tcPr>
          <w:p>
            <w:pPr>
              <w:pStyle w:val="15"/>
            </w:pPr>
            <w:r>
              <w:t>32342.71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88.11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3"/>
            </w:pPr>
            <w:r>
              <w:t>20433.24</w:t>
            </w:r>
          </w:p>
        </w:tc>
        <w:tc>
          <w:tcPr>
            <w:tcW w:w="758" w:type="dxa"/>
            <w:vAlign w:val="center"/>
          </w:tcPr>
          <w:p>
            <w:pPr>
              <w:pStyle w:val="13"/>
            </w:pPr>
            <w:r>
              <w:t>20345.43</w:t>
            </w:r>
          </w:p>
        </w:tc>
        <w:tc>
          <w:tcPr>
            <w:tcW w:w="758" w:type="dxa"/>
            <w:vAlign w:val="center"/>
          </w:tcPr>
          <w:p>
            <w:pPr>
              <w:pStyle w:val="13"/>
            </w:pPr>
            <w:r>
              <w:t>20345.43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3"/>
            </w:pPr>
            <w:r>
              <w:t>20433.24</w:t>
            </w:r>
          </w:p>
        </w:tc>
        <w:tc>
          <w:tcPr>
            <w:tcW w:w="758" w:type="dxa"/>
            <w:vAlign w:val="center"/>
          </w:tcPr>
          <w:p>
            <w:pPr>
              <w:pStyle w:val="13"/>
            </w:pPr>
            <w:r>
              <w:t>20345.43</w:t>
            </w:r>
          </w:p>
        </w:tc>
        <w:tc>
          <w:tcPr>
            <w:tcW w:w="758" w:type="dxa"/>
            <w:vAlign w:val="center"/>
          </w:tcPr>
          <w:p>
            <w:pPr>
              <w:pStyle w:val="13"/>
            </w:pPr>
            <w:r>
              <w:t>20345.43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2120803</w:t>
            </w:r>
          </w:p>
        </w:tc>
        <w:tc>
          <w:tcPr>
            <w:tcW w:w="758" w:type="dxa"/>
            <w:vAlign w:val="center"/>
          </w:tcPr>
          <w:p>
            <w:pPr>
              <w:pStyle w:val="12"/>
            </w:pPr>
            <w:r>
              <w:t>城市建设支出</w:t>
            </w:r>
          </w:p>
        </w:tc>
        <w:tc>
          <w:tcPr>
            <w:tcW w:w="758" w:type="dxa"/>
            <w:vAlign w:val="center"/>
          </w:tcPr>
          <w:p>
            <w:pPr>
              <w:pStyle w:val="13"/>
            </w:pPr>
            <w:r>
              <w:t>3600.00</w:t>
            </w:r>
          </w:p>
        </w:tc>
        <w:tc>
          <w:tcPr>
            <w:tcW w:w="758" w:type="dxa"/>
            <w:vAlign w:val="center"/>
          </w:tcPr>
          <w:p>
            <w:pPr>
              <w:pStyle w:val="13"/>
            </w:pPr>
            <w:r>
              <w:t>3600.00</w:t>
            </w:r>
          </w:p>
        </w:tc>
        <w:tc>
          <w:tcPr>
            <w:tcW w:w="758" w:type="dxa"/>
            <w:vAlign w:val="center"/>
          </w:tcPr>
          <w:p>
            <w:pPr>
              <w:pStyle w:val="13"/>
            </w:pPr>
            <w:r>
              <w:t>3600.00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2120804</w:t>
            </w:r>
          </w:p>
        </w:tc>
        <w:tc>
          <w:tcPr>
            <w:tcW w:w="758" w:type="dxa"/>
            <w:vAlign w:val="center"/>
          </w:tcPr>
          <w:p>
            <w:pPr>
              <w:pStyle w:val="12"/>
            </w:pPr>
            <w:r>
              <w:t>农村基础设施建设支出</w:t>
            </w:r>
          </w:p>
        </w:tc>
        <w:tc>
          <w:tcPr>
            <w:tcW w:w="758" w:type="dxa"/>
            <w:vAlign w:val="center"/>
          </w:tcPr>
          <w:p>
            <w:pPr>
              <w:pStyle w:val="13"/>
            </w:pPr>
            <w:r>
              <w:t>10537.19</w:t>
            </w:r>
          </w:p>
        </w:tc>
        <w:tc>
          <w:tcPr>
            <w:tcW w:w="758" w:type="dxa"/>
            <w:vAlign w:val="center"/>
          </w:tcPr>
          <w:p>
            <w:pPr>
              <w:pStyle w:val="13"/>
            </w:pPr>
            <w:r>
              <w:t>10449.38</w:t>
            </w:r>
          </w:p>
        </w:tc>
        <w:tc>
          <w:tcPr>
            <w:tcW w:w="758" w:type="dxa"/>
            <w:vAlign w:val="center"/>
          </w:tcPr>
          <w:p>
            <w:pPr>
              <w:pStyle w:val="13"/>
            </w:pPr>
            <w:r>
              <w:t>10449.38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2120806</w:t>
            </w:r>
          </w:p>
        </w:tc>
        <w:tc>
          <w:tcPr>
            <w:tcW w:w="758" w:type="dxa"/>
            <w:vAlign w:val="center"/>
          </w:tcPr>
          <w:p>
            <w:pPr>
              <w:pStyle w:val="12"/>
            </w:pPr>
            <w:r>
              <w:t>土地出让业务支出</w:t>
            </w:r>
          </w:p>
        </w:tc>
        <w:tc>
          <w:tcPr>
            <w:tcW w:w="758" w:type="dxa"/>
            <w:vAlign w:val="center"/>
          </w:tcPr>
          <w:p>
            <w:pPr>
              <w:pStyle w:val="13"/>
            </w:pPr>
            <w:r>
              <w:t>1582.00</w:t>
            </w:r>
          </w:p>
        </w:tc>
        <w:tc>
          <w:tcPr>
            <w:tcW w:w="758" w:type="dxa"/>
            <w:vAlign w:val="center"/>
          </w:tcPr>
          <w:p>
            <w:pPr>
              <w:pStyle w:val="13"/>
            </w:pPr>
            <w:r>
              <w:t>1582.00</w:t>
            </w:r>
          </w:p>
        </w:tc>
        <w:tc>
          <w:tcPr>
            <w:tcW w:w="758" w:type="dxa"/>
            <w:vAlign w:val="center"/>
          </w:tcPr>
          <w:p>
            <w:pPr>
              <w:pStyle w:val="13"/>
            </w:pPr>
            <w:r>
              <w:t>1582.00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2120816</w:t>
            </w:r>
          </w:p>
        </w:tc>
        <w:tc>
          <w:tcPr>
            <w:tcW w:w="758" w:type="dxa"/>
            <w:vAlign w:val="center"/>
          </w:tcPr>
          <w:p>
            <w:pPr>
              <w:pStyle w:val="12"/>
            </w:pPr>
            <w:r>
              <w:t>农业农村生态环境支出</w:t>
            </w:r>
          </w:p>
        </w:tc>
        <w:tc>
          <w:tcPr>
            <w:tcW w:w="758" w:type="dxa"/>
            <w:vAlign w:val="center"/>
          </w:tcPr>
          <w:p>
            <w:pPr>
              <w:pStyle w:val="13"/>
            </w:pPr>
            <w:r>
              <w:t>4714.05</w:t>
            </w:r>
          </w:p>
        </w:tc>
        <w:tc>
          <w:tcPr>
            <w:tcW w:w="758" w:type="dxa"/>
            <w:vAlign w:val="center"/>
          </w:tcPr>
          <w:p>
            <w:pPr>
              <w:pStyle w:val="13"/>
            </w:pPr>
            <w:r>
              <w:t>4714.05</w:t>
            </w:r>
          </w:p>
        </w:tc>
        <w:tc>
          <w:tcPr>
            <w:tcW w:w="758" w:type="dxa"/>
            <w:vAlign w:val="center"/>
          </w:tcPr>
          <w:p>
            <w:pPr>
              <w:pStyle w:val="13"/>
            </w:pPr>
            <w:r>
              <w:t>4714.05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3"/>
            </w:pPr>
            <w:r>
              <w:t>210.30</w:t>
            </w:r>
          </w:p>
        </w:tc>
        <w:tc>
          <w:tcPr>
            <w:tcW w:w="758" w:type="dxa"/>
            <w:vAlign w:val="center"/>
          </w:tcPr>
          <w:p>
            <w:pPr>
              <w:pStyle w:val="13"/>
            </w:pPr>
            <w:r>
              <w:t>210.00</w:t>
            </w:r>
          </w:p>
        </w:tc>
        <w:tc>
          <w:tcPr>
            <w:tcW w:w="758" w:type="dxa"/>
            <w:vAlign w:val="center"/>
          </w:tcPr>
          <w:p>
            <w:pPr>
              <w:pStyle w:val="13"/>
            </w:pPr>
            <w:r>
              <w:t>210.00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21302</w:t>
            </w:r>
          </w:p>
        </w:tc>
        <w:tc>
          <w:tcPr>
            <w:tcW w:w="758" w:type="dxa"/>
            <w:vAlign w:val="center"/>
          </w:tcPr>
          <w:p>
            <w:pPr>
              <w:pStyle w:val="12"/>
            </w:pPr>
            <w:r>
              <w:t>林业和草原</w:t>
            </w:r>
          </w:p>
        </w:tc>
        <w:tc>
          <w:tcPr>
            <w:tcW w:w="758" w:type="dxa"/>
            <w:vAlign w:val="center"/>
          </w:tcPr>
          <w:p>
            <w:pPr>
              <w:pStyle w:val="13"/>
            </w:pPr>
            <w:r>
              <w:t>210.30</w:t>
            </w:r>
          </w:p>
        </w:tc>
        <w:tc>
          <w:tcPr>
            <w:tcW w:w="758" w:type="dxa"/>
            <w:vAlign w:val="center"/>
          </w:tcPr>
          <w:p>
            <w:pPr>
              <w:pStyle w:val="13"/>
            </w:pPr>
            <w:r>
              <w:t>210.00</w:t>
            </w:r>
          </w:p>
        </w:tc>
        <w:tc>
          <w:tcPr>
            <w:tcW w:w="758" w:type="dxa"/>
            <w:vAlign w:val="center"/>
          </w:tcPr>
          <w:p>
            <w:pPr>
              <w:pStyle w:val="13"/>
            </w:pPr>
            <w:r>
              <w:t>210.00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2130205</w:t>
            </w:r>
          </w:p>
        </w:tc>
        <w:tc>
          <w:tcPr>
            <w:tcW w:w="758" w:type="dxa"/>
            <w:vAlign w:val="center"/>
          </w:tcPr>
          <w:p>
            <w:pPr>
              <w:pStyle w:val="12"/>
            </w:pPr>
            <w:r>
              <w:t>森林资源培育</w:t>
            </w:r>
          </w:p>
        </w:tc>
        <w:tc>
          <w:tcPr>
            <w:tcW w:w="758" w:type="dxa"/>
            <w:vAlign w:val="center"/>
          </w:tcPr>
          <w:p>
            <w:pPr>
              <w:pStyle w:val="13"/>
            </w:pPr>
            <w:r>
              <w:t>200.25</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2130234</w:t>
            </w:r>
          </w:p>
        </w:tc>
        <w:tc>
          <w:tcPr>
            <w:tcW w:w="758" w:type="dxa"/>
            <w:vAlign w:val="center"/>
          </w:tcPr>
          <w:p>
            <w:pPr>
              <w:pStyle w:val="12"/>
            </w:pPr>
            <w:r>
              <w:t>林业草原防灾减灾</w:t>
            </w:r>
          </w:p>
        </w:tc>
        <w:tc>
          <w:tcPr>
            <w:tcW w:w="758" w:type="dxa"/>
            <w:vAlign w:val="center"/>
          </w:tcPr>
          <w:p>
            <w:pPr>
              <w:pStyle w:val="13"/>
            </w:pPr>
            <w:r>
              <w:t>10.05</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220</w:t>
            </w:r>
          </w:p>
        </w:tc>
        <w:tc>
          <w:tcPr>
            <w:tcW w:w="758" w:type="dxa"/>
            <w:vAlign w:val="center"/>
          </w:tcPr>
          <w:p>
            <w:pPr>
              <w:pStyle w:val="12"/>
            </w:pPr>
            <w:r>
              <w:t>自然资源海洋气象等支出</w:t>
            </w:r>
          </w:p>
        </w:tc>
        <w:tc>
          <w:tcPr>
            <w:tcW w:w="758" w:type="dxa"/>
            <w:vAlign w:val="center"/>
          </w:tcPr>
          <w:p>
            <w:pPr>
              <w:pStyle w:val="13"/>
            </w:pPr>
            <w:r>
              <w:t>1292.37</w:t>
            </w:r>
          </w:p>
        </w:tc>
        <w:tc>
          <w:tcPr>
            <w:tcW w:w="758" w:type="dxa"/>
            <w:vAlign w:val="center"/>
          </w:tcPr>
          <w:p>
            <w:pPr>
              <w:pStyle w:val="13"/>
            </w:pPr>
            <w:r>
              <w:t>1292.37</w:t>
            </w:r>
          </w:p>
        </w:tc>
        <w:tc>
          <w:tcPr>
            <w:tcW w:w="758" w:type="dxa"/>
            <w:vAlign w:val="center"/>
          </w:tcPr>
          <w:p>
            <w:pPr>
              <w:pStyle w:val="13"/>
            </w:pPr>
            <w:r>
              <w:t>1292.37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13</w:t>
            </w:r>
          </w:p>
        </w:tc>
        <w:tc>
          <w:tcPr>
            <w:tcW w:w="758" w:type="dxa"/>
            <w:vAlign w:val="center"/>
          </w:tcPr>
          <w:p>
            <w:pPr>
              <w:pStyle w:val="12"/>
            </w:pPr>
            <w:r>
              <w:t>22001</w:t>
            </w:r>
          </w:p>
        </w:tc>
        <w:tc>
          <w:tcPr>
            <w:tcW w:w="758" w:type="dxa"/>
            <w:vAlign w:val="center"/>
          </w:tcPr>
          <w:p>
            <w:pPr>
              <w:pStyle w:val="12"/>
            </w:pPr>
            <w:r>
              <w:t>自然资源事务</w:t>
            </w:r>
          </w:p>
        </w:tc>
        <w:tc>
          <w:tcPr>
            <w:tcW w:w="758" w:type="dxa"/>
            <w:vAlign w:val="center"/>
          </w:tcPr>
          <w:p>
            <w:pPr>
              <w:pStyle w:val="13"/>
            </w:pPr>
            <w:r>
              <w:t>1292.37</w:t>
            </w:r>
          </w:p>
        </w:tc>
        <w:tc>
          <w:tcPr>
            <w:tcW w:w="758" w:type="dxa"/>
            <w:vAlign w:val="center"/>
          </w:tcPr>
          <w:p>
            <w:pPr>
              <w:pStyle w:val="13"/>
            </w:pPr>
            <w:r>
              <w:t>1292.37</w:t>
            </w:r>
          </w:p>
        </w:tc>
        <w:tc>
          <w:tcPr>
            <w:tcW w:w="758" w:type="dxa"/>
            <w:vAlign w:val="center"/>
          </w:tcPr>
          <w:p>
            <w:pPr>
              <w:pStyle w:val="13"/>
            </w:pPr>
            <w:r>
              <w:t>1292.37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14</w:t>
            </w:r>
          </w:p>
        </w:tc>
        <w:tc>
          <w:tcPr>
            <w:tcW w:w="758" w:type="dxa"/>
            <w:vAlign w:val="center"/>
          </w:tcPr>
          <w:p>
            <w:pPr>
              <w:pStyle w:val="12"/>
            </w:pPr>
            <w:r>
              <w:t>2200101</w:t>
            </w:r>
          </w:p>
        </w:tc>
        <w:tc>
          <w:tcPr>
            <w:tcW w:w="758" w:type="dxa"/>
            <w:vAlign w:val="center"/>
          </w:tcPr>
          <w:p>
            <w:pPr>
              <w:pStyle w:val="12"/>
            </w:pPr>
            <w:r>
              <w:t>行政运行</w:t>
            </w:r>
          </w:p>
        </w:tc>
        <w:tc>
          <w:tcPr>
            <w:tcW w:w="758" w:type="dxa"/>
            <w:vAlign w:val="center"/>
          </w:tcPr>
          <w:p>
            <w:pPr>
              <w:pStyle w:val="13"/>
            </w:pPr>
            <w:r>
              <w:t>914.87</w:t>
            </w:r>
          </w:p>
        </w:tc>
        <w:tc>
          <w:tcPr>
            <w:tcW w:w="758" w:type="dxa"/>
            <w:vAlign w:val="center"/>
          </w:tcPr>
          <w:p>
            <w:pPr>
              <w:pStyle w:val="13"/>
            </w:pPr>
            <w:r>
              <w:t>914.87</w:t>
            </w:r>
          </w:p>
        </w:tc>
        <w:tc>
          <w:tcPr>
            <w:tcW w:w="758" w:type="dxa"/>
            <w:vAlign w:val="center"/>
          </w:tcPr>
          <w:p>
            <w:pPr>
              <w:pStyle w:val="13"/>
            </w:pPr>
            <w:r>
              <w:t>914.87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15</w:t>
            </w:r>
          </w:p>
        </w:tc>
        <w:tc>
          <w:tcPr>
            <w:tcW w:w="758" w:type="dxa"/>
            <w:vAlign w:val="center"/>
          </w:tcPr>
          <w:p>
            <w:pPr>
              <w:pStyle w:val="12"/>
            </w:pPr>
            <w:r>
              <w:t>2200102</w:t>
            </w:r>
          </w:p>
        </w:tc>
        <w:tc>
          <w:tcPr>
            <w:tcW w:w="758" w:type="dxa"/>
            <w:vAlign w:val="center"/>
          </w:tcPr>
          <w:p>
            <w:pPr>
              <w:pStyle w:val="12"/>
            </w:pPr>
            <w:r>
              <w:t>一般行政管理事务</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16</w:t>
            </w:r>
          </w:p>
        </w:tc>
        <w:tc>
          <w:tcPr>
            <w:tcW w:w="758" w:type="dxa"/>
            <w:vAlign w:val="center"/>
          </w:tcPr>
          <w:p>
            <w:pPr>
              <w:pStyle w:val="12"/>
            </w:pPr>
            <w:r>
              <w:t>2200103</w:t>
            </w:r>
          </w:p>
        </w:tc>
        <w:tc>
          <w:tcPr>
            <w:tcW w:w="758" w:type="dxa"/>
            <w:vAlign w:val="center"/>
          </w:tcPr>
          <w:p>
            <w:pPr>
              <w:pStyle w:val="12"/>
            </w:pPr>
            <w:r>
              <w:t>机关服务</w:t>
            </w:r>
          </w:p>
        </w:tc>
        <w:tc>
          <w:tcPr>
            <w:tcW w:w="758" w:type="dxa"/>
            <w:vAlign w:val="center"/>
          </w:tcPr>
          <w:p>
            <w:pPr>
              <w:pStyle w:val="13"/>
            </w:pPr>
            <w:r>
              <w:t>97.00</w:t>
            </w:r>
          </w:p>
        </w:tc>
        <w:tc>
          <w:tcPr>
            <w:tcW w:w="758" w:type="dxa"/>
            <w:vAlign w:val="center"/>
          </w:tcPr>
          <w:p>
            <w:pPr>
              <w:pStyle w:val="13"/>
            </w:pPr>
            <w:r>
              <w:t>97.00</w:t>
            </w:r>
          </w:p>
        </w:tc>
        <w:tc>
          <w:tcPr>
            <w:tcW w:w="758" w:type="dxa"/>
            <w:vAlign w:val="center"/>
          </w:tcPr>
          <w:p>
            <w:pPr>
              <w:pStyle w:val="13"/>
            </w:pPr>
            <w:r>
              <w:t>97.00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17</w:t>
            </w:r>
          </w:p>
        </w:tc>
        <w:tc>
          <w:tcPr>
            <w:tcW w:w="758" w:type="dxa"/>
            <w:vAlign w:val="center"/>
          </w:tcPr>
          <w:p>
            <w:pPr>
              <w:pStyle w:val="12"/>
            </w:pPr>
            <w:r>
              <w:t>2200106</w:t>
            </w:r>
          </w:p>
        </w:tc>
        <w:tc>
          <w:tcPr>
            <w:tcW w:w="758" w:type="dxa"/>
            <w:vAlign w:val="center"/>
          </w:tcPr>
          <w:p>
            <w:pPr>
              <w:pStyle w:val="12"/>
            </w:pPr>
            <w:r>
              <w:t>自然资源利用与保护</w:t>
            </w:r>
          </w:p>
        </w:tc>
        <w:tc>
          <w:tcPr>
            <w:tcW w:w="758" w:type="dxa"/>
            <w:vAlign w:val="center"/>
          </w:tcPr>
          <w:p>
            <w:pPr>
              <w:pStyle w:val="13"/>
            </w:pPr>
            <w:r>
              <w:t>160.50</w:t>
            </w:r>
          </w:p>
        </w:tc>
        <w:tc>
          <w:tcPr>
            <w:tcW w:w="758" w:type="dxa"/>
            <w:vAlign w:val="center"/>
          </w:tcPr>
          <w:p>
            <w:pPr>
              <w:pStyle w:val="13"/>
            </w:pPr>
            <w:r>
              <w:t>160.50</w:t>
            </w:r>
          </w:p>
        </w:tc>
        <w:tc>
          <w:tcPr>
            <w:tcW w:w="758" w:type="dxa"/>
            <w:vAlign w:val="center"/>
          </w:tcPr>
          <w:p>
            <w:pPr>
              <w:pStyle w:val="13"/>
            </w:pPr>
            <w:r>
              <w:t>160.50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18</w:t>
            </w:r>
          </w:p>
        </w:tc>
        <w:tc>
          <w:tcPr>
            <w:tcW w:w="758" w:type="dxa"/>
            <w:vAlign w:val="center"/>
          </w:tcPr>
          <w:p>
            <w:pPr>
              <w:pStyle w:val="12"/>
            </w:pPr>
            <w:r>
              <w:t>2200108</w:t>
            </w:r>
          </w:p>
        </w:tc>
        <w:tc>
          <w:tcPr>
            <w:tcW w:w="758" w:type="dxa"/>
            <w:vAlign w:val="center"/>
          </w:tcPr>
          <w:p>
            <w:pPr>
              <w:pStyle w:val="12"/>
            </w:pPr>
            <w:r>
              <w:t>自然资源行业业务管理</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19</w:t>
            </w:r>
          </w:p>
        </w:tc>
        <w:tc>
          <w:tcPr>
            <w:tcW w:w="758" w:type="dxa"/>
            <w:vAlign w:val="center"/>
          </w:tcPr>
          <w:p>
            <w:pPr>
              <w:pStyle w:val="12"/>
            </w:pPr>
            <w:r>
              <w:t>231</w:t>
            </w:r>
          </w:p>
        </w:tc>
        <w:tc>
          <w:tcPr>
            <w:tcW w:w="758" w:type="dxa"/>
            <w:vAlign w:val="center"/>
          </w:tcPr>
          <w:p>
            <w:pPr>
              <w:pStyle w:val="12"/>
            </w:pPr>
            <w:r>
              <w:t>债务还本支出</w:t>
            </w:r>
          </w:p>
        </w:tc>
        <w:tc>
          <w:tcPr>
            <w:tcW w:w="758" w:type="dxa"/>
            <w:vAlign w:val="center"/>
          </w:tcPr>
          <w:p>
            <w:pPr>
              <w:pStyle w:val="13"/>
            </w:pPr>
            <w:r>
              <w:t>10100.00</w:t>
            </w:r>
          </w:p>
        </w:tc>
        <w:tc>
          <w:tcPr>
            <w:tcW w:w="758" w:type="dxa"/>
            <w:vAlign w:val="center"/>
          </w:tcPr>
          <w:p>
            <w:pPr>
              <w:pStyle w:val="13"/>
            </w:pPr>
            <w:r>
              <w:t>10100.00</w:t>
            </w:r>
          </w:p>
        </w:tc>
        <w:tc>
          <w:tcPr>
            <w:tcW w:w="758" w:type="dxa"/>
            <w:vAlign w:val="center"/>
          </w:tcPr>
          <w:p>
            <w:pPr>
              <w:pStyle w:val="13"/>
            </w:pPr>
            <w:r>
              <w:t>10100.00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20</w:t>
            </w:r>
          </w:p>
        </w:tc>
        <w:tc>
          <w:tcPr>
            <w:tcW w:w="758" w:type="dxa"/>
            <w:vAlign w:val="center"/>
          </w:tcPr>
          <w:p>
            <w:pPr>
              <w:pStyle w:val="12"/>
            </w:pPr>
            <w:r>
              <w:t>23104</w:t>
            </w:r>
          </w:p>
        </w:tc>
        <w:tc>
          <w:tcPr>
            <w:tcW w:w="758" w:type="dxa"/>
            <w:vAlign w:val="center"/>
          </w:tcPr>
          <w:p>
            <w:pPr>
              <w:pStyle w:val="12"/>
            </w:pPr>
            <w:r>
              <w:t>地方政府专项债务还本支出</w:t>
            </w:r>
          </w:p>
        </w:tc>
        <w:tc>
          <w:tcPr>
            <w:tcW w:w="758" w:type="dxa"/>
            <w:vAlign w:val="center"/>
          </w:tcPr>
          <w:p>
            <w:pPr>
              <w:pStyle w:val="13"/>
            </w:pPr>
            <w:r>
              <w:t>10100.00</w:t>
            </w:r>
          </w:p>
        </w:tc>
        <w:tc>
          <w:tcPr>
            <w:tcW w:w="758" w:type="dxa"/>
            <w:vAlign w:val="center"/>
          </w:tcPr>
          <w:p>
            <w:pPr>
              <w:pStyle w:val="13"/>
            </w:pPr>
            <w:r>
              <w:t>10100.00</w:t>
            </w:r>
          </w:p>
        </w:tc>
        <w:tc>
          <w:tcPr>
            <w:tcW w:w="758" w:type="dxa"/>
            <w:vAlign w:val="center"/>
          </w:tcPr>
          <w:p>
            <w:pPr>
              <w:pStyle w:val="13"/>
            </w:pPr>
            <w:r>
              <w:t>10100.00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21</w:t>
            </w:r>
          </w:p>
        </w:tc>
        <w:tc>
          <w:tcPr>
            <w:tcW w:w="758" w:type="dxa"/>
            <w:vAlign w:val="center"/>
          </w:tcPr>
          <w:p>
            <w:pPr>
              <w:pStyle w:val="12"/>
            </w:pPr>
            <w:r>
              <w:t>2310431</w:t>
            </w:r>
          </w:p>
        </w:tc>
        <w:tc>
          <w:tcPr>
            <w:tcW w:w="758" w:type="dxa"/>
            <w:vAlign w:val="center"/>
          </w:tcPr>
          <w:p>
            <w:pPr>
              <w:pStyle w:val="12"/>
            </w:pPr>
            <w:r>
              <w:t>土地储备专项债券还本支出</w:t>
            </w:r>
          </w:p>
        </w:tc>
        <w:tc>
          <w:tcPr>
            <w:tcW w:w="758" w:type="dxa"/>
            <w:vAlign w:val="center"/>
          </w:tcPr>
          <w:p>
            <w:pPr>
              <w:pStyle w:val="13"/>
            </w:pPr>
            <w:r>
              <w:t>10100.00</w:t>
            </w:r>
          </w:p>
        </w:tc>
        <w:tc>
          <w:tcPr>
            <w:tcW w:w="758" w:type="dxa"/>
            <w:vAlign w:val="center"/>
          </w:tcPr>
          <w:p>
            <w:pPr>
              <w:pStyle w:val="13"/>
            </w:pPr>
            <w:r>
              <w:t>10100.00</w:t>
            </w:r>
          </w:p>
        </w:tc>
        <w:tc>
          <w:tcPr>
            <w:tcW w:w="758" w:type="dxa"/>
            <w:vAlign w:val="center"/>
          </w:tcPr>
          <w:p>
            <w:pPr>
              <w:pStyle w:val="13"/>
            </w:pPr>
            <w:r>
              <w:t>10100.00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22</w:t>
            </w:r>
          </w:p>
        </w:tc>
        <w:tc>
          <w:tcPr>
            <w:tcW w:w="758" w:type="dxa"/>
            <w:vAlign w:val="center"/>
          </w:tcPr>
          <w:p>
            <w:pPr>
              <w:pStyle w:val="12"/>
            </w:pPr>
            <w:r>
              <w:t>232</w:t>
            </w:r>
          </w:p>
        </w:tc>
        <w:tc>
          <w:tcPr>
            <w:tcW w:w="758" w:type="dxa"/>
            <w:vAlign w:val="center"/>
          </w:tcPr>
          <w:p>
            <w:pPr>
              <w:pStyle w:val="12"/>
            </w:pPr>
            <w:r>
              <w:t>债务付息支出</w:t>
            </w:r>
          </w:p>
        </w:tc>
        <w:tc>
          <w:tcPr>
            <w:tcW w:w="758" w:type="dxa"/>
            <w:vAlign w:val="center"/>
          </w:tcPr>
          <w:p>
            <w:pPr>
              <w:pStyle w:val="13"/>
            </w:pPr>
            <w:r>
              <w:t>394.91</w:t>
            </w:r>
          </w:p>
        </w:tc>
        <w:tc>
          <w:tcPr>
            <w:tcW w:w="758" w:type="dxa"/>
            <w:vAlign w:val="center"/>
          </w:tcPr>
          <w:p>
            <w:pPr>
              <w:pStyle w:val="13"/>
            </w:pPr>
            <w:r>
              <w:t>394.91</w:t>
            </w:r>
          </w:p>
        </w:tc>
        <w:tc>
          <w:tcPr>
            <w:tcW w:w="758" w:type="dxa"/>
            <w:vAlign w:val="center"/>
          </w:tcPr>
          <w:p>
            <w:pPr>
              <w:pStyle w:val="13"/>
            </w:pPr>
            <w:r>
              <w:t>394.91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23</w:t>
            </w:r>
          </w:p>
        </w:tc>
        <w:tc>
          <w:tcPr>
            <w:tcW w:w="758" w:type="dxa"/>
            <w:vAlign w:val="center"/>
          </w:tcPr>
          <w:p>
            <w:pPr>
              <w:pStyle w:val="12"/>
            </w:pPr>
            <w:r>
              <w:t>23204</w:t>
            </w:r>
          </w:p>
        </w:tc>
        <w:tc>
          <w:tcPr>
            <w:tcW w:w="758" w:type="dxa"/>
            <w:vAlign w:val="center"/>
          </w:tcPr>
          <w:p>
            <w:pPr>
              <w:pStyle w:val="12"/>
            </w:pPr>
            <w:r>
              <w:t>地方政府专项债务付息支出</w:t>
            </w:r>
          </w:p>
        </w:tc>
        <w:tc>
          <w:tcPr>
            <w:tcW w:w="758" w:type="dxa"/>
            <w:vAlign w:val="center"/>
          </w:tcPr>
          <w:p>
            <w:pPr>
              <w:pStyle w:val="13"/>
            </w:pPr>
            <w:r>
              <w:t>394.91</w:t>
            </w:r>
          </w:p>
        </w:tc>
        <w:tc>
          <w:tcPr>
            <w:tcW w:w="758" w:type="dxa"/>
            <w:vAlign w:val="center"/>
          </w:tcPr>
          <w:p>
            <w:pPr>
              <w:pStyle w:val="13"/>
            </w:pPr>
            <w:r>
              <w:t>394.91</w:t>
            </w:r>
          </w:p>
        </w:tc>
        <w:tc>
          <w:tcPr>
            <w:tcW w:w="758" w:type="dxa"/>
            <w:vAlign w:val="center"/>
          </w:tcPr>
          <w:p>
            <w:pPr>
              <w:pStyle w:val="13"/>
            </w:pPr>
            <w:r>
              <w:t>394.91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24</w:t>
            </w:r>
          </w:p>
        </w:tc>
        <w:tc>
          <w:tcPr>
            <w:tcW w:w="758" w:type="dxa"/>
            <w:vAlign w:val="center"/>
          </w:tcPr>
          <w:p>
            <w:pPr>
              <w:pStyle w:val="12"/>
            </w:pPr>
            <w:r>
              <w:t>2320431</w:t>
            </w:r>
          </w:p>
        </w:tc>
        <w:tc>
          <w:tcPr>
            <w:tcW w:w="758" w:type="dxa"/>
            <w:vAlign w:val="center"/>
          </w:tcPr>
          <w:p>
            <w:pPr>
              <w:pStyle w:val="12"/>
            </w:pPr>
            <w:r>
              <w:t>土地储备专项债券付息支出</w:t>
            </w:r>
          </w:p>
        </w:tc>
        <w:tc>
          <w:tcPr>
            <w:tcW w:w="758" w:type="dxa"/>
            <w:vAlign w:val="center"/>
          </w:tcPr>
          <w:p>
            <w:pPr>
              <w:pStyle w:val="13"/>
            </w:pPr>
            <w:r>
              <w:t>394.91</w:t>
            </w:r>
          </w:p>
        </w:tc>
        <w:tc>
          <w:tcPr>
            <w:tcW w:w="758" w:type="dxa"/>
            <w:vAlign w:val="center"/>
          </w:tcPr>
          <w:p>
            <w:pPr>
              <w:pStyle w:val="13"/>
            </w:pPr>
            <w:r>
              <w:t>394.91</w:t>
            </w:r>
          </w:p>
        </w:tc>
        <w:tc>
          <w:tcPr>
            <w:tcW w:w="758" w:type="dxa"/>
            <w:vAlign w:val="center"/>
          </w:tcPr>
          <w:p>
            <w:pPr>
              <w:pStyle w:val="13"/>
            </w:pPr>
            <w:r>
              <w:t>394.91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8809"/>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324石家庄市自然资源和规划局藁城分局</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32430.82</w:t>
            </w:r>
          </w:p>
        </w:tc>
        <w:tc>
          <w:tcPr>
            <w:tcW w:w="1095" w:type="dxa"/>
            <w:vAlign w:val="center"/>
          </w:tcPr>
          <w:p>
            <w:pPr>
              <w:pStyle w:val="15"/>
            </w:pPr>
            <w:r>
              <w:t>914.87</w:t>
            </w:r>
          </w:p>
        </w:tc>
        <w:tc>
          <w:tcPr>
            <w:tcW w:w="1095" w:type="dxa"/>
            <w:vAlign w:val="center"/>
          </w:tcPr>
          <w:p>
            <w:pPr>
              <w:pStyle w:val="15"/>
            </w:pPr>
            <w:r>
              <w:t>31515.95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3"/>
            </w:pPr>
            <w:r>
              <w:t>20433.24</w:t>
            </w:r>
          </w:p>
        </w:tc>
        <w:tc>
          <w:tcPr>
            <w:tcW w:w="1095" w:type="dxa"/>
            <w:vAlign w:val="center"/>
          </w:tcPr>
          <w:p>
            <w:pPr>
              <w:pStyle w:val="13"/>
            </w:pPr>
          </w:p>
        </w:tc>
        <w:tc>
          <w:tcPr>
            <w:tcW w:w="1095" w:type="dxa"/>
            <w:vAlign w:val="center"/>
          </w:tcPr>
          <w:p>
            <w:pPr>
              <w:pStyle w:val="13"/>
            </w:pPr>
            <w:r>
              <w:t>20433.24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3"/>
            </w:pPr>
            <w:r>
              <w:t>20433.24</w:t>
            </w:r>
          </w:p>
        </w:tc>
        <w:tc>
          <w:tcPr>
            <w:tcW w:w="1095" w:type="dxa"/>
            <w:vAlign w:val="center"/>
          </w:tcPr>
          <w:p>
            <w:pPr>
              <w:pStyle w:val="13"/>
            </w:pPr>
          </w:p>
        </w:tc>
        <w:tc>
          <w:tcPr>
            <w:tcW w:w="1095" w:type="dxa"/>
            <w:vAlign w:val="center"/>
          </w:tcPr>
          <w:p>
            <w:pPr>
              <w:pStyle w:val="13"/>
            </w:pPr>
            <w:r>
              <w:t>20433.24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2120803</w:t>
            </w:r>
          </w:p>
        </w:tc>
        <w:tc>
          <w:tcPr>
            <w:tcW w:w="1095" w:type="dxa"/>
            <w:vAlign w:val="center"/>
          </w:tcPr>
          <w:p>
            <w:pPr>
              <w:pStyle w:val="12"/>
            </w:pPr>
            <w:r>
              <w:t>城市建设支出</w:t>
            </w:r>
          </w:p>
        </w:tc>
        <w:tc>
          <w:tcPr>
            <w:tcW w:w="1095" w:type="dxa"/>
            <w:vAlign w:val="center"/>
          </w:tcPr>
          <w:p>
            <w:pPr>
              <w:pStyle w:val="13"/>
            </w:pPr>
            <w:r>
              <w:t>3600.00</w:t>
            </w:r>
          </w:p>
        </w:tc>
        <w:tc>
          <w:tcPr>
            <w:tcW w:w="1095" w:type="dxa"/>
            <w:vAlign w:val="center"/>
          </w:tcPr>
          <w:p>
            <w:pPr>
              <w:pStyle w:val="13"/>
            </w:pPr>
          </w:p>
        </w:tc>
        <w:tc>
          <w:tcPr>
            <w:tcW w:w="1095" w:type="dxa"/>
            <w:vAlign w:val="center"/>
          </w:tcPr>
          <w:p>
            <w:pPr>
              <w:pStyle w:val="13"/>
            </w:pPr>
            <w:r>
              <w:t>3600.00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2120804</w:t>
            </w:r>
          </w:p>
        </w:tc>
        <w:tc>
          <w:tcPr>
            <w:tcW w:w="1095" w:type="dxa"/>
            <w:vAlign w:val="center"/>
          </w:tcPr>
          <w:p>
            <w:pPr>
              <w:pStyle w:val="12"/>
            </w:pPr>
            <w:r>
              <w:t>农村基础设施建设支出</w:t>
            </w:r>
          </w:p>
        </w:tc>
        <w:tc>
          <w:tcPr>
            <w:tcW w:w="1095" w:type="dxa"/>
            <w:vAlign w:val="center"/>
          </w:tcPr>
          <w:p>
            <w:pPr>
              <w:pStyle w:val="13"/>
            </w:pPr>
            <w:r>
              <w:t>10537.19</w:t>
            </w:r>
          </w:p>
        </w:tc>
        <w:tc>
          <w:tcPr>
            <w:tcW w:w="1095" w:type="dxa"/>
            <w:vAlign w:val="center"/>
          </w:tcPr>
          <w:p>
            <w:pPr>
              <w:pStyle w:val="13"/>
            </w:pPr>
          </w:p>
        </w:tc>
        <w:tc>
          <w:tcPr>
            <w:tcW w:w="1095" w:type="dxa"/>
            <w:vAlign w:val="center"/>
          </w:tcPr>
          <w:p>
            <w:pPr>
              <w:pStyle w:val="13"/>
            </w:pPr>
            <w:r>
              <w:t>10537.19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2120806</w:t>
            </w:r>
          </w:p>
        </w:tc>
        <w:tc>
          <w:tcPr>
            <w:tcW w:w="1095" w:type="dxa"/>
            <w:vAlign w:val="center"/>
          </w:tcPr>
          <w:p>
            <w:pPr>
              <w:pStyle w:val="12"/>
            </w:pPr>
            <w:r>
              <w:t>土地出让业务支出</w:t>
            </w:r>
          </w:p>
        </w:tc>
        <w:tc>
          <w:tcPr>
            <w:tcW w:w="1095" w:type="dxa"/>
            <w:vAlign w:val="center"/>
          </w:tcPr>
          <w:p>
            <w:pPr>
              <w:pStyle w:val="13"/>
            </w:pPr>
            <w:r>
              <w:t>1582.00</w:t>
            </w:r>
          </w:p>
        </w:tc>
        <w:tc>
          <w:tcPr>
            <w:tcW w:w="1095" w:type="dxa"/>
            <w:vAlign w:val="center"/>
          </w:tcPr>
          <w:p>
            <w:pPr>
              <w:pStyle w:val="13"/>
            </w:pPr>
          </w:p>
        </w:tc>
        <w:tc>
          <w:tcPr>
            <w:tcW w:w="1095" w:type="dxa"/>
            <w:vAlign w:val="center"/>
          </w:tcPr>
          <w:p>
            <w:pPr>
              <w:pStyle w:val="13"/>
            </w:pPr>
            <w:r>
              <w:t>1582.00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2120816</w:t>
            </w:r>
          </w:p>
        </w:tc>
        <w:tc>
          <w:tcPr>
            <w:tcW w:w="1095" w:type="dxa"/>
            <w:vAlign w:val="center"/>
          </w:tcPr>
          <w:p>
            <w:pPr>
              <w:pStyle w:val="12"/>
            </w:pPr>
            <w:r>
              <w:t>农业农村生态环境支出</w:t>
            </w:r>
          </w:p>
        </w:tc>
        <w:tc>
          <w:tcPr>
            <w:tcW w:w="1095" w:type="dxa"/>
            <w:vAlign w:val="center"/>
          </w:tcPr>
          <w:p>
            <w:pPr>
              <w:pStyle w:val="13"/>
            </w:pPr>
            <w:r>
              <w:t>4714.05</w:t>
            </w:r>
          </w:p>
        </w:tc>
        <w:tc>
          <w:tcPr>
            <w:tcW w:w="1095" w:type="dxa"/>
            <w:vAlign w:val="center"/>
          </w:tcPr>
          <w:p>
            <w:pPr>
              <w:pStyle w:val="13"/>
            </w:pPr>
          </w:p>
        </w:tc>
        <w:tc>
          <w:tcPr>
            <w:tcW w:w="1095" w:type="dxa"/>
            <w:vAlign w:val="center"/>
          </w:tcPr>
          <w:p>
            <w:pPr>
              <w:pStyle w:val="13"/>
            </w:pPr>
            <w:r>
              <w:t>4714.05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3"/>
            </w:pPr>
            <w:r>
              <w:t>210.30</w:t>
            </w:r>
          </w:p>
        </w:tc>
        <w:tc>
          <w:tcPr>
            <w:tcW w:w="1095" w:type="dxa"/>
            <w:vAlign w:val="center"/>
          </w:tcPr>
          <w:p>
            <w:pPr>
              <w:pStyle w:val="13"/>
            </w:pPr>
          </w:p>
        </w:tc>
        <w:tc>
          <w:tcPr>
            <w:tcW w:w="1095" w:type="dxa"/>
            <w:vAlign w:val="center"/>
          </w:tcPr>
          <w:p>
            <w:pPr>
              <w:pStyle w:val="13"/>
            </w:pPr>
            <w:r>
              <w:t>210.30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21302</w:t>
            </w:r>
          </w:p>
        </w:tc>
        <w:tc>
          <w:tcPr>
            <w:tcW w:w="1095" w:type="dxa"/>
            <w:vAlign w:val="center"/>
          </w:tcPr>
          <w:p>
            <w:pPr>
              <w:pStyle w:val="12"/>
            </w:pPr>
            <w:r>
              <w:t>林业和草原</w:t>
            </w:r>
          </w:p>
        </w:tc>
        <w:tc>
          <w:tcPr>
            <w:tcW w:w="1095" w:type="dxa"/>
            <w:vAlign w:val="center"/>
          </w:tcPr>
          <w:p>
            <w:pPr>
              <w:pStyle w:val="13"/>
            </w:pPr>
            <w:r>
              <w:t>210.30</w:t>
            </w:r>
          </w:p>
        </w:tc>
        <w:tc>
          <w:tcPr>
            <w:tcW w:w="1095" w:type="dxa"/>
            <w:vAlign w:val="center"/>
          </w:tcPr>
          <w:p>
            <w:pPr>
              <w:pStyle w:val="13"/>
            </w:pPr>
          </w:p>
        </w:tc>
        <w:tc>
          <w:tcPr>
            <w:tcW w:w="1095" w:type="dxa"/>
            <w:vAlign w:val="center"/>
          </w:tcPr>
          <w:p>
            <w:pPr>
              <w:pStyle w:val="13"/>
            </w:pPr>
            <w:r>
              <w:t>210.30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2130205</w:t>
            </w:r>
          </w:p>
        </w:tc>
        <w:tc>
          <w:tcPr>
            <w:tcW w:w="1095" w:type="dxa"/>
            <w:vAlign w:val="center"/>
          </w:tcPr>
          <w:p>
            <w:pPr>
              <w:pStyle w:val="12"/>
            </w:pPr>
            <w:r>
              <w:t>森林资源培育</w:t>
            </w:r>
          </w:p>
        </w:tc>
        <w:tc>
          <w:tcPr>
            <w:tcW w:w="1095" w:type="dxa"/>
            <w:vAlign w:val="center"/>
          </w:tcPr>
          <w:p>
            <w:pPr>
              <w:pStyle w:val="13"/>
            </w:pPr>
            <w:r>
              <w:t>200.25</w:t>
            </w:r>
          </w:p>
        </w:tc>
        <w:tc>
          <w:tcPr>
            <w:tcW w:w="1095" w:type="dxa"/>
            <w:vAlign w:val="center"/>
          </w:tcPr>
          <w:p>
            <w:pPr>
              <w:pStyle w:val="13"/>
            </w:pPr>
          </w:p>
        </w:tc>
        <w:tc>
          <w:tcPr>
            <w:tcW w:w="1095" w:type="dxa"/>
            <w:vAlign w:val="center"/>
          </w:tcPr>
          <w:p>
            <w:pPr>
              <w:pStyle w:val="13"/>
            </w:pPr>
            <w:r>
              <w:t>200.25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2130234</w:t>
            </w:r>
          </w:p>
        </w:tc>
        <w:tc>
          <w:tcPr>
            <w:tcW w:w="1095" w:type="dxa"/>
            <w:vAlign w:val="center"/>
          </w:tcPr>
          <w:p>
            <w:pPr>
              <w:pStyle w:val="12"/>
            </w:pPr>
            <w:r>
              <w:t>林业草原防灾减灾</w:t>
            </w:r>
          </w:p>
        </w:tc>
        <w:tc>
          <w:tcPr>
            <w:tcW w:w="1095" w:type="dxa"/>
            <w:vAlign w:val="center"/>
          </w:tcPr>
          <w:p>
            <w:pPr>
              <w:pStyle w:val="13"/>
            </w:pPr>
            <w:r>
              <w:t>10.05</w:t>
            </w:r>
          </w:p>
        </w:tc>
        <w:tc>
          <w:tcPr>
            <w:tcW w:w="1095" w:type="dxa"/>
            <w:vAlign w:val="center"/>
          </w:tcPr>
          <w:p>
            <w:pPr>
              <w:pStyle w:val="13"/>
            </w:pPr>
          </w:p>
        </w:tc>
        <w:tc>
          <w:tcPr>
            <w:tcW w:w="1095" w:type="dxa"/>
            <w:vAlign w:val="center"/>
          </w:tcPr>
          <w:p>
            <w:pPr>
              <w:pStyle w:val="13"/>
            </w:pPr>
            <w:r>
              <w:t>10.05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220</w:t>
            </w:r>
          </w:p>
        </w:tc>
        <w:tc>
          <w:tcPr>
            <w:tcW w:w="1095" w:type="dxa"/>
            <w:vAlign w:val="center"/>
          </w:tcPr>
          <w:p>
            <w:pPr>
              <w:pStyle w:val="12"/>
            </w:pPr>
            <w:r>
              <w:t>自然资源海洋气象等支出</w:t>
            </w:r>
          </w:p>
        </w:tc>
        <w:tc>
          <w:tcPr>
            <w:tcW w:w="1095" w:type="dxa"/>
            <w:vAlign w:val="center"/>
          </w:tcPr>
          <w:p>
            <w:pPr>
              <w:pStyle w:val="13"/>
            </w:pPr>
            <w:r>
              <w:t>1292.37</w:t>
            </w:r>
          </w:p>
        </w:tc>
        <w:tc>
          <w:tcPr>
            <w:tcW w:w="1095" w:type="dxa"/>
            <w:vAlign w:val="center"/>
          </w:tcPr>
          <w:p>
            <w:pPr>
              <w:pStyle w:val="13"/>
            </w:pPr>
            <w:r>
              <w:t>914.87</w:t>
            </w:r>
          </w:p>
        </w:tc>
        <w:tc>
          <w:tcPr>
            <w:tcW w:w="1095" w:type="dxa"/>
            <w:vAlign w:val="center"/>
          </w:tcPr>
          <w:p>
            <w:pPr>
              <w:pStyle w:val="13"/>
            </w:pPr>
            <w:r>
              <w:t>377.50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13</w:t>
            </w:r>
          </w:p>
        </w:tc>
        <w:tc>
          <w:tcPr>
            <w:tcW w:w="1095" w:type="dxa"/>
            <w:vAlign w:val="center"/>
          </w:tcPr>
          <w:p>
            <w:pPr>
              <w:pStyle w:val="12"/>
            </w:pPr>
            <w:r>
              <w:t>22001</w:t>
            </w:r>
          </w:p>
        </w:tc>
        <w:tc>
          <w:tcPr>
            <w:tcW w:w="1095" w:type="dxa"/>
            <w:vAlign w:val="center"/>
          </w:tcPr>
          <w:p>
            <w:pPr>
              <w:pStyle w:val="12"/>
            </w:pPr>
            <w:r>
              <w:t>自然资源事务</w:t>
            </w:r>
          </w:p>
        </w:tc>
        <w:tc>
          <w:tcPr>
            <w:tcW w:w="1095" w:type="dxa"/>
            <w:vAlign w:val="center"/>
          </w:tcPr>
          <w:p>
            <w:pPr>
              <w:pStyle w:val="13"/>
            </w:pPr>
            <w:r>
              <w:t>1292.37</w:t>
            </w:r>
          </w:p>
        </w:tc>
        <w:tc>
          <w:tcPr>
            <w:tcW w:w="1095" w:type="dxa"/>
            <w:vAlign w:val="center"/>
          </w:tcPr>
          <w:p>
            <w:pPr>
              <w:pStyle w:val="13"/>
            </w:pPr>
            <w:r>
              <w:t>914.87</w:t>
            </w:r>
          </w:p>
        </w:tc>
        <w:tc>
          <w:tcPr>
            <w:tcW w:w="1095" w:type="dxa"/>
            <w:vAlign w:val="center"/>
          </w:tcPr>
          <w:p>
            <w:pPr>
              <w:pStyle w:val="13"/>
            </w:pPr>
            <w:r>
              <w:t>377.50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14</w:t>
            </w:r>
          </w:p>
        </w:tc>
        <w:tc>
          <w:tcPr>
            <w:tcW w:w="1095" w:type="dxa"/>
            <w:vAlign w:val="center"/>
          </w:tcPr>
          <w:p>
            <w:pPr>
              <w:pStyle w:val="12"/>
            </w:pPr>
            <w:r>
              <w:t>2200101</w:t>
            </w:r>
          </w:p>
        </w:tc>
        <w:tc>
          <w:tcPr>
            <w:tcW w:w="1095" w:type="dxa"/>
            <w:vAlign w:val="center"/>
          </w:tcPr>
          <w:p>
            <w:pPr>
              <w:pStyle w:val="12"/>
            </w:pPr>
            <w:r>
              <w:t>行政运行</w:t>
            </w:r>
          </w:p>
        </w:tc>
        <w:tc>
          <w:tcPr>
            <w:tcW w:w="1095" w:type="dxa"/>
            <w:vAlign w:val="center"/>
          </w:tcPr>
          <w:p>
            <w:pPr>
              <w:pStyle w:val="13"/>
            </w:pPr>
            <w:r>
              <w:t>914.87</w:t>
            </w:r>
          </w:p>
        </w:tc>
        <w:tc>
          <w:tcPr>
            <w:tcW w:w="1095" w:type="dxa"/>
            <w:vAlign w:val="center"/>
          </w:tcPr>
          <w:p>
            <w:pPr>
              <w:pStyle w:val="13"/>
            </w:pPr>
            <w:r>
              <w:t>914.87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15</w:t>
            </w:r>
          </w:p>
        </w:tc>
        <w:tc>
          <w:tcPr>
            <w:tcW w:w="1095" w:type="dxa"/>
            <w:vAlign w:val="center"/>
          </w:tcPr>
          <w:p>
            <w:pPr>
              <w:pStyle w:val="12"/>
            </w:pPr>
            <w:r>
              <w:t>2200102</w:t>
            </w:r>
          </w:p>
        </w:tc>
        <w:tc>
          <w:tcPr>
            <w:tcW w:w="1095" w:type="dxa"/>
            <w:vAlign w:val="center"/>
          </w:tcPr>
          <w:p>
            <w:pPr>
              <w:pStyle w:val="12"/>
            </w:pPr>
            <w:r>
              <w:t>一般行政管理事务</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16</w:t>
            </w:r>
          </w:p>
        </w:tc>
        <w:tc>
          <w:tcPr>
            <w:tcW w:w="1095" w:type="dxa"/>
            <w:vAlign w:val="center"/>
          </w:tcPr>
          <w:p>
            <w:pPr>
              <w:pStyle w:val="12"/>
            </w:pPr>
            <w:r>
              <w:t>2200103</w:t>
            </w:r>
          </w:p>
        </w:tc>
        <w:tc>
          <w:tcPr>
            <w:tcW w:w="1095" w:type="dxa"/>
            <w:vAlign w:val="center"/>
          </w:tcPr>
          <w:p>
            <w:pPr>
              <w:pStyle w:val="12"/>
            </w:pPr>
            <w:r>
              <w:t>机关服务</w:t>
            </w:r>
          </w:p>
        </w:tc>
        <w:tc>
          <w:tcPr>
            <w:tcW w:w="1095" w:type="dxa"/>
            <w:vAlign w:val="center"/>
          </w:tcPr>
          <w:p>
            <w:pPr>
              <w:pStyle w:val="13"/>
            </w:pPr>
            <w:r>
              <w:t>97.00</w:t>
            </w:r>
          </w:p>
        </w:tc>
        <w:tc>
          <w:tcPr>
            <w:tcW w:w="1095" w:type="dxa"/>
            <w:vAlign w:val="center"/>
          </w:tcPr>
          <w:p>
            <w:pPr>
              <w:pStyle w:val="13"/>
            </w:pPr>
          </w:p>
        </w:tc>
        <w:tc>
          <w:tcPr>
            <w:tcW w:w="1095" w:type="dxa"/>
            <w:vAlign w:val="center"/>
          </w:tcPr>
          <w:p>
            <w:pPr>
              <w:pStyle w:val="13"/>
            </w:pPr>
            <w:r>
              <w:t>97.00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17</w:t>
            </w:r>
          </w:p>
        </w:tc>
        <w:tc>
          <w:tcPr>
            <w:tcW w:w="1095" w:type="dxa"/>
            <w:vAlign w:val="center"/>
          </w:tcPr>
          <w:p>
            <w:pPr>
              <w:pStyle w:val="12"/>
            </w:pPr>
            <w:r>
              <w:t>2200106</w:t>
            </w:r>
          </w:p>
        </w:tc>
        <w:tc>
          <w:tcPr>
            <w:tcW w:w="1095" w:type="dxa"/>
            <w:vAlign w:val="center"/>
          </w:tcPr>
          <w:p>
            <w:pPr>
              <w:pStyle w:val="12"/>
            </w:pPr>
            <w:r>
              <w:t>自然资源利用与保护</w:t>
            </w:r>
          </w:p>
        </w:tc>
        <w:tc>
          <w:tcPr>
            <w:tcW w:w="1095" w:type="dxa"/>
            <w:vAlign w:val="center"/>
          </w:tcPr>
          <w:p>
            <w:pPr>
              <w:pStyle w:val="13"/>
            </w:pPr>
            <w:r>
              <w:t>160.50</w:t>
            </w:r>
          </w:p>
        </w:tc>
        <w:tc>
          <w:tcPr>
            <w:tcW w:w="1095" w:type="dxa"/>
            <w:vAlign w:val="center"/>
          </w:tcPr>
          <w:p>
            <w:pPr>
              <w:pStyle w:val="13"/>
            </w:pPr>
          </w:p>
        </w:tc>
        <w:tc>
          <w:tcPr>
            <w:tcW w:w="1095" w:type="dxa"/>
            <w:vAlign w:val="center"/>
          </w:tcPr>
          <w:p>
            <w:pPr>
              <w:pStyle w:val="13"/>
            </w:pPr>
            <w:r>
              <w:t>160.50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18</w:t>
            </w:r>
          </w:p>
        </w:tc>
        <w:tc>
          <w:tcPr>
            <w:tcW w:w="1095" w:type="dxa"/>
            <w:vAlign w:val="center"/>
          </w:tcPr>
          <w:p>
            <w:pPr>
              <w:pStyle w:val="12"/>
            </w:pPr>
            <w:r>
              <w:t>2200108</w:t>
            </w:r>
          </w:p>
        </w:tc>
        <w:tc>
          <w:tcPr>
            <w:tcW w:w="1095" w:type="dxa"/>
            <w:vAlign w:val="center"/>
          </w:tcPr>
          <w:p>
            <w:pPr>
              <w:pStyle w:val="12"/>
            </w:pPr>
            <w:r>
              <w:t>自然资源行业业务管理</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19</w:t>
            </w:r>
          </w:p>
        </w:tc>
        <w:tc>
          <w:tcPr>
            <w:tcW w:w="1095" w:type="dxa"/>
            <w:vAlign w:val="center"/>
          </w:tcPr>
          <w:p>
            <w:pPr>
              <w:pStyle w:val="12"/>
            </w:pPr>
            <w:r>
              <w:t>231</w:t>
            </w:r>
          </w:p>
        </w:tc>
        <w:tc>
          <w:tcPr>
            <w:tcW w:w="1095" w:type="dxa"/>
            <w:vAlign w:val="center"/>
          </w:tcPr>
          <w:p>
            <w:pPr>
              <w:pStyle w:val="12"/>
            </w:pPr>
            <w:r>
              <w:t>债务还本支出</w:t>
            </w:r>
          </w:p>
        </w:tc>
        <w:tc>
          <w:tcPr>
            <w:tcW w:w="1095" w:type="dxa"/>
            <w:vAlign w:val="center"/>
          </w:tcPr>
          <w:p>
            <w:pPr>
              <w:pStyle w:val="13"/>
            </w:pPr>
            <w:r>
              <w:t>10100.00</w:t>
            </w:r>
          </w:p>
        </w:tc>
        <w:tc>
          <w:tcPr>
            <w:tcW w:w="1095" w:type="dxa"/>
            <w:vAlign w:val="center"/>
          </w:tcPr>
          <w:p>
            <w:pPr>
              <w:pStyle w:val="13"/>
            </w:pPr>
          </w:p>
        </w:tc>
        <w:tc>
          <w:tcPr>
            <w:tcW w:w="1095" w:type="dxa"/>
            <w:vAlign w:val="center"/>
          </w:tcPr>
          <w:p>
            <w:pPr>
              <w:pStyle w:val="13"/>
            </w:pPr>
            <w:r>
              <w:t>10100.00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20</w:t>
            </w:r>
          </w:p>
        </w:tc>
        <w:tc>
          <w:tcPr>
            <w:tcW w:w="1095" w:type="dxa"/>
            <w:vAlign w:val="center"/>
          </w:tcPr>
          <w:p>
            <w:pPr>
              <w:pStyle w:val="12"/>
            </w:pPr>
            <w:r>
              <w:t>23104</w:t>
            </w:r>
          </w:p>
        </w:tc>
        <w:tc>
          <w:tcPr>
            <w:tcW w:w="1095" w:type="dxa"/>
            <w:vAlign w:val="center"/>
          </w:tcPr>
          <w:p>
            <w:pPr>
              <w:pStyle w:val="12"/>
            </w:pPr>
            <w:r>
              <w:t>地方政府专项债务还本支出</w:t>
            </w:r>
          </w:p>
        </w:tc>
        <w:tc>
          <w:tcPr>
            <w:tcW w:w="1095" w:type="dxa"/>
            <w:vAlign w:val="center"/>
          </w:tcPr>
          <w:p>
            <w:pPr>
              <w:pStyle w:val="13"/>
            </w:pPr>
            <w:r>
              <w:t>10100.00</w:t>
            </w:r>
          </w:p>
        </w:tc>
        <w:tc>
          <w:tcPr>
            <w:tcW w:w="1095" w:type="dxa"/>
            <w:vAlign w:val="center"/>
          </w:tcPr>
          <w:p>
            <w:pPr>
              <w:pStyle w:val="13"/>
            </w:pPr>
          </w:p>
        </w:tc>
        <w:tc>
          <w:tcPr>
            <w:tcW w:w="1095" w:type="dxa"/>
            <w:vAlign w:val="center"/>
          </w:tcPr>
          <w:p>
            <w:pPr>
              <w:pStyle w:val="13"/>
            </w:pPr>
            <w:r>
              <w:t>10100.00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21</w:t>
            </w:r>
          </w:p>
        </w:tc>
        <w:tc>
          <w:tcPr>
            <w:tcW w:w="1095" w:type="dxa"/>
            <w:vAlign w:val="center"/>
          </w:tcPr>
          <w:p>
            <w:pPr>
              <w:pStyle w:val="12"/>
            </w:pPr>
            <w:r>
              <w:t>2310431</w:t>
            </w:r>
          </w:p>
        </w:tc>
        <w:tc>
          <w:tcPr>
            <w:tcW w:w="1095" w:type="dxa"/>
            <w:vAlign w:val="center"/>
          </w:tcPr>
          <w:p>
            <w:pPr>
              <w:pStyle w:val="12"/>
            </w:pPr>
            <w:r>
              <w:t>土地储备专项债券还本支出</w:t>
            </w:r>
          </w:p>
        </w:tc>
        <w:tc>
          <w:tcPr>
            <w:tcW w:w="1095" w:type="dxa"/>
            <w:vAlign w:val="center"/>
          </w:tcPr>
          <w:p>
            <w:pPr>
              <w:pStyle w:val="13"/>
            </w:pPr>
            <w:r>
              <w:t>10100.00</w:t>
            </w:r>
          </w:p>
        </w:tc>
        <w:tc>
          <w:tcPr>
            <w:tcW w:w="1095" w:type="dxa"/>
            <w:vAlign w:val="center"/>
          </w:tcPr>
          <w:p>
            <w:pPr>
              <w:pStyle w:val="13"/>
            </w:pPr>
          </w:p>
        </w:tc>
        <w:tc>
          <w:tcPr>
            <w:tcW w:w="1095" w:type="dxa"/>
            <w:vAlign w:val="center"/>
          </w:tcPr>
          <w:p>
            <w:pPr>
              <w:pStyle w:val="13"/>
            </w:pPr>
            <w:r>
              <w:t>10100.00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22</w:t>
            </w:r>
          </w:p>
        </w:tc>
        <w:tc>
          <w:tcPr>
            <w:tcW w:w="1095" w:type="dxa"/>
            <w:vAlign w:val="center"/>
          </w:tcPr>
          <w:p>
            <w:pPr>
              <w:pStyle w:val="12"/>
            </w:pPr>
            <w:r>
              <w:t>232</w:t>
            </w:r>
          </w:p>
        </w:tc>
        <w:tc>
          <w:tcPr>
            <w:tcW w:w="1095" w:type="dxa"/>
            <w:vAlign w:val="center"/>
          </w:tcPr>
          <w:p>
            <w:pPr>
              <w:pStyle w:val="12"/>
            </w:pPr>
            <w:r>
              <w:t>债务付息支出</w:t>
            </w:r>
          </w:p>
        </w:tc>
        <w:tc>
          <w:tcPr>
            <w:tcW w:w="1095" w:type="dxa"/>
            <w:vAlign w:val="center"/>
          </w:tcPr>
          <w:p>
            <w:pPr>
              <w:pStyle w:val="13"/>
            </w:pPr>
            <w:r>
              <w:t>394.91</w:t>
            </w:r>
          </w:p>
        </w:tc>
        <w:tc>
          <w:tcPr>
            <w:tcW w:w="1095" w:type="dxa"/>
            <w:vAlign w:val="center"/>
          </w:tcPr>
          <w:p>
            <w:pPr>
              <w:pStyle w:val="13"/>
            </w:pPr>
          </w:p>
        </w:tc>
        <w:tc>
          <w:tcPr>
            <w:tcW w:w="1095" w:type="dxa"/>
            <w:vAlign w:val="center"/>
          </w:tcPr>
          <w:p>
            <w:pPr>
              <w:pStyle w:val="13"/>
            </w:pPr>
            <w:r>
              <w:t>394.91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23</w:t>
            </w:r>
          </w:p>
        </w:tc>
        <w:tc>
          <w:tcPr>
            <w:tcW w:w="1095" w:type="dxa"/>
            <w:vAlign w:val="center"/>
          </w:tcPr>
          <w:p>
            <w:pPr>
              <w:pStyle w:val="12"/>
            </w:pPr>
            <w:r>
              <w:t>23204</w:t>
            </w:r>
          </w:p>
        </w:tc>
        <w:tc>
          <w:tcPr>
            <w:tcW w:w="1095" w:type="dxa"/>
            <w:vAlign w:val="center"/>
          </w:tcPr>
          <w:p>
            <w:pPr>
              <w:pStyle w:val="12"/>
            </w:pPr>
            <w:r>
              <w:t>地方政府专项债务付息支出</w:t>
            </w:r>
          </w:p>
        </w:tc>
        <w:tc>
          <w:tcPr>
            <w:tcW w:w="1095" w:type="dxa"/>
            <w:vAlign w:val="center"/>
          </w:tcPr>
          <w:p>
            <w:pPr>
              <w:pStyle w:val="13"/>
            </w:pPr>
            <w:r>
              <w:t>394.91</w:t>
            </w:r>
          </w:p>
        </w:tc>
        <w:tc>
          <w:tcPr>
            <w:tcW w:w="1095" w:type="dxa"/>
            <w:vAlign w:val="center"/>
          </w:tcPr>
          <w:p>
            <w:pPr>
              <w:pStyle w:val="13"/>
            </w:pPr>
          </w:p>
        </w:tc>
        <w:tc>
          <w:tcPr>
            <w:tcW w:w="1095" w:type="dxa"/>
            <w:vAlign w:val="center"/>
          </w:tcPr>
          <w:p>
            <w:pPr>
              <w:pStyle w:val="13"/>
            </w:pPr>
            <w:r>
              <w:t>394.91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24</w:t>
            </w:r>
          </w:p>
        </w:tc>
        <w:tc>
          <w:tcPr>
            <w:tcW w:w="1095" w:type="dxa"/>
            <w:vAlign w:val="center"/>
          </w:tcPr>
          <w:p>
            <w:pPr>
              <w:pStyle w:val="12"/>
            </w:pPr>
            <w:r>
              <w:t>2320431</w:t>
            </w:r>
          </w:p>
        </w:tc>
        <w:tc>
          <w:tcPr>
            <w:tcW w:w="1095" w:type="dxa"/>
            <w:vAlign w:val="center"/>
          </w:tcPr>
          <w:p>
            <w:pPr>
              <w:pStyle w:val="12"/>
            </w:pPr>
            <w:r>
              <w:t>土地储备专项债券付息支出</w:t>
            </w:r>
          </w:p>
        </w:tc>
        <w:tc>
          <w:tcPr>
            <w:tcW w:w="1095" w:type="dxa"/>
            <w:vAlign w:val="center"/>
          </w:tcPr>
          <w:p>
            <w:pPr>
              <w:pStyle w:val="13"/>
            </w:pPr>
            <w:r>
              <w:t>394.91</w:t>
            </w:r>
          </w:p>
        </w:tc>
        <w:tc>
          <w:tcPr>
            <w:tcW w:w="1095" w:type="dxa"/>
            <w:vAlign w:val="center"/>
          </w:tcPr>
          <w:p>
            <w:pPr>
              <w:pStyle w:val="13"/>
            </w:pPr>
          </w:p>
        </w:tc>
        <w:tc>
          <w:tcPr>
            <w:tcW w:w="1095" w:type="dxa"/>
            <w:vAlign w:val="center"/>
          </w:tcPr>
          <w:p>
            <w:pPr>
              <w:pStyle w:val="13"/>
            </w:pPr>
            <w:r>
              <w:t>394.91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13490"/>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324石家庄市自然资源和规划局藁城分局</w:t>
            </w:r>
          </w:p>
        </w:tc>
        <w:tc>
          <w:tcPr>
            <w:tcW w:w="1232" w:type="dxa"/>
            <w:tcBorders>
              <w:top w:val="single" w:color="FFFFFF" w:sz="6" w:space="0"/>
              <w:left w:val="single" w:color="FFFFFF" w:sz="6" w:space="0"/>
              <w:right w:val="single" w:color="FFFFFF" w:sz="6" w:space="0"/>
            </w:tcBorders>
            <w:vAlign w:val="center"/>
          </w:tcPr>
          <w:p>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1502.37</w:t>
            </w:r>
          </w:p>
        </w:tc>
        <w:tc>
          <w:tcPr>
            <w:tcW w:w="1232" w:type="dxa"/>
            <w:vAlign w:val="center"/>
          </w:tcPr>
          <w:p>
            <w:pPr>
              <w:pStyle w:val="12"/>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r>
              <w:t>30840.34</w:t>
            </w: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r>
              <w:t>20433.24</w:t>
            </w:r>
          </w:p>
        </w:tc>
        <w:tc>
          <w:tcPr>
            <w:tcW w:w="1232" w:type="dxa"/>
            <w:vAlign w:val="center"/>
          </w:tcPr>
          <w:p>
            <w:pPr>
              <w:pStyle w:val="13"/>
            </w:pPr>
          </w:p>
        </w:tc>
        <w:tc>
          <w:tcPr>
            <w:tcW w:w="1232" w:type="dxa"/>
            <w:vAlign w:val="center"/>
          </w:tcPr>
          <w:p>
            <w:pPr>
              <w:pStyle w:val="13"/>
            </w:pPr>
            <w:r>
              <w:t>20433.24</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r>
              <w:t>210.30</w:t>
            </w:r>
          </w:p>
        </w:tc>
        <w:tc>
          <w:tcPr>
            <w:tcW w:w="1232" w:type="dxa"/>
            <w:vAlign w:val="center"/>
          </w:tcPr>
          <w:p>
            <w:pPr>
              <w:pStyle w:val="13"/>
            </w:pPr>
            <w:r>
              <w:t>210.30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r>
              <w:t>1292.37</w:t>
            </w:r>
          </w:p>
        </w:tc>
        <w:tc>
          <w:tcPr>
            <w:tcW w:w="1232" w:type="dxa"/>
            <w:vAlign w:val="center"/>
          </w:tcPr>
          <w:p>
            <w:pPr>
              <w:pStyle w:val="13"/>
            </w:pPr>
            <w:r>
              <w:t>1292.37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r>
              <w:t>10100.00</w:t>
            </w:r>
          </w:p>
        </w:tc>
        <w:tc>
          <w:tcPr>
            <w:tcW w:w="1232" w:type="dxa"/>
            <w:vAlign w:val="center"/>
          </w:tcPr>
          <w:p>
            <w:pPr>
              <w:pStyle w:val="13"/>
            </w:pPr>
          </w:p>
        </w:tc>
        <w:tc>
          <w:tcPr>
            <w:tcW w:w="1232" w:type="dxa"/>
            <w:vAlign w:val="center"/>
          </w:tcPr>
          <w:p>
            <w:pPr>
              <w:pStyle w:val="13"/>
            </w:pPr>
            <w:r>
              <w:t>10100.00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r>
              <w:t>394.91</w:t>
            </w:r>
          </w:p>
        </w:tc>
        <w:tc>
          <w:tcPr>
            <w:tcW w:w="1232" w:type="dxa"/>
            <w:vAlign w:val="center"/>
          </w:tcPr>
          <w:p>
            <w:pPr>
              <w:pStyle w:val="13"/>
            </w:pPr>
          </w:p>
        </w:tc>
        <w:tc>
          <w:tcPr>
            <w:tcW w:w="1232" w:type="dxa"/>
            <w:vAlign w:val="center"/>
          </w:tcPr>
          <w:p>
            <w:pPr>
              <w:pStyle w:val="13"/>
            </w:pPr>
            <w:r>
              <w:t>394.91</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32342.71</w:t>
            </w:r>
          </w:p>
        </w:tc>
        <w:tc>
          <w:tcPr>
            <w:tcW w:w="1232" w:type="dxa"/>
            <w:vAlign w:val="center"/>
          </w:tcPr>
          <w:p>
            <w:pPr>
              <w:pStyle w:val="14"/>
            </w:pPr>
            <w:r>
              <w:t>本年支出合计</w:t>
            </w:r>
          </w:p>
        </w:tc>
        <w:tc>
          <w:tcPr>
            <w:tcW w:w="1232" w:type="dxa"/>
            <w:vAlign w:val="center"/>
          </w:tcPr>
          <w:p>
            <w:pPr>
              <w:pStyle w:val="15"/>
            </w:pPr>
            <w:r>
              <w:t>32430.82</w:t>
            </w:r>
          </w:p>
        </w:tc>
        <w:tc>
          <w:tcPr>
            <w:tcW w:w="1232" w:type="dxa"/>
            <w:vAlign w:val="center"/>
          </w:tcPr>
          <w:p>
            <w:pPr>
              <w:pStyle w:val="15"/>
            </w:pPr>
            <w:r>
              <w:t>1502.67</w:t>
            </w:r>
          </w:p>
        </w:tc>
        <w:tc>
          <w:tcPr>
            <w:tcW w:w="1232" w:type="dxa"/>
            <w:vAlign w:val="center"/>
          </w:tcPr>
          <w:p>
            <w:pPr>
              <w:pStyle w:val="15"/>
            </w:pPr>
            <w:r>
              <w:t>30928.15</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r>
              <w:t>88.11</w:t>
            </w: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r>
              <w:t>0.30</w:t>
            </w: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r>
              <w:t>87.81</w:t>
            </w: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32430.82</w:t>
            </w:r>
          </w:p>
        </w:tc>
        <w:tc>
          <w:tcPr>
            <w:tcW w:w="1232" w:type="dxa"/>
            <w:vAlign w:val="center"/>
          </w:tcPr>
          <w:p>
            <w:pPr>
              <w:pStyle w:val="14"/>
            </w:pPr>
            <w:r>
              <w:t>支出总计</w:t>
            </w:r>
          </w:p>
        </w:tc>
        <w:tc>
          <w:tcPr>
            <w:tcW w:w="1232" w:type="dxa"/>
            <w:vAlign w:val="center"/>
          </w:tcPr>
          <w:p>
            <w:pPr>
              <w:pStyle w:val="15"/>
            </w:pPr>
            <w:r>
              <w:t>32430.82</w:t>
            </w:r>
          </w:p>
        </w:tc>
        <w:tc>
          <w:tcPr>
            <w:tcW w:w="1232" w:type="dxa"/>
            <w:vAlign w:val="center"/>
          </w:tcPr>
          <w:p>
            <w:pPr>
              <w:pStyle w:val="15"/>
            </w:pPr>
            <w:r>
              <w:t>1502.67</w:t>
            </w:r>
          </w:p>
        </w:tc>
        <w:tc>
          <w:tcPr>
            <w:tcW w:w="1232" w:type="dxa"/>
            <w:vAlign w:val="center"/>
          </w:tcPr>
          <w:p>
            <w:pPr>
              <w:pStyle w:val="15"/>
            </w:pPr>
            <w:r>
              <w:t>30928.15</w:t>
            </w: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30472"/>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1502.67</w:t>
            </w:r>
          </w:p>
        </w:tc>
        <w:tc>
          <w:tcPr>
            <w:tcW w:w="1643" w:type="dxa"/>
            <w:vAlign w:val="center"/>
          </w:tcPr>
          <w:p>
            <w:pPr>
              <w:pStyle w:val="15"/>
            </w:pPr>
            <w:r>
              <w:t>914.87</w:t>
            </w:r>
          </w:p>
        </w:tc>
        <w:tc>
          <w:tcPr>
            <w:tcW w:w="1643" w:type="dxa"/>
            <w:vAlign w:val="center"/>
          </w:tcPr>
          <w:p>
            <w:pPr>
              <w:pStyle w:val="15"/>
            </w:pPr>
            <w:r>
              <w:t>587.80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3"/>
            </w:pPr>
            <w:r>
              <w:t>210.30</w:t>
            </w:r>
          </w:p>
        </w:tc>
        <w:tc>
          <w:tcPr>
            <w:tcW w:w="1643" w:type="dxa"/>
            <w:vAlign w:val="center"/>
          </w:tcPr>
          <w:p>
            <w:pPr>
              <w:pStyle w:val="13"/>
            </w:pPr>
          </w:p>
        </w:tc>
        <w:tc>
          <w:tcPr>
            <w:tcW w:w="1643" w:type="dxa"/>
            <w:vAlign w:val="center"/>
          </w:tcPr>
          <w:p>
            <w:pPr>
              <w:pStyle w:val="13"/>
            </w:pPr>
            <w:r>
              <w:t>210.30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21302</w:t>
            </w:r>
          </w:p>
        </w:tc>
        <w:tc>
          <w:tcPr>
            <w:tcW w:w="1643" w:type="dxa"/>
            <w:vAlign w:val="center"/>
          </w:tcPr>
          <w:p>
            <w:pPr>
              <w:pStyle w:val="12"/>
            </w:pPr>
            <w:r>
              <w:t>林业和草原</w:t>
            </w:r>
          </w:p>
        </w:tc>
        <w:tc>
          <w:tcPr>
            <w:tcW w:w="1643" w:type="dxa"/>
            <w:vAlign w:val="center"/>
          </w:tcPr>
          <w:p>
            <w:pPr>
              <w:pStyle w:val="13"/>
            </w:pPr>
            <w:r>
              <w:t>210.30</w:t>
            </w:r>
          </w:p>
        </w:tc>
        <w:tc>
          <w:tcPr>
            <w:tcW w:w="1643" w:type="dxa"/>
            <w:vAlign w:val="center"/>
          </w:tcPr>
          <w:p>
            <w:pPr>
              <w:pStyle w:val="13"/>
            </w:pPr>
          </w:p>
        </w:tc>
        <w:tc>
          <w:tcPr>
            <w:tcW w:w="1643" w:type="dxa"/>
            <w:vAlign w:val="center"/>
          </w:tcPr>
          <w:p>
            <w:pPr>
              <w:pStyle w:val="13"/>
            </w:pPr>
            <w:r>
              <w:t>210.30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2130205</w:t>
            </w:r>
          </w:p>
        </w:tc>
        <w:tc>
          <w:tcPr>
            <w:tcW w:w="1643" w:type="dxa"/>
            <w:vAlign w:val="center"/>
          </w:tcPr>
          <w:p>
            <w:pPr>
              <w:pStyle w:val="12"/>
            </w:pPr>
            <w:r>
              <w:t>森林资源培育</w:t>
            </w:r>
          </w:p>
        </w:tc>
        <w:tc>
          <w:tcPr>
            <w:tcW w:w="1643" w:type="dxa"/>
            <w:vAlign w:val="center"/>
          </w:tcPr>
          <w:p>
            <w:pPr>
              <w:pStyle w:val="13"/>
            </w:pPr>
            <w:r>
              <w:t>200.25</w:t>
            </w:r>
          </w:p>
        </w:tc>
        <w:tc>
          <w:tcPr>
            <w:tcW w:w="1643" w:type="dxa"/>
            <w:vAlign w:val="center"/>
          </w:tcPr>
          <w:p>
            <w:pPr>
              <w:pStyle w:val="13"/>
            </w:pPr>
          </w:p>
        </w:tc>
        <w:tc>
          <w:tcPr>
            <w:tcW w:w="1643" w:type="dxa"/>
            <w:vAlign w:val="center"/>
          </w:tcPr>
          <w:p>
            <w:pPr>
              <w:pStyle w:val="13"/>
            </w:pPr>
            <w:r>
              <w:t>200.25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2130234</w:t>
            </w:r>
          </w:p>
        </w:tc>
        <w:tc>
          <w:tcPr>
            <w:tcW w:w="1643" w:type="dxa"/>
            <w:vAlign w:val="center"/>
          </w:tcPr>
          <w:p>
            <w:pPr>
              <w:pStyle w:val="12"/>
            </w:pPr>
            <w:r>
              <w:t>林业草原防灾减灾</w:t>
            </w:r>
          </w:p>
        </w:tc>
        <w:tc>
          <w:tcPr>
            <w:tcW w:w="1643" w:type="dxa"/>
            <w:vAlign w:val="center"/>
          </w:tcPr>
          <w:p>
            <w:pPr>
              <w:pStyle w:val="13"/>
            </w:pPr>
            <w:r>
              <w:t>10.05</w:t>
            </w:r>
          </w:p>
        </w:tc>
        <w:tc>
          <w:tcPr>
            <w:tcW w:w="1643" w:type="dxa"/>
            <w:vAlign w:val="center"/>
          </w:tcPr>
          <w:p>
            <w:pPr>
              <w:pStyle w:val="13"/>
            </w:pPr>
          </w:p>
        </w:tc>
        <w:tc>
          <w:tcPr>
            <w:tcW w:w="1643" w:type="dxa"/>
            <w:vAlign w:val="center"/>
          </w:tcPr>
          <w:p>
            <w:pPr>
              <w:pStyle w:val="13"/>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220</w:t>
            </w:r>
          </w:p>
        </w:tc>
        <w:tc>
          <w:tcPr>
            <w:tcW w:w="1643" w:type="dxa"/>
            <w:vAlign w:val="center"/>
          </w:tcPr>
          <w:p>
            <w:pPr>
              <w:pStyle w:val="12"/>
            </w:pPr>
            <w:r>
              <w:t>自然资源海洋气象等支出</w:t>
            </w:r>
          </w:p>
        </w:tc>
        <w:tc>
          <w:tcPr>
            <w:tcW w:w="1643" w:type="dxa"/>
            <w:vAlign w:val="center"/>
          </w:tcPr>
          <w:p>
            <w:pPr>
              <w:pStyle w:val="13"/>
            </w:pPr>
            <w:r>
              <w:t>1292.37</w:t>
            </w:r>
          </w:p>
        </w:tc>
        <w:tc>
          <w:tcPr>
            <w:tcW w:w="1643" w:type="dxa"/>
            <w:vAlign w:val="center"/>
          </w:tcPr>
          <w:p>
            <w:pPr>
              <w:pStyle w:val="13"/>
            </w:pPr>
            <w:r>
              <w:t>914.87</w:t>
            </w:r>
          </w:p>
        </w:tc>
        <w:tc>
          <w:tcPr>
            <w:tcW w:w="1643" w:type="dxa"/>
            <w:vAlign w:val="center"/>
          </w:tcPr>
          <w:p>
            <w:pPr>
              <w:pStyle w:val="13"/>
            </w:pPr>
            <w:r>
              <w:t>377.50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22001</w:t>
            </w:r>
          </w:p>
        </w:tc>
        <w:tc>
          <w:tcPr>
            <w:tcW w:w="1643" w:type="dxa"/>
            <w:vAlign w:val="center"/>
          </w:tcPr>
          <w:p>
            <w:pPr>
              <w:pStyle w:val="12"/>
            </w:pPr>
            <w:r>
              <w:t>自然资源事务</w:t>
            </w:r>
          </w:p>
        </w:tc>
        <w:tc>
          <w:tcPr>
            <w:tcW w:w="1643" w:type="dxa"/>
            <w:vAlign w:val="center"/>
          </w:tcPr>
          <w:p>
            <w:pPr>
              <w:pStyle w:val="13"/>
            </w:pPr>
            <w:r>
              <w:t>1292.37</w:t>
            </w:r>
          </w:p>
        </w:tc>
        <w:tc>
          <w:tcPr>
            <w:tcW w:w="1643" w:type="dxa"/>
            <w:vAlign w:val="center"/>
          </w:tcPr>
          <w:p>
            <w:pPr>
              <w:pStyle w:val="13"/>
            </w:pPr>
            <w:r>
              <w:t>914.87</w:t>
            </w:r>
          </w:p>
        </w:tc>
        <w:tc>
          <w:tcPr>
            <w:tcW w:w="1643" w:type="dxa"/>
            <w:vAlign w:val="center"/>
          </w:tcPr>
          <w:p>
            <w:pPr>
              <w:pStyle w:val="13"/>
            </w:pPr>
            <w:r>
              <w:t>377.50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2200101</w:t>
            </w:r>
          </w:p>
        </w:tc>
        <w:tc>
          <w:tcPr>
            <w:tcW w:w="1643" w:type="dxa"/>
            <w:vAlign w:val="center"/>
          </w:tcPr>
          <w:p>
            <w:pPr>
              <w:pStyle w:val="12"/>
            </w:pPr>
            <w:r>
              <w:t>行政运行</w:t>
            </w:r>
          </w:p>
        </w:tc>
        <w:tc>
          <w:tcPr>
            <w:tcW w:w="1643" w:type="dxa"/>
            <w:vAlign w:val="center"/>
          </w:tcPr>
          <w:p>
            <w:pPr>
              <w:pStyle w:val="13"/>
            </w:pPr>
            <w:r>
              <w:t>914.87</w:t>
            </w:r>
          </w:p>
        </w:tc>
        <w:tc>
          <w:tcPr>
            <w:tcW w:w="1643" w:type="dxa"/>
            <w:vAlign w:val="center"/>
          </w:tcPr>
          <w:p>
            <w:pPr>
              <w:pStyle w:val="13"/>
            </w:pPr>
            <w:r>
              <w:t>914.87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2200102</w:t>
            </w:r>
          </w:p>
        </w:tc>
        <w:tc>
          <w:tcPr>
            <w:tcW w:w="1643" w:type="dxa"/>
            <w:vAlign w:val="center"/>
          </w:tcPr>
          <w:p>
            <w:pPr>
              <w:pStyle w:val="12"/>
            </w:pPr>
            <w:r>
              <w:t>一般行政管理事务</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2200103</w:t>
            </w:r>
          </w:p>
        </w:tc>
        <w:tc>
          <w:tcPr>
            <w:tcW w:w="1643" w:type="dxa"/>
            <w:vAlign w:val="center"/>
          </w:tcPr>
          <w:p>
            <w:pPr>
              <w:pStyle w:val="12"/>
            </w:pPr>
            <w:r>
              <w:t>机关服务</w:t>
            </w:r>
          </w:p>
        </w:tc>
        <w:tc>
          <w:tcPr>
            <w:tcW w:w="1643" w:type="dxa"/>
            <w:vAlign w:val="center"/>
          </w:tcPr>
          <w:p>
            <w:pPr>
              <w:pStyle w:val="13"/>
            </w:pPr>
            <w:r>
              <w:t>97.00</w:t>
            </w:r>
          </w:p>
        </w:tc>
        <w:tc>
          <w:tcPr>
            <w:tcW w:w="1643" w:type="dxa"/>
            <w:vAlign w:val="center"/>
          </w:tcPr>
          <w:p>
            <w:pPr>
              <w:pStyle w:val="13"/>
            </w:pPr>
          </w:p>
        </w:tc>
        <w:tc>
          <w:tcPr>
            <w:tcW w:w="1643" w:type="dxa"/>
            <w:vAlign w:val="center"/>
          </w:tcPr>
          <w:p>
            <w:pPr>
              <w:pStyle w:val="13"/>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2200106</w:t>
            </w:r>
          </w:p>
        </w:tc>
        <w:tc>
          <w:tcPr>
            <w:tcW w:w="1643" w:type="dxa"/>
            <w:vAlign w:val="center"/>
          </w:tcPr>
          <w:p>
            <w:pPr>
              <w:pStyle w:val="12"/>
            </w:pPr>
            <w:r>
              <w:t>自然资源利用与保护</w:t>
            </w:r>
          </w:p>
        </w:tc>
        <w:tc>
          <w:tcPr>
            <w:tcW w:w="1643" w:type="dxa"/>
            <w:vAlign w:val="center"/>
          </w:tcPr>
          <w:p>
            <w:pPr>
              <w:pStyle w:val="13"/>
            </w:pPr>
            <w:r>
              <w:t>160.50</w:t>
            </w:r>
          </w:p>
        </w:tc>
        <w:tc>
          <w:tcPr>
            <w:tcW w:w="1643" w:type="dxa"/>
            <w:vAlign w:val="center"/>
          </w:tcPr>
          <w:p>
            <w:pPr>
              <w:pStyle w:val="13"/>
            </w:pPr>
          </w:p>
        </w:tc>
        <w:tc>
          <w:tcPr>
            <w:tcW w:w="1643" w:type="dxa"/>
            <w:vAlign w:val="center"/>
          </w:tcPr>
          <w:p>
            <w:pPr>
              <w:pStyle w:val="13"/>
            </w:pPr>
            <w:r>
              <w:t>160.50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2200108</w:t>
            </w:r>
          </w:p>
        </w:tc>
        <w:tc>
          <w:tcPr>
            <w:tcW w:w="1643" w:type="dxa"/>
            <w:vAlign w:val="center"/>
          </w:tcPr>
          <w:p>
            <w:pPr>
              <w:pStyle w:val="12"/>
            </w:pPr>
            <w:r>
              <w:t>自然资源行业业务管理</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1827"/>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914.87</w:t>
            </w:r>
          </w:p>
        </w:tc>
        <w:tc>
          <w:tcPr>
            <w:tcW w:w="1643" w:type="dxa"/>
            <w:vAlign w:val="center"/>
          </w:tcPr>
          <w:p>
            <w:pPr>
              <w:pStyle w:val="15"/>
            </w:pPr>
            <w:r>
              <w:t>851.79</w:t>
            </w:r>
          </w:p>
        </w:tc>
        <w:tc>
          <w:tcPr>
            <w:tcW w:w="1643" w:type="dxa"/>
            <w:vAlign w:val="center"/>
          </w:tcPr>
          <w:p>
            <w:pPr>
              <w:pStyle w:val="15"/>
            </w:pPr>
            <w:r>
              <w:t>63.08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849.03</w:t>
            </w:r>
          </w:p>
        </w:tc>
        <w:tc>
          <w:tcPr>
            <w:tcW w:w="1643" w:type="dxa"/>
            <w:vAlign w:val="center"/>
          </w:tcPr>
          <w:p>
            <w:pPr>
              <w:pStyle w:val="13"/>
            </w:pPr>
            <w:r>
              <w:t>849.03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191.81</w:t>
            </w:r>
          </w:p>
        </w:tc>
        <w:tc>
          <w:tcPr>
            <w:tcW w:w="1643" w:type="dxa"/>
            <w:vAlign w:val="center"/>
          </w:tcPr>
          <w:p>
            <w:pPr>
              <w:pStyle w:val="13"/>
            </w:pPr>
            <w:r>
              <w:t>191.81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282.84</w:t>
            </w:r>
          </w:p>
        </w:tc>
        <w:tc>
          <w:tcPr>
            <w:tcW w:w="1643" w:type="dxa"/>
            <w:vAlign w:val="center"/>
          </w:tcPr>
          <w:p>
            <w:pPr>
              <w:pStyle w:val="13"/>
            </w:pPr>
            <w:r>
              <w:t>282.84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8.79</w:t>
            </w:r>
          </w:p>
        </w:tc>
        <w:tc>
          <w:tcPr>
            <w:tcW w:w="1643" w:type="dxa"/>
            <w:vAlign w:val="center"/>
          </w:tcPr>
          <w:p>
            <w:pPr>
              <w:pStyle w:val="13"/>
            </w:pPr>
            <w:r>
              <w:t>8.79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89.37</w:t>
            </w:r>
          </w:p>
        </w:tc>
        <w:tc>
          <w:tcPr>
            <w:tcW w:w="1643" w:type="dxa"/>
            <w:vAlign w:val="center"/>
          </w:tcPr>
          <w:p>
            <w:pPr>
              <w:pStyle w:val="13"/>
            </w:pPr>
            <w:r>
              <w:t>89.37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74.56</w:t>
            </w:r>
          </w:p>
        </w:tc>
        <w:tc>
          <w:tcPr>
            <w:tcW w:w="1643" w:type="dxa"/>
            <w:vAlign w:val="center"/>
          </w:tcPr>
          <w:p>
            <w:pPr>
              <w:pStyle w:val="13"/>
            </w:pPr>
            <w:r>
              <w:t>74.56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39.14</w:t>
            </w:r>
          </w:p>
        </w:tc>
        <w:tc>
          <w:tcPr>
            <w:tcW w:w="1643" w:type="dxa"/>
            <w:vAlign w:val="center"/>
          </w:tcPr>
          <w:p>
            <w:pPr>
              <w:pStyle w:val="13"/>
            </w:pPr>
            <w:r>
              <w:t>39.14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30.29</w:t>
            </w:r>
          </w:p>
        </w:tc>
        <w:tc>
          <w:tcPr>
            <w:tcW w:w="1643" w:type="dxa"/>
            <w:vAlign w:val="center"/>
          </w:tcPr>
          <w:p>
            <w:pPr>
              <w:pStyle w:val="13"/>
            </w:pPr>
            <w:r>
              <w:t>30.29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70.39</w:t>
            </w:r>
          </w:p>
        </w:tc>
        <w:tc>
          <w:tcPr>
            <w:tcW w:w="1643" w:type="dxa"/>
            <w:vAlign w:val="center"/>
          </w:tcPr>
          <w:p>
            <w:pPr>
              <w:pStyle w:val="13"/>
            </w:pPr>
            <w:r>
              <w:t>70.39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61.82</w:t>
            </w:r>
          </w:p>
        </w:tc>
        <w:tc>
          <w:tcPr>
            <w:tcW w:w="1643" w:type="dxa"/>
            <w:vAlign w:val="center"/>
          </w:tcPr>
          <w:p>
            <w:pPr>
              <w:pStyle w:val="13"/>
            </w:pPr>
            <w:r>
              <w:t>61.82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63.08</w:t>
            </w:r>
          </w:p>
        </w:tc>
        <w:tc>
          <w:tcPr>
            <w:tcW w:w="1643" w:type="dxa"/>
            <w:vAlign w:val="center"/>
          </w:tcPr>
          <w:p>
            <w:pPr>
              <w:pStyle w:val="13"/>
            </w:pPr>
          </w:p>
        </w:tc>
        <w:tc>
          <w:tcPr>
            <w:tcW w:w="1643" w:type="dxa"/>
            <w:vAlign w:val="center"/>
          </w:tcPr>
          <w:p>
            <w:pPr>
              <w:pStyle w:val="13"/>
            </w:pPr>
            <w:r>
              <w:t>63.08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14.80</w:t>
            </w:r>
          </w:p>
        </w:tc>
        <w:tc>
          <w:tcPr>
            <w:tcW w:w="1643" w:type="dxa"/>
            <w:vAlign w:val="center"/>
          </w:tcPr>
          <w:p>
            <w:pPr>
              <w:pStyle w:val="13"/>
            </w:pPr>
          </w:p>
        </w:tc>
        <w:tc>
          <w:tcPr>
            <w:tcW w:w="1643" w:type="dxa"/>
            <w:vAlign w:val="center"/>
          </w:tcPr>
          <w:p>
            <w:pPr>
              <w:pStyle w:val="13"/>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12.54</w:t>
            </w:r>
          </w:p>
        </w:tc>
        <w:tc>
          <w:tcPr>
            <w:tcW w:w="1643" w:type="dxa"/>
            <w:vAlign w:val="center"/>
          </w:tcPr>
          <w:p>
            <w:pPr>
              <w:pStyle w:val="13"/>
            </w:pPr>
          </w:p>
        </w:tc>
        <w:tc>
          <w:tcPr>
            <w:tcW w:w="1643" w:type="dxa"/>
            <w:vAlign w:val="center"/>
          </w:tcPr>
          <w:p>
            <w:pPr>
              <w:pStyle w:val="13"/>
            </w:pPr>
            <w: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30215</w:t>
            </w:r>
          </w:p>
        </w:tc>
        <w:tc>
          <w:tcPr>
            <w:tcW w:w="1643" w:type="dxa"/>
            <w:vAlign w:val="center"/>
          </w:tcPr>
          <w:p>
            <w:pPr>
              <w:pStyle w:val="12"/>
            </w:pPr>
            <w:r>
              <w:t>会议费</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4.30</w:t>
            </w:r>
          </w:p>
        </w:tc>
        <w:tc>
          <w:tcPr>
            <w:tcW w:w="1643" w:type="dxa"/>
            <w:vAlign w:val="center"/>
          </w:tcPr>
          <w:p>
            <w:pPr>
              <w:pStyle w:val="13"/>
            </w:pPr>
          </w:p>
        </w:tc>
        <w:tc>
          <w:tcPr>
            <w:tcW w:w="1643" w:type="dxa"/>
            <w:vAlign w:val="center"/>
          </w:tcPr>
          <w:p>
            <w:pPr>
              <w:pStyle w:val="13"/>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4.80</w:t>
            </w:r>
          </w:p>
        </w:tc>
        <w:tc>
          <w:tcPr>
            <w:tcW w:w="1643" w:type="dxa"/>
            <w:vAlign w:val="center"/>
          </w:tcPr>
          <w:p>
            <w:pPr>
              <w:pStyle w:val="13"/>
            </w:pPr>
          </w:p>
        </w:tc>
        <w:tc>
          <w:tcPr>
            <w:tcW w:w="1643"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15.24</w:t>
            </w:r>
          </w:p>
        </w:tc>
        <w:tc>
          <w:tcPr>
            <w:tcW w:w="1643" w:type="dxa"/>
            <w:vAlign w:val="center"/>
          </w:tcPr>
          <w:p>
            <w:pPr>
              <w:pStyle w:val="13"/>
            </w:pPr>
          </w:p>
        </w:tc>
        <w:tc>
          <w:tcPr>
            <w:tcW w:w="1643" w:type="dxa"/>
            <w:vAlign w:val="center"/>
          </w:tcPr>
          <w:p>
            <w:pPr>
              <w:pStyle w:val="13"/>
            </w:pPr>
            <w:r>
              <w:t>15.24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4.61</w:t>
            </w:r>
          </w:p>
        </w:tc>
        <w:tc>
          <w:tcPr>
            <w:tcW w:w="1643" w:type="dxa"/>
            <w:vAlign w:val="center"/>
          </w:tcPr>
          <w:p>
            <w:pPr>
              <w:pStyle w:val="13"/>
            </w:pPr>
          </w:p>
        </w:tc>
        <w:tc>
          <w:tcPr>
            <w:tcW w:w="1643" w:type="dxa"/>
            <w:vAlign w:val="center"/>
          </w:tcPr>
          <w:p>
            <w:pPr>
              <w:pStyle w:val="13"/>
            </w:pPr>
            <w:r>
              <w:t>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22</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3"/>
            </w:pPr>
            <w:r>
              <w:t>2.76</w:t>
            </w:r>
          </w:p>
        </w:tc>
        <w:tc>
          <w:tcPr>
            <w:tcW w:w="1643" w:type="dxa"/>
            <w:vAlign w:val="center"/>
          </w:tcPr>
          <w:p>
            <w:pPr>
              <w:pStyle w:val="13"/>
            </w:pPr>
            <w:r>
              <w:t>2.76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23</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3"/>
            </w:pPr>
            <w:r>
              <w:t>2.76</w:t>
            </w:r>
          </w:p>
        </w:tc>
        <w:tc>
          <w:tcPr>
            <w:tcW w:w="1643" w:type="dxa"/>
            <w:vAlign w:val="center"/>
          </w:tcPr>
          <w:p>
            <w:pPr>
              <w:pStyle w:val="13"/>
            </w:pPr>
            <w:r>
              <w:t>2.76</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18796"/>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30928.15</w:t>
            </w:r>
          </w:p>
        </w:tc>
        <w:tc>
          <w:tcPr>
            <w:tcW w:w="1643" w:type="dxa"/>
            <w:vAlign w:val="center"/>
          </w:tcPr>
          <w:p>
            <w:pPr>
              <w:pStyle w:val="15"/>
            </w:pPr>
          </w:p>
        </w:tc>
        <w:tc>
          <w:tcPr>
            <w:tcW w:w="1643" w:type="dxa"/>
            <w:vAlign w:val="center"/>
          </w:tcPr>
          <w:p>
            <w:pPr>
              <w:pStyle w:val="15"/>
            </w:pPr>
            <w:r>
              <w:t>30928.15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3"/>
            </w:pPr>
            <w:r>
              <w:t>20433.24</w:t>
            </w:r>
          </w:p>
        </w:tc>
        <w:tc>
          <w:tcPr>
            <w:tcW w:w="1643" w:type="dxa"/>
            <w:vAlign w:val="center"/>
          </w:tcPr>
          <w:p>
            <w:pPr>
              <w:pStyle w:val="13"/>
            </w:pPr>
          </w:p>
        </w:tc>
        <w:tc>
          <w:tcPr>
            <w:tcW w:w="1643" w:type="dxa"/>
            <w:vAlign w:val="center"/>
          </w:tcPr>
          <w:p>
            <w:pPr>
              <w:pStyle w:val="13"/>
            </w:pPr>
            <w:r>
              <w:t>20433.24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3"/>
            </w:pPr>
            <w:r>
              <w:t>20433.24</w:t>
            </w:r>
          </w:p>
        </w:tc>
        <w:tc>
          <w:tcPr>
            <w:tcW w:w="1643" w:type="dxa"/>
            <w:vAlign w:val="center"/>
          </w:tcPr>
          <w:p>
            <w:pPr>
              <w:pStyle w:val="13"/>
            </w:pPr>
          </w:p>
        </w:tc>
        <w:tc>
          <w:tcPr>
            <w:tcW w:w="1643" w:type="dxa"/>
            <w:vAlign w:val="center"/>
          </w:tcPr>
          <w:p>
            <w:pPr>
              <w:pStyle w:val="13"/>
            </w:pPr>
            <w:r>
              <w:t>20433.24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2120803</w:t>
            </w:r>
          </w:p>
        </w:tc>
        <w:tc>
          <w:tcPr>
            <w:tcW w:w="1643" w:type="dxa"/>
            <w:vAlign w:val="center"/>
          </w:tcPr>
          <w:p>
            <w:pPr>
              <w:pStyle w:val="12"/>
            </w:pPr>
            <w:r>
              <w:t>城市建设支出</w:t>
            </w:r>
          </w:p>
        </w:tc>
        <w:tc>
          <w:tcPr>
            <w:tcW w:w="1643" w:type="dxa"/>
            <w:vAlign w:val="center"/>
          </w:tcPr>
          <w:p>
            <w:pPr>
              <w:pStyle w:val="13"/>
            </w:pPr>
            <w:r>
              <w:t>3600.00</w:t>
            </w:r>
          </w:p>
        </w:tc>
        <w:tc>
          <w:tcPr>
            <w:tcW w:w="1643" w:type="dxa"/>
            <w:vAlign w:val="center"/>
          </w:tcPr>
          <w:p>
            <w:pPr>
              <w:pStyle w:val="13"/>
            </w:pPr>
          </w:p>
        </w:tc>
        <w:tc>
          <w:tcPr>
            <w:tcW w:w="1643" w:type="dxa"/>
            <w:vAlign w:val="center"/>
          </w:tcPr>
          <w:p>
            <w:pPr>
              <w:pStyle w:val="13"/>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2120804</w:t>
            </w:r>
          </w:p>
        </w:tc>
        <w:tc>
          <w:tcPr>
            <w:tcW w:w="1643" w:type="dxa"/>
            <w:vAlign w:val="center"/>
          </w:tcPr>
          <w:p>
            <w:pPr>
              <w:pStyle w:val="12"/>
            </w:pPr>
            <w:r>
              <w:t>农村基础设施建设支出</w:t>
            </w:r>
          </w:p>
        </w:tc>
        <w:tc>
          <w:tcPr>
            <w:tcW w:w="1643" w:type="dxa"/>
            <w:vAlign w:val="center"/>
          </w:tcPr>
          <w:p>
            <w:pPr>
              <w:pStyle w:val="13"/>
            </w:pPr>
            <w:r>
              <w:t>10537.19</w:t>
            </w:r>
          </w:p>
        </w:tc>
        <w:tc>
          <w:tcPr>
            <w:tcW w:w="1643" w:type="dxa"/>
            <w:vAlign w:val="center"/>
          </w:tcPr>
          <w:p>
            <w:pPr>
              <w:pStyle w:val="13"/>
            </w:pPr>
          </w:p>
        </w:tc>
        <w:tc>
          <w:tcPr>
            <w:tcW w:w="1643" w:type="dxa"/>
            <w:vAlign w:val="center"/>
          </w:tcPr>
          <w:p>
            <w:pPr>
              <w:pStyle w:val="13"/>
            </w:pPr>
            <w:r>
              <w:t>10537.19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2120806</w:t>
            </w:r>
          </w:p>
        </w:tc>
        <w:tc>
          <w:tcPr>
            <w:tcW w:w="1643" w:type="dxa"/>
            <w:vAlign w:val="center"/>
          </w:tcPr>
          <w:p>
            <w:pPr>
              <w:pStyle w:val="12"/>
            </w:pPr>
            <w:r>
              <w:t>土地出让业务支出</w:t>
            </w:r>
          </w:p>
        </w:tc>
        <w:tc>
          <w:tcPr>
            <w:tcW w:w="1643" w:type="dxa"/>
            <w:vAlign w:val="center"/>
          </w:tcPr>
          <w:p>
            <w:pPr>
              <w:pStyle w:val="13"/>
            </w:pPr>
            <w:r>
              <w:t>1582.00</w:t>
            </w:r>
          </w:p>
        </w:tc>
        <w:tc>
          <w:tcPr>
            <w:tcW w:w="1643" w:type="dxa"/>
            <w:vAlign w:val="center"/>
          </w:tcPr>
          <w:p>
            <w:pPr>
              <w:pStyle w:val="13"/>
            </w:pPr>
          </w:p>
        </w:tc>
        <w:tc>
          <w:tcPr>
            <w:tcW w:w="1643" w:type="dxa"/>
            <w:vAlign w:val="center"/>
          </w:tcPr>
          <w:p>
            <w:pPr>
              <w:pStyle w:val="13"/>
            </w:pPr>
            <w:r>
              <w:t>1582.00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2120816</w:t>
            </w:r>
          </w:p>
        </w:tc>
        <w:tc>
          <w:tcPr>
            <w:tcW w:w="1643" w:type="dxa"/>
            <w:vAlign w:val="center"/>
          </w:tcPr>
          <w:p>
            <w:pPr>
              <w:pStyle w:val="12"/>
            </w:pPr>
            <w:r>
              <w:t>农业农村生态环境支出</w:t>
            </w:r>
          </w:p>
        </w:tc>
        <w:tc>
          <w:tcPr>
            <w:tcW w:w="1643" w:type="dxa"/>
            <w:vAlign w:val="center"/>
          </w:tcPr>
          <w:p>
            <w:pPr>
              <w:pStyle w:val="13"/>
            </w:pPr>
            <w:r>
              <w:t>4714.05</w:t>
            </w:r>
          </w:p>
        </w:tc>
        <w:tc>
          <w:tcPr>
            <w:tcW w:w="1643" w:type="dxa"/>
            <w:vAlign w:val="center"/>
          </w:tcPr>
          <w:p>
            <w:pPr>
              <w:pStyle w:val="13"/>
            </w:pPr>
          </w:p>
        </w:tc>
        <w:tc>
          <w:tcPr>
            <w:tcW w:w="1643" w:type="dxa"/>
            <w:vAlign w:val="center"/>
          </w:tcPr>
          <w:p>
            <w:pPr>
              <w:pStyle w:val="13"/>
            </w:pPr>
            <w:r>
              <w:t>4714.05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231</w:t>
            </w:r>
          </w:p>
        </w:tc>
        <w:tc>
          <w:tcPr>
            <w:tcW w:w="1643" w:type="dxa"/>
            <w:vAlign w:val="center"/>
          </w:tcPr>
          <w:p>
            <w:pPr>
              <w:pStyle w:val="12"/>
            </w:pPr>
            <w:r>
              <w:t>债务还本支出</w:t>
            </w:r>
          </w:p>
        </w:tc>
        <w:tc>
          <w:tcPr>
            <w:tcW w:w="1643" w:type="dxa"/>
            <w:vAlign w:val="center"/>
          </w:tcPr>
          <w:p>
            <w:pPr>
              <w:pStyle w:val="13"/>
            </w:pPr>
            <w:r>
              <w:t>10100.00</w:t>
            </w:r>
          </w:p>
        </w:tc>
        <w:tc>
          <w:tcPr>
            <w:tcW w:w="1643" w:type="dxa"/>
            <w:vAlign w:val="center"/>
          </w:tcPr>
          <w:p>
            <w:pPr>
              <w:pStyle w:val="13"/>
            </w:pPr>
          </w:p>
        </w:tc>
        <w:tc>
          <w:tcPr>
            <w:tcW w:w="1643" w:type="dxa"/>
            <w:vAlign w:val="center"/>
          </w:tcPr>
          <w:p>
            <w:pPr>
              <w:pStyle w:val="13"/>
            </w:pPr>
            <w:r>
              <w:t>10100.00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23104</w:t>
            </w:r>
          </w:p>
        </w:tc>
        <w:tc>
          <w:tcPr>
            <w:tcW w:w="1643" w:type="dxa"/>
            <w:vAlign w:val="center"/>
          </w:tcPr>
          <w:p>
            <w:pPr>
              <w:pStyle w:val="12"/>
            </w:pPr>
            <w:r>
              <w:t>地方政府专项债务还本支出</w:t>
            </w:r>
          </w:p>
        </w:tc>
        <w:tc>
          <w:tcPr>
            <w:tcW w:w="1643" w:type="dxa"/>
            <w:vAlign w:val="center"/>
          </w:tcPr>
          <w:p>
            <w:pPr>
              <w:pStyle w:val="13"/>
            </w:pPr>
            <w:r>
              <w:t>10100.00</w:t>
            </w:r>
          </w:p>
        </w:tc>
        <w:tc>
          <w:tcPr>
            <w:tcW w:w="1643" w:type="dxa"/>
            <w:vAlign w:val="center"/>
          </w:tcPr>
          <w:p>
            <w:pPr>
              <w:pStyle w:val="13"/>
            </w:pPr>
          </w:p>
        </w:tc>
        <w:tc>
          <w:tcPr>
            <w:tcW w:w="1643" w:type="dxa"/>
            <w:vAlign w:val="center"/>
          </w:tcPr>
          <w:p>
            <w:pPr>
              <w:pStyle w:val="13"/>
            </w:pPr>
            <w:r>
              <w:t>10100.00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2310431</w:t>
            </w:r>
          </w:p>
        </w:tc>
        <w:tc>
          <w:tcPr>
            <w:tcW w:w="1643" w:type="dxa"/>
            <w:vAlign w:val="center"/>
          </w:tcPr>
          <w:p>
            <w:pPr>
              <w:pStyle w:val="12"/>
            </w:pPr>
            <w:r>
              <w:t>土地储备专项债券还本支出</w:t>
            </w:r>
          </w:p>
        </w:tc>
        <w:tc>
          <w:tcPr>
            <w:tcW w:w="1643" w:type="dxa"/>
            <w:vAlign w:val="center"/>
          </w:tcPr>
          <w:p>
            <w:pPr>
              <w:pStyle w:val="13"/>
            </w:pPr>
            <w:r>
              <w:t>10100.00</w:t>
            </w:r>
          </w:p>
        </w:tc>
        <w:tc>
          <w:tcPr>
            <w:tcW w:w="1643" w:type="dxa"/>
            <w:vAlign w:val="center"/>
          </w:tcPr>
          <w:p>
            <w:pPr>
              <w:pStyle w:val="13"/>
            </w:pPr>
          </w:p>
        </w:tc>
        <w:tc>
          <w:tcPr>
            <w:tcW w:w="1643" w:type="dxa"/>
            <w:vAlign w:val="center"/>
          </w:tcPr>
          <w:p>
            <w:pPr>
              <w:pStyle w:val="13"/>
            </w:pPr>
            <w:r>
              <w:t>10100.00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232</w:t>
            </w:r>
          </w:p>
        </w:tc>
        <w:tc>
          <w:tcPr>
            <w:tcW w:w="1643" w:type="dxa"/>
            <w:vAlign w:val="center"/>
          </w:tcPr>
          <w:p>
            <w:pPr>
              <w:pStyle w:val="12"/>
            </w:pPr>
            <w:r>
              <w:t>债务付息支出</w:t>
            </w:r>
          </w:p>
        </w:tc>
        <w:tc>
          <w:tcPr>
            <w:tcW w:w="1643" w:type="dxa"/>
            <w:vAlign w:val="center"/>
          </w:tcPr>
          <w:p>
            <w:pPr>
              <w:pStyle w:val="13"/>
            </w:pPr>
            <w:r>
              <w:t>394.91</w:t>
            </w:r>
          </w:p>
        </w:tc>
        <w:tc>
          <w:tcPr>
            <w:tcW w:w="1643" w:type="dxa"/>
            <w:vAlign w:val="center"/>
          </w:tcPr>
          <w:p>
            <w:pPr>
              <w:pStyle w:val="13"/>
            </w:pPr>
          </w:p>
        </w:tc>
        <w:tc>
          <w:tcPr>
            <w:tcW w:w="1643" w:type="dxa"/>
            <w:vAlign w:val="center"/>
          </w:tcPr>
          <w:p>
            <w:pPr>
              <w:pStyle w:val="13"/>
            </w:pPr>
            <w:r>
              <w:t>394.91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23204</w:t>
            </w:r>
          </w:p>
        </w:tc>
        <w:tc>
          <w:tcPr>
            <w:tcW w:w="1643" w:type="dxa"/>
            <w:vAlign w:val="center"/>
          </w:tcPr>
          <w:p>
            <w:pPr>
              <w:pStyle w:val="12"/>
            </w:pPr>
            <w:r>
              <w:t>地方政府专项债务付息支出</w:t>
            </w:r>
          </w:p>
        </w:tc>
        <w:tc>
          <w:tcPr>
            <w:tcW w:w="1643" w:type="dxa"/>
            <w:vAlign w:val="center"/>
          </w:tcPr>
          <w:p>
            <w:pPr>
              <w:pStyle w:val="13"/>
            </w:pPr>
            <w:r>
              <w:t>394.91</w:t>
            </w:r>
          </w:p>
        </w:tc>
        <w:tc>
          <w:tcPr>
            <w:tcW w:w="1643" w:type="dxa"/>
            <w:vAlign w:val="center"/>
          </w:tcPr>
          <w:p>
            <w:pPr>
              <w:pStyle w:val="13"/>
            </w:pPr>
          </w:p>
        </w:tc>
        <w:tc>
          <w:tcPr>
            <w:tcW w:w="1643" w:type="dxa"/>
            <w:vAlign w:val="center"/>
          </w:tcPr>
          <w:p>
            <w:pPr>
              <w:pStyle w:val="13"/>
            </w:pPr>
            <w:r>
              <w:t>394.91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2320431</w:t>
            </w:r>
          </w:p>
        </w:tc>
        <w:tc>
          <w:tcPr>
            <w:tcW w:w="1643" w:type="dxa"/>
            <w:vAlign w:val="center"/>
          </w:tcPr>
          <w:p>
            <w:pPr>
              <w:pStyle w:val="12"/>
            </w:pPr>
            <w:r>
              <w:t>土地储备专项债券付息支出</w:t>
            </w:r>
          </w:p>
        </w:tc>
        <w:tc>
          <w:tcPr>
            <w:tcW w:w="1643" w:type="dxa"/>
            <w:vAlign w:val="center"/>
          </w:tcPr>
          <w:p>
            <w:pPr>
              <w:pStyle w:val="13"/>
            </w:pPr>
            <w:r>
              <w:t>394.91</w:t>
            </w:r>
          </w:p>
        </w:tc>
        <w:tc>
          <w:tcPr>
            <w:tcW w:w="1643" w:type="dxa"/>
            <w:vAlign w:val="center"/>
          </w:tcPr>
          <w:p>
            <w:pPr>
              <w:pStyle w:val="13"/>
            </w:pPr>
          </w:p>
        </w:tc>
        <w:tc>
          <w:tcPr>
            <w:tcW w:w="1643" w:type="dxa"/>
            <w:vAlign w:val="center"/>
          </w:tcPr>
          <w:p>
            <w:pPr>
              <w:pStyle w:val="13"/>
            </w:pPr>
            <w:r>
              <w:t>394.91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759"/>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3217"/>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p>
        </w:tc>
        <w:tc>
          <w:tcPr>
            <w:tcW w:w="1643" w:type="dxa"/>
            <w:vAlign w:val="center"/>
          </w:tcPr>
          <w:p>
            <w:pPr>
              <w:pStyle w:val="14"/>
            </w:pPr>
          </w:p>
        </w:tc>
        <w:tc>
          <w:tcPr>
            <w:tcW w:w="1643" w:type="dxa"/>
            <w:vAlign w:val="center"/>
          </w:tcPr>
          <w:p>
            <w:pPr>
              <w:pStyle w:val="15"/>
              <w:rPr>
                <w:rFonts w:hint="default" w:eastAsia="方正书宋_GBK"/>
                <w:lang w:val="en-US" w:eastAsia="zh-CN"/>
              </w:rPr>
            </w:pPr>
          </w:p>
        </w:tc>
        <w:tc>
          <w:tcPr>
            <w:tcW w:w="1643" w:type="dxa"/>
            <w:vAlign w:val="center"/>
          </w:tcPr>
          <w:p>
            <w:pPr>
              <w:pStyle w:val="15"/>
              <w:rPr>
                <w:rFonts w:hint="default" w:eastAsia="方正书宋_GBK"/>
                <w:lang w:val="en-US" w:eastAsia="zh-CN"/>
              </w:rPr>
            </w:pPr>
          </w:p>
        </w:tc>
        <w:tc>
          <w:tcPr>
            <w:tcW w:w="1643" w:type="dxa"/>
            <w:vAlign w:val="center"/>
          </w:tcPr>
          <w:p>
            <w:pPr>
              <w:pStyle w:val="15"/>
              <w:rPr>
                <w:rFonts w:hint="default" w:eastAsia="方正书宋_GBK"/>
                <w:lang w:val="en-US" w:eastAsia="zh-CN"/>
              </w:rPr>
            </w:pPr>
          </w:p>
        </w:tc>
        <w:tc>
          <w:tcPr>
            <w:tcW w:w="1643"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石家庄市自然资源和规划局藁城分局2022年部门预算信息公开情况说明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石家庄市自然资源和规划局藁城分局2022年部门预算信息公开情况说明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按照《预算法》、《地方预决算公开操作规程》和《关于进一步推进预算公开工作的实施意见》规定，现将石家庄市自然资源和规划局藁城分局2022年部门预算公开如下：</w:t>
      </w:r>
    </w:p>
    <w:p>
      <w:pPr>
        <w:spacing w:before="10" w:after="10" w:line="360" w:lineRule="auto"/>
        <w:ind w:firstLine="640"/>
        <w:jc w:val="left"/>
        <w:outlineLvl w:val="2"/>
      </w:pPr>
      <w:bookmarkStart w:id="9" w:name="_Toc20627"/>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1、加紧对全区农村宅基地和农村集体建设用地的调查、确权及数据入库工作。</w:t>
      </w:r>
    </w:p>
    <w:p>
      <w:pPr>
        <w:pStyle w:val="17"/>
      </w:pPr>
      <w:r>
        <w:t>2、完成2万亩高标准基本农田建设任务，提高耕地质量等级增加产能，满足占补平衡的需要。</w:t>
      </w:r>
    </w:p>
    <w:p>
      <w:pPr>
        <w:pStyle w:val="17"/>
      </w:pPr>
      <w:r>
        <w:t>3、按省厅、市局要求的时限上报、盯办，为项目的早日开工建设提供保障。</w:t>
      </w:r>
    </w:p>
    <w:p>
      <w:pPr>
        <w:pStyle w:val="17"/>
      </w:pPr>
      <w:r>
        <w:t>4、编制2022年土地收储计划，严格按计划收储土地，盘活城区存量土地，促进城市健康发展。</w:t>
      </w:r>
    </w:p>
    <w:p>
      <w:pPr>
        <w:pStyle w:val="17"/>
      </w:pPr>
      <w:r>
        <w:t>5、科学编制2022年供地计划，加快国有建设用地供地力度。</w:t>
      </w:r>
    </w:p>
    <w:p>
      <w:pPr>
        <w:pStyle w:val="17"/>
      </w:pPr>
      <w:r>
        <w:t>6、对违法用地，严格按照“六个到位”的要求，坚决查处到位。</w:t>
      </w:r>
    </w:p>
    <w:p>
      <w:pPr>
        <w:pStyle w:val="17"/>
      </w:pPr>
      <w:r>
        <w:t>7、力争做到卫片执法监督检查“零约谈”、“零问责”的目标。</w:t>
      </w:r>
    </w:p>
    <w:p>
      <w:pPr>
        <w:pStyle w:val="17"/>
      </w:pPr>
      <w:r>
        <w:t>8、严格执行关于维稳工作的各项规定，确保不发生各类非正常信访案件。</w:t>
      </w:r>
    </w:p>
    <w:p>
      <w:pPr>
        <w:pStyle w:val="17"/>
      </w:pPr>
      <w:r>
        <w:t>9、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pPr>
        <w:pStyle w:val="17"/>
      </w:pPr>
      <w:r>
        <w:t>10、加强规划指导，提升县城建设水平。进一步加强对规划执行情况的督导检查。加强对城乡规划法定程序、强制性内容执行情况的检查，强化城乡规划违法建设治理，完善违法建设查处长效机制，对新增城乡规划违法建设“零容忍”。</w:t>
      </w:r>
    </w:p>
    <w:p>
      <w:pPr>
        <w:pStyle w:val="17"/>
      </w:pPr>
      <w:r>
        <w:t>11、负责林业及其生态环境建设、森林资源保护、国土绿化和林业产业发展的规定和方法，并组织实施监督和检查。</w:t>
      </w:r>
    </w:p>
    <w:p>
      <w:pPr>
        <w:pStyle w:val="17"/>
      </w:pPr>
      <w:r>
        <w:t>12、负责组织指导全市林业及其生态建设的科技创新和技术示范推广，为林业生态发展和林产品生产提供公共支撑。</w:t>
      </w:r>
    </w:p>
    <w:p>
      <w:pPr>
        <w:pStyle w:val="17"/>
      </w:pPr>
      <w:r>
        <w:t>13、负责苗木的标准化生产和基地建设。</w:t>
      </w:r>
    </w:p>
    <w:p>
      <w:pPr>
        <w:pStyle w:val="17"/>
      </w:pPr>
      <w:r>
        <w:t>14、负责林业政务管理，依法依规履行机关日常管理工作。</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0777" w:type="dxa"/>
        <w:jc w:val="center"/>
        <w:tblInd w:w="-92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85"/>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385"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385" w:type="dxa"/>
            <w:vAlign w:val="center"/>
          </w:tcPr>
          <w:p>
            <w:pPr>
              <w:pStyle w:val="12"/>
            </w:pPr>
            <w:r>
              <w:t>石家庄市自然资源和规划局藁城分局本级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tabs>
          <w:tab w:val="left" w:pos="4200"/>
        </w:tabs>
        <w:spacing w:before="10" w:after="10" w:line="360" w:lineRule="auto"/>
        <w:ind w:firstLine="640"/>
        <w:jc w:val="left"/>
        <w:outlineLvl w:val="2"/>
      </w:pPr>
      <w:bookmarkStart w:id="10" w:name="_Toc30453"/>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按照预算管理有关规定，目前我省部门预算的编制实行综合预算管理，即全部收入和支出都反映在预算中。石家庄市自然资源和规划局藁城分局机关及所属事业单位的收支包含在部门预算中。</w:t>
      </w:r>
    </w:p>
    <w:p>
      <w:pPr>
        <w:pStyle w:val="18"/>
        <w:numPr>
          <w:ilvl w:val="0"/>
          <w:numId w:val="1"/>
        </w:numPr>
        <w:rPr>
          <w:rFonts w:ascii="Times New Roman" w:hAnsi="Times New Roman" w:eastAsia="仿宋" w:cs="Times New Roman"/>
          <w:sz w:val="32"/>
          <w:szCs w:val="32"/>
        </w:rPr>
      </w:pPr>
      <w:r>
        <w:rPr>
          <w:rFonts w:ascii="Times New Roman" w:hAnsi="Times New Roman" w:eastAsia="仿宋" w:cs="Times New Roman"/>
          <w:sz w:val="32"/>
          <w:szCs w:val="32"/>
        </w:rPr>
        <w:t>收入说明</w:t>
      </w:r>
    </w:p>
    <w:p>
      <w:pPr>
        <w:pStyle w:val="18"/>
        <w:numPr>
          <w:ilvl w:val="0"/>
          <w:numId w:val="0"/>
        </w:numPr>
        <w:rPr>
          <w:rFonts w:hint="eastAsia" w:ascii="Times New Roman" w:hAnsi="Times New Roman" w:eastAsia="仿宋" w:cs="Times New Roman"/>
          <w:sz w:val="32"/>
          <w:szCs w:val="32"/>
        </w:rPr>
      </w:pPr>
      <w:r>
        <w:rPr>
          <w:rFonts w:hint="eastAsia" w:eastAsia="仿宋" w:cs="Times New Roman"/>
          <w:sz w:val="32"/>
          <w:szCs w:val="32"/>
          <w:lang w:val="en-US" w:eastAsia="zh-CN"/>
        </w:rPr>
        <w:t xml:space="preserve">       </w:t>
      </w:r>
      <w:r>
        <w:rPr>
          <w:rFonts w:hint="eastAsia" w:ascii="Times New Roman" w:hAnsi="Times New Roman" w:eastAsia="仿宋" w:cs="Times New Roman"/>
          <w:sz w:val="32"/>
          <w:szCs w:val="32"/>
        </w:rPr>
        <w:t>反映本</w:t>
      </w:r>
      <w:r>
        <w:rPr>
          <w:rFonts w:hint="eastAsia" w:eastAsia="仿宋" w:cs="Times New Roman"/>
          <w:sz w:val="32"/>
          <w:szCs w:val="32"/>
          <w:lang w:eastAsia="zh-CN"/>
        </w:rPr>
        <w:t>部门</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32430.82</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1502.37</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30840.34</w:t>
      </w:r>
      <w:r>
        <w:rPr>
          <w:rFonts w:hint="eastAsia" w:ascii="Times New Roman" w:hAnsi="Times New Roman" w:eastAsia="仿宋" w:cs="Times New Roman"/>
          <w:sz w:val="32"/>
          <w:szCs w:val="32"/>
        </w:rPr>
        <w:t>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ascii="Times New Roman" w:hAnsi="Times New Roman" w:eastAsia="仿宋" w:cs="Times New Roman"/>
          <w:sz w:val="32"/>
          <w:szCs w:val="32"/>
          <w:lang w:val="en-US" w:eastAsia="zh-CN"/>
        </w:rPr>
        <w:t>32430.82</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914.87</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851.79</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63.08</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31515.95</w:t>
      </w:r>
      <w:r>
        <w:rPr>
          <w:rFonts w:hint="eastAsia" w:ascii="Times New Roman" w:hAnsi="Times New Roman" w:eastAsia="仿宋" w:cs="Times New Roman"/>
          <w:sz w:val="32"/>
          <w:szCs w:val="32"/>
        </w:rPr>
        <w:t>万元，主要为城乡社区支出20433.24万元，农林水支出210.30万元，自然资源海洋气象等支出1292.37万元，债务还本支出10100.00万元，债务付息支出394.91万元；其他支出0万元。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pStyle w:val="18"/>
        <w:numPr>
          <w:ilvl w:val="0"/>
          <w:numId w:val="0"/>
        </w:numPr>
        <w:ind w:firstLine="640" w:firstLineChars="20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color w:val="000000"/>
          <w:sz w:val="32"/>
          <w:szCs w:val="32"/>
        </w:rPr>
        <w:t>2022年部门预算收支安排</w:t>
      </w:r>
      <w:r>
        <w:rPr>
          <w:rFonts w:hint="eastAsia" w:ascii="Times New Roman" w:hAnsi="Times New Roman" w:eastAsia="仿宋" w:cs="Times New Roman"/>
          <w:sz w:val="32"/>
          <w:szCs w:val="32"/>
          <w:lang w:val="en-US" w:eastAsia="zh-CN"/>
        </w:rPr>
        <w:t>32430.82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15860.01</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41.32</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15818.69</w:t>
      </w:r>
      <w:r>
        <w:rPr>
          <w:rFonts w:hint="eastAsia" w:ascii="Times New Roman" w:hAnsi="Times New Roman" w:eastAsia="仿宋" w:cs="Times New Roman"/>
          <w:sz w:val="32"/>
          <w:szCs w:val="32"/>
        </w:rPr>
        <w:t>万元，主要是</w:t>
      </w:r>
      <w:r>
        <w:rPr>
          <w:rFonts w:hint="eastAsia" w:eastAsia="仿宋" w:cs="Times New Roman"/>
          <w:sz w:val="32"/>
          <w:szCs w:val="32"/>
          <w:lang w:val="en-US" w:eastAsia="zh-CN"/>
        </w:rPr>
        <w:t>增加专项债券资金、</w:t>
      </w:r>
      <w:r>
        <w:rPr>
          <w:rFonts w:hint="eastAsia" w:eastAsia="仿宋" w:cs="Times New Roman"/>
          <w:sz w:val="32"/>
          <w:szCs w:val="32"/>
          <w:lang w:eastAsia="zh-CN"/>
        </w:rPr>
        <w:t>林业</w:t>
      </w:r>
      <w:r>
        <w:rPr>
          <w:rFonts w:hint="eastAsia" w:eastAsia="仿宋" w:cs="Times New Roman"/>
          <w:sz w:val="32"/>
          <w:szCs w:val="32"/>
          <w:lang w:val="en-US" w:eastAsia="zh-CN"/>
        </w:rPr>
        <w:t>2021年</w:t>
      </w:r>
      <w:r>
        <w:rPr>
          <w:rFonts w:hint="eastAsia" w:eastAsia="仿宋" w:cs="Times New Roman"/>
          <w:sz w:val="32"/>
          <w:szCs w:val="32"/>
          <w:lang w:eastAsia="zh-CN"/>
        </w:rPr>
        <w:t>占地补调整到</w:t>
      </w:r>
      <w:r>
        <w:rPr>
          <w:rFonts w:hint="eastAsia" w:eastAsia="仿宋" w:cs="Times New Roman"/>
          <w:sz w:val="32"/>
          <w:szCs w:val="32"/>
          <w:lang w:val="en-US" w:eastAsia="zh-CN"/>
        </w:rPr>
        <w:t>2022年发放</w:t>
      </w:r>
      <w:r>
        <w:rPr>
          <w:rFonts w:hint="eastAsia" w:ascii="Times New Roman" w:hAnsi="Times New Roman" w:eastAsia="仿宋" w:cs="Times New Roman"/>
          <w:sz w:val="32"/>
          <w:szCs w:val="32"/>
        </w:rPr>
        <w:t>；其他支出无增减变化。</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1" w:name="_Toc235"/>
      <w:r>
        <w:rPr>
          <w:rFonts w:ascii="黑体" w:hAnsi="黑体" w:eastAsia="黑体" w:cs="黑体"/>
          <w:color w:val="000000"/>
          <w:sz w:val="32"/>
        </w:rPr>
        <w:t>机关运行经费安排情况</w:t>
      </w:r>
      <w:bookmarkEnd w:id="11"/>
    </w:p>
    <w:p>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ascii="Times New Roman" w:hAnsi="Times New Roman" w:eastAsia="仿宋" w:cs="Times New Roman"/>
          <w:sz w:val="32"/>
          <w:szCs w:val="32"/>
          <w:lang w:eastAsia="zh-CN"/>
        </w:rPr>
        <w:t>部门</w:t>
      </w:r>
      <w:r>
        <w:rPr>
          <w:rFonts w:hint="eastAsia" w:ascii="Times New Roman" w:hAnsi="Times New Roman" w:eastAsia="仿宋" w:cs="Times New Roman"/>
          <w:sz w:val="32"/>
          <w:szCs w:val="32"/>
        </w:rPr>
        <w:t>机关运行经费共计安排</w:t>
      </w:r>
      <w:r>
        <w:rPr>
          <w:rFonts w:hint="eastAsia" w:ascii="Times New Roman" w:hAnsi="Times New Roman" w:eastAsia="仿宋" w:cs="Times New Roman"/>
          <w:sz w:val="32"/>
          <w:szCs w:val="32"/>
          <w:lang w:val="en-US" w:eastAsia="zh-CN"/>
        </w:rPr>
        <w:t>63.08</w:t>
      </w:r>
      <w:r>
        <w:rPr>
          <w:rFonts w:hint="eastAsia" w:ascii="Times New Roman" w:hAnsi="Times New Roman" w:eastAsia="仿宋" w:cs="Times New Roman"/>
          <w:sz w:val="32"/>
          <w:szCs w:val="32"/>
        </w:rPr>
        <w:t>万元，主要用于保证机关正常运转的办公及印刷费、邮电费、差旅费、会议费、福利费、办公用房水电费、办公用房取暖费、日常维修费等支出。</w:t>
      </w:r>
    </w:p>
    <w:p>
      <w:pPr>
        <w:spacing w:before="10" w:after="10" w:line="360" w:lineRule="auto"/>
        <w:ind w:firstLine="640"/>
        <w:jc w:val="left"/>
        <w:outlineLvl w:val="2"/>
      </w:pPr>
      <w:bookmarkStart w:id="12" w:name="_Toc4770"/>
      <w:r>
        <w:rPr>
          <w:rFonts w:ascii="黑体" w:hAnsi="黑体" w:eastAsia="黑体" w:cs="黑体"/>
          <w:color w:val="000000"/>
          <w:sz w:val="32"/>
        </w:rPr>
        <w:t>四、财政拨款“三公”经费预算情况及增减变化原因</w:t>
      </w:r>
      <w:bookmarkEnd w:id="12"/>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ascii="Times New Roman" w:hAnsi="Times New Roman" w:eastAsia="仿宋" w:cs="Times New Roman"/>
          <w:sz w:val="32"/>
          <w:szCs w:val="32"/>
          <w:lang w:eastAsia="zh-CN"/>
        </w:rPr>
        <w:t>部门</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宋体" w:hAnsi="宋体" w:eastAsia="宋体" w:cs="Times New Roman"/>
          <w:sz w:val="32"/>
          <w:szCs w:val="32"/>
        </w:rPr>
        <w:t>，</w:t>
      </w:r>
      <w:r>
        <w:rPr>
          <w:rFonts w:hint="eastAsia" w:ascii="Times New Roman" w:hAnsi="Times New Roman" w:eastAsia="仿宋" w:cs="Times New Roman"/>
          <w:sz w:val="32"/>
          <w:szCs w:val="32"/>
        </w:rPr>
        <w:t>与上年持平；公务用车购置及运维费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宋体" w:hAnsi="宋体" w:eastAsia="宋体" w:cs="Times New Roman"/>
          <w:sz w:val="32"/>
          <w:szCs w:val="32"/>
        </w:rPr>
        <w:t>，</w:t>
      </w:r>
      <w:r>
        <w:rPr>
          <w:rFonts w:hint="eastAsia" w:ascii="Times New Roman" w:hAnsi="Times New Roman" w:eastAsia="仿宋" w:cs="Times New Roman"/>
          <w:sz w:val="32"/>
          <w:szCs w:val="32"/>
        </w:rPr>
        <w:t>与上年持平，公务用车运行维护费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，与上年减少</w:t>
      </w:r>
      <w:r>
        <w:rPr>
          <w:rFonts w:hint="eastAsia" w:ascii="Times New Roman" w:hAnsi="Times New Roman" w:eastAsia="仿宋" w:cs="Times New Roman"/>
          <w:sz w:val="32"/>
          <w:szCs w:val="32"/>
          <w:lang w:val="en-US" w:eastAsia="zh-CN"/>
        </w:rPr>
        <w:t>2.2万元，原因为减少公车支出</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宋体" w:hAnsi="宋体" w:eastAsia="宋体" w:cs="Times New Roman"/>
          <w:sz w:val="32"/>
          <w:szCs w:val="32"/>
        </w:rPr>
        <w:t>，</w:t>
      </w:r>
      <w:r>
        <w:rPr>
          <w:rFonts w:hint="eastAsia" w:ascii="Times New Roman" w:hAnsi="Times New Roman" w:eastAsia="仿宋" w:cs="Times New Roman"/>
          <w:sz w:val="32"/>
          <w:szCs w:val="32"/>
        </w:rPr>
        <w:t>与上年持平。</w:t>
      </w:r>
      <w:r>
        <w:rPr>
          <w:rFonts w:hint="eastAsia" w:ascii="Times New Roman" w:hAnsi="Times New Roman" w:eastAsia="仿宋" w:cs="Times New Roman"/>
          <w:sz w:val="32"/>
          <w:szCs w:val="32"/>
          <w:lang w:eastAsia="zh-CN"/>
        </w:rPr>
        <w:t>与</w:t>
      </w:r>
      <w:r>
        <w:rPr>
          <w:rFonts w:hint="eastAsia" w:ascii="Times New Roman" w:hAnsi="Times New Roman" w:eastAsia="仿宋" w:cs="Times New Roman"/>
          <w:sz w:val="32"/>
          <w:szCs w:val="32"/>
          <w:lang w:val="en-US" w:eastAsia="zh-CN"/>
        </w:rPr>
        <w:t>2021年相比，</w:t>
      </w:r>
      <w:r>
        <w:rPr>
          <w:rFonts w:hint="eastAsia" w:ascii="Times New Roman" w:hAnsi="Times New Roman" w:eastAsia="仿宋" w:cs="Times New Roman"/>
          <w:sz w:val="32"/>
          <w:szCs w:val="32"/>
        </w:rPr>
        <w:t>“三公”经费</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2.2万元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原因为减少公车支出</w:t>
      </w:r>
      <w:r>
        <w:rPr>
          <w:rFonts w:hint="eastAsia" w:ascii="Times New Roman" w:hAnsi="Times New Roman" w:eastAsia="仿宋" w:cs="Times New Roman"/>
          <w:sz w:val="32"/>
          <w:szCs w:val="32"/>
        </w:rPr>
        <w:t>。</w:t>
      </w:r>
    </w:p>
    <w:p>
      <w:pPr>
        <w:spacing w:line="460" w:lineRule="exact"/>
        <w:ind w:firstLine="640" w:firstLineChars="200"/>
        <w:rPr>
          <w:rFonts w:ascii="仿宋" w:hAnsi="仿宋" w:eastAsia="仿宋"/>
          <w:sz w:val="32"/>
          <w:szCs w:val="32"/>
        </w:rPr>
      </w:pPr>
    </w:p>
    <w:p>
      <w:pPr>
        <w:pStyle w:val="19"/>
      </w:pPr>
    </w:p>
    <w:p>
      <w:pPr>
        <w:spacing w:before="10" w:after="10" w:line="360" w:lineRule="auto"/>
        <w:ind w:firstLine="640"/>
        <w:jc w:val="left"/>
        <w:outlineLvl w:val="2"/>
      </w:pPr>
      <w:bookmarkStart w:id="13" w:name="_Toc6627"/>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0"/>
      </w:pPr>
      <w:r>
        <w:t>围绕区域发展，强化规划编制，落实重大民生工程、公益性设施等项目指标的分配落实。聚集保障发展，优化土地供应，完成编制《2022年土地供应计划》，完成基本农田调查摸底和基本农田储备区划定工作的数据收集、整理、上报。管建并举，保护资源，提升土地执法规范化水平，加大动态巡查力度，严肃查处违法用地案件。以民为本，服务民生，全面提高办事效率和服务水平，实行首问首办负责制，一次性告知制度，实现“一个窗口”服务和管理。加强林业管理，高标准、高质量完成全年绿化任务，认真落实上级经济林验收工作，抓好林政资源保护。加强作风建设，积极进取，奋发有为，为我区经济社会发展作出应有的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1"/>
      </w:pPr>
      <w:r>
        <w:t>一、完成2021年国土空间规划编制，实现国土空间规划全覆盖</w:t>
      </w:r>
    </w:p>
    <w:p>
      <w:pPr>
        <w:pStyle w:val="21"/>
      </w:pPr>
      <w:r>
        <w:t>绩效目标:完成全域国土空间编制、乡镇国土空间编制、村庄布局专项规划、藁城区试点村规划、高铁高速沿线村庄规划编制，完成藁城区土地利用总体规划(2010-2022年)调整，做好南部片区城市设计提升、兴华路两侧城市设计、中心城区城中村改造城市设计，把藁城区的发展纳入到石家庄市国土空间规划中落实实施。</w:t>
      </w:r>
    </w:p>
    <w:p>
      <w:pPr>
        <w:pStyle w:val="21"/>
      </w:pPr>
      <w:r>
        <w:t>绩效指标:规划编制实际完成数量占全年计划完成量的90%以上，通过专家评审率达到 90%以上。</w:t>
      </w:r>
    </w:p>
    <w:p>
      <w:pPr>
        <w:pStyle w:val="21"/>
      </w:pPr>
      <w:r>
        <w:t>二、强化更新土地调查工作，不断夯实“以图管地”工作基础，推进城乡体化管理。</w:t>
      </w:r>
    </w:p>
    <w:p>
      <w:pPr>
        <w:pStyle w:val="21"/>
      </w:pPr>
      <w:r>
        <w:t>绩效目标:完成对我区土地调查数据的更新汇总工作，对宅基地、集体建设用地进行土地确权，完成农村所有权补充调查项目，继续做好第三次土地调查及耕地质量分等定级。</w:t>
      </w:r>
    </w:p>
    <w:p>
      <w:pPr>
        <w:pStyle w:val="21"/>
      </w:pPr>
      <w:r>
        <w:t>绩效指标:土地变更调查成果，按要求上报省厅备案，农村宅基地、集体建设用地使用权发证占年度工作比率为90%以上，农村所有权补充项目要数据完整规范，满足不动产发证的需要，将最新的耕地质量分等定级调查评价成果落实到土地利用现状图上。</w:t>
      </w:r>
    </w:p>
    <w:p>
      <w:pPr>
        <w:pStyle w:val="21"/>
      </w:pPr>
      <w:r>
        <w:t>三、掌握全区永久基本农田利用现状，规范有序划定永久基本农田储备区。</w:t>
      </w:r>
    </w:p>
    <w:p>
      <w:pPr>
        <w:pStyle w:val="21"/>
      </w:pPr>
      <w:r>
        <w:t>绩效目标:以2017年土地变更调查、耕地质量调查监测与评价等成果为基础，结合第三次土地调查，对本区永久基本农田划定成果进行汇总，对本区永久基本农田划定成果进行储备区划定。</w:t>
      </w:r>
    </w:p>
    <w:p>
      <w:pPr>
        <w:pStyle w:val="21"/>
      </w:pPr>
      <w:r>
        <w:t>绩效指标:通过省厅验收的比率为100%，坚持最严格的耕地保护制度和最严格的节约用地制度，确保永久基本农田数量不减少，质量提升，布局稳定。</w:t>
      </w:r>
    </w:p>
    <w:p>
      <w:pPr>
        <w:pStyle w:val="21"/>
      </w:pPr>
      <w:r>
        <w:t>四、建设不动产交易互联网平台，完善更新不动产登记数据成果</w:t>
      </w:r>
    </w:p>
    <w:p>
      <w:pPr>
        <w:pStyle w:val="21"/>
      </w:pPr>
      <w:r>
        <w:t>绩效目标:将房产交易、税收、不动产登记窗口合并为“一窗受理”的综合窗口，实现信息共享，对不动产数据成果，系统安全运行进行维护更新。</w:t>
      </w:r>
    </w:p>
    <w:p>
      <w:pPr>
        <w:pStyle w:val="21"/>
      </w:pPr>
      <w:r>
        <w:t>绩效指标:减少房产交易、税收、不动产登记办事环节，优化办事程序，提高办事效率，不动产数据系统高水平、高性能运行，便民服务进一步加强，提高受益群众满意度。</w:t>
      </w:r>
    </w:p>
    <w:p>
      <w:pPr>
        <w:pStyle w:val="21"/>
      </w:pPr>
      <w:r>
        <w:t>五、提升土地规划执法水平，加大动态巡查力度</w:t>
      </w:r>
    </w:p>
    <w:p>
      <w:pPr>
        <w:pStyle w:val="21"/>
      </w:pPr>
      <w:r>
        <w:t>绩效目标:保障执法人员的正常开展工作，提升执法素质和水平，依法严肃查处违法用地案件。</w:t>
      </w:r>
    </w:p>
    <w:p>
      <w:pPr>
        <w:pStyle w:val="21"/>
      </w:pPr>
      <w:r>
        <w:t>绩效指标:强化批后管理，加大执法力度，明确职责，加大动态力度，坚持以横向到边，纵向到底的工作标准，遏制违法建设的发生，办结案件数量占立案案件总数的 90%以上。</w:t>
      </w:r>
    </w:p>
    <w:p>
      <w:pPr>
        <w:pStyle w:val="21"/>
      </w:pPr>
      <w:r>
        <w:t>六、加强林业管理，高标准完成绿化任务</w:t>
      </w:r>
    </w:p>
    <w:p>
      <w:pPr>
        <w:pStyle w:val="21"/>
      </w:pPr>
      <w:r>
        <w:t>绩效目标:对石黄高速、京港澳、国省道、三环路、高铁、汪洋沟、周汉河两侧进行林带建设，打造绿色通行廊道。</w:t>
      </w:r>
    </w:p>
    <w:p>
      <w:pPr>
        <w:pStyle w:val="21"/>
      </w:pPr>
      <w:r>
        <w:t>绩效指标:完成造林绿化面积83623亩，造林面积合格率在95%以上，改善全区生态环境，提高全区绿化水平，保障全区林业事业健康科学持续发展。</w:t>
      </w:r>
    </w:p>
    <w:p>
      <w:pPr>
        <w:pStyle w:val="21"/>
      </w:pPr>
      <w:r>
        <w:t>七、抓好林政资源保护，做好义务植树及农村绿化工作。</w:t>
      </w:r>
    </w:p>
    <w:p>
      <w:pPr>
        <w:pStyle w:val="21"/>
      </w:pPr>
      <w:r>
        <w:t>绩效目标:集中参加义务植树活动，对京港澳高速景观林带进行全面管护，确保景观林带完整，提升景观效果。</w:t>
      </w:r>
    </w:p>
    <w:p>
      <w:pPr>
        <w:pStyle w:val="21"/>
      </w:pPr>
      <w:r>
        <w:t>绩效指标:完成义务植树面积200余亩，京港澳高速景观林管护面积1168亩,种植树木的成活率在90%以上,森林合格抚育面积占完成面积的95%以上。</w:t>
      </w:r>
    </w:p>
    <w:p>
      <w:pPr>
        <w:pStyle w:val="21"/>
      </w:pPr>
      <w:r>
        <w:t>八、加强政务管理，提高服务水平</w:t>
      </w:r>
    </w:p>
    <w:p>
      <w:pPr>
        <w:pStyle w:val="21"/>
      </w:pPr>
      <w:r>
        <w:t>绩效目标:加强机关和下属事业单位的自身建设和综合管理水平，确保机关工作高效正常运转，有力保障各项工作的顺利开展。</w:t>
      </w:r>
    </w:p>
    <w:p>
      <w:pPr>
        <w:pStyle w:val="21"/>
      </w:pPr>
      <w:r>
        <w:t>绩效指标:保障机关及下属事业单位的工作正常运行，综合业务管理工作和事务管理工作完成率均达到 90%以上，进一步增强国土资源管理能力。</w:t>
      </w:r>
    </w:p>
    <w:p>
      <w:pPr>
        <w:pStyle w:val="21"/>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t>一、完善制度建设。制定完善预算绩效管理制度、资金管理办法、工作保障制度等，为全年预算绩效目标的实现奠定制度基础。</w:t>
      </w:r>
    </w:p>
    <w:p>
      <w:pPr>
        <w:pStyle w:val="22"/>
      </w:pPr>
      <w:r>
        <w:t>二、加强支出管理。通过优化支出结构、编细编实预算、加快履行政府采购手续、尽快启动项目、及时支付资金、6月底前细化代编预算、按规定及时下达资金等多种措施，确保支出进度达标。</w:t>
      </w:r>
    </w:p>
    <w:p>
      <w:pPr>
        <w:pStyle w:val="22"/>
      </w:pPr>
      <w:r>
        <w:t>三、加强绩效运行监控。按要求开展绩效运行监控，发现问题及时采取措施，确保绩效目标如期保质实现。</w:t>
      </w:r>
    </w:p>
    <w:p>
      <w:pPr>
        <w:pStyle w:val="22"/>
      </w:pPr>
      <w:r>
        <w:t>四、做好绩效自评。按要求开展上年度部门预算绩效自评和重点评价工作，对评价中发现的问题及时整改，调整优化支出结构，提高财政资金使用效益。</w:t>
      </w:r>
    </w:p>
    <w:p>
      <w:pPr>
        <w:pStyle w:val="22"/>
      </w:pPr>
      <w:r>
        <w:t>五、规范财务资产管理。完善财务管理制度，严格审批程序，加强固定资产登记、使用和报废处置管理，做到支出合理，物尽其用。</w:t>
      </w:r>
    </w:p>
    <w:p>
      <w:pPr>
        <w:pStyle w:val="22"/>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2"/>
      </w:pPr>
      <w:r>
        <w:t>七、加强宣传培训调研等。加强人员培训，提高本部门职工业务素质；加强调研，提出优化财政资金配置、提高资金使用效益的意见；加大宣传力度，强化预算绩效管理意识，促进预算绩效管理水平进一步提升。</w:t>
      </w:r>
    </w:p>
    <w:p>
      <w:pPr>
        <w:pStyle w:val="22"/>
      </w:pPr>
      <w:r>
        <w:t>八、巩固查处违法用地成果。将违法用地发现在初始，解决在萌芽机制常态化、制度化。遏制增量、解决存量。出台管理办法，报区委、区政府通过后落实，组织乡镇综合执法。合力打击违法用地行为。</w:t>
      </w:r>
    </w:p>
    <w:p>
      <w:pPr>
        <w:pStyle w:val="23"/>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1、2018年京港澳高速公路两侧绿化带及环城林带建设项目2022年占地补绩效目标表</w:t>
      </w:r>
    </w:p>
    <w:tbl>
      <w:tblPr>
        <w:tblStyle w:val="5"/>
        <w:tblW w:w="13763" w:type="dxa"/>
        <w:jc w:val="center"/>
        <w:tblInd w:w="975"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424"/>
        <w:gridCol w:w="733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6424" w:type="dxa"/>
            <w:tcBorders>
              <w:bottom w:val="single" w:color="FFFFFF" w:sz="6" w:space="0"/>
            </w:tcBorders>
            <w:vAlign w:val="center"/>
          </w:tcPr>
          <w:p>
            <w:pPr>
              <w:pStyle w:val="24"/>
            </w:pPr>
            <w:r>
              <w:t>绩效目标</w:t>
            </w:r>
          </w:p>
        </w:tc>
        <w:tc>
          <w:tcPr>
            <w:tcW w:w="7339" w:type="dxa"/>
            <w:tcBorders>
              <w:bottom w:val="single" w:color="FFFFFF" w:sz="6" w:space="0"/>
            </w:tcBorders>
            <w:vAlign w:val="center"/>
          </w:tcPr>
          <w:p>
            <w:pPr>
              <w:pStyle w:val="25"/>
            </w:pPr>
            <w:r>
              <w:t>1.对京港澳高速两侧进行林带建设，打造通道两侧绿色通行廊道。</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3759" w:type="dxa"/>
        <w:jc w:val="center"/>
        <w:tblInd w:w="103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9"/>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29"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29"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造林面积</w:t>
            </w:r>
          </w:p>
        </w:tc>
        <w:tc>
          <w:tcPr>
            <w:tcW w:w="2466" w:type="dxa"/>
            <w:vAlign w:val="center"/>
          </w:tcPr>
          <w:p>
            <w:pPr>
              <w:pStyle w:val="25"/>
            </w:pPr>
            <w:r>
              <w:t>环城林带造林面积</w:t>
            </w:r>
          </w:p>
        </w:tc>
        <w:tc>
          <w:tcPr>
            <w:tcW w:w="2466" w:type="dxa"/>
            <w:vAlign w:val="center"/>
          </w:tcPr>
          <w:p>
            <w:pPr>
              <w:pStyle w:val="25"/>
            </w:pPr>
            <w:r>
              <w:t>32000亩</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29"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造林合格面积完成率</w:t>
            </w:r>
          </w:p>
        </w:tc>
        <w:tc>
          <w:tcPr>
            <w:tcW w:w="2466" w:type="dxa"/>
            <w:vAlign w:val="center"/>
          </w:tcPr>
          <w:p>
            <w:pPr>
              <w:pStyle w:val="25"/>
            </w:pPr>
            <w:r>
              <w:t>造林合格面积占完成造林面积的比率</w:t>
            </w:r>
          </w:p>
        </w:tc>
        <w:tc>
          <w:tcPr>
            <w:tcW w:w="2466" w:type="dxa"/>
            <w:vAlign w:val="center"/>
          </w:tcPr>
          <w:p>
            <w:pPr>
              <w:pStyle w:val="25"/>
            </w:pPr>
            <w:r>
              <w:t>≥95百分比</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29"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环城绿化带占地补贴兑现时间</w:t>
            </w:r>
          </w:p>
        </w:tc>
        <w:tc>
          <w:tcPr>
            <w:tcW w:w="2466" w:type="dxa"/>
            <w:vAlign w:val="center"/>
          </w:tcPr>
          <w:p>
            <w:pPr>
              <w:pStyle w:val="25"/>
            </w:pPr>
            <w:r>
              <w:t>2022年12月31日前兑现占地补贴</w:t>
            </w:r>
          </w:p>
        </w:tc>
        <w:tc>
          <w:tcPr>
            <w:tcW w:w="2466" w:type="dxa"/>
            <w:vAlign w:val="center"/>
          </w:tcPr>
          <w:p>
            <w:pPr>
              <w:pStyle w:val="25"/>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29"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补贴标准</w:t>
            </w:r>
          </w:p>
        </w:tc>
        <w:tc>
          <w:tcPr>
            <w:tcW w:w="2466" w:type="dxa"/>
            <w:vAlign w:val="center"/>
          </w:tcPr>
          <w:p>
            <w:pPr>
              <w:pStyle w:val="25"/>
            </w:pPr>
            <w:r>
              <w:t>每亩每年占地补贴</w:t>
            </w:r>
          </w:p>
        </w:tc>
        <w:tc>
          <w:tcPr>
            <w:tcW w:w="2466" w:type="dxa"/>
            <w:vAlign w:val="center"/>
          </w:tcPr>
          <w:p>
            <w:pPr>
              <w:pStyle w:val="25"/>
            </w:pPr>
            <w:r>
              <w:t>600元</w:t>
            </w:r>
          </w:p>
        </w:tc>
        <w:tc>
          <w:tcPr>
            <w:tcW w:w="2466" w:type="dxa"/>
            <w:vAlign w:val="center"/>
          </w:tcPr>
          <w:p>
            <w:pPr>
              <w:pStyle w:val="25"/>
            </w:pPr>
            <w:r>
              <w:t>藁政办字[2018]16号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29" w:type="dxa"/>
            <w:vAlign w:val="center"/>
          </w:tcPr>
          <w:p>
            <w:pPr>
              <w:pStyle w:val="26"/>
            </w:pPr>
            <w:r>
              <w:t>效益指标</w:t>
            </w:r>
          </w:p>
        </w:tc>
        <w:tc>
          <w:tcPr>
            <w:tcW w:w="2466" w:type="dxa"/>
            <w:vAlign w:val="center"/>
          </w:tcPr>
          <w:p>
            <w:pPr>
              <w:pStyle w:val="25"/>
            </w:pPr>
            <w:r>
              <w:t>生态效益指标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森林覆盖率净增量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29"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调查问卷</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2、2019年高速、高铁、国省公路两侧500米绿化带建设工程2021年占地补绩效目标表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1.2019年京石、石济高铁、黄石高速、定魏线对两侧进行林带建设，打造通道两侧绿色通行廊道。</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造林绿化面积</w:t>
            </w:r>
          </w:p>
        </w:tc>
        <w:tc>
          <w:tcPr>
            <w:tcW w:w="2466" w:type="dxa"/>
            <w:vAlign w:val="center"/>
          </w:tcPr>
          <w:p>
            <w:pPr>
              <w:pStyle w:val="25"/>
            </w:pPr>
            <w:r>
              <w:t>京石、石济高铁、黄石高速、定魏线两侧造林面积</w:t>
            </w:r>
          </w:p>
        </w:tc>
        <w:tc>
          <w:tcPr>
            <w:tcW w:w="2466" w:type="dxa"/>
            <w:vAlign w:val="center"/>
          </w:tcPr>
          <w:p>
            <w:pPr>
              <w:pStyle w:val="25"/>
            </w:pPr>
            <w:r>
              <w:t>3.32万亩</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保存面积</w:t>
            </w:r>
          </w:p>
        </w:tc>
        <w:tc>
          <w:tcPr>
            <w:tcW w:w="2466" w:type="dxa"/>
            <w:vAlign w:val="center"/>
          </w:tcPr>
          <w:p>
            <w:pPr>
              <w:pStyle w:val="25"/>
            </w:pPr>
            <w:r>
              <w:t>保存道路两侧不低于宽绿化林带面积不减少</w:t>
            </w:r>
          </w:p>
        </w:tc>
        <w:tc>
          <w:tcPr>
            <w:tcW w:w="2466" w:type="dxa"/>
            <w:vAlign w:val="center"/>
          </w:tcPr>
          <w:p>
            <w:pPr>
              <w:pStyle w:val="25"/>
            </w:pPr>
            <w:r>
              <w:t>500米</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绿化带占地补贴兑现时间</w:t>
            </w:r>
          </w:p>
        </w:tc>
        <w:tc>
          <w:tcPr>
            <w:tcW w:w="2466" w:type="dxa"/>
            <w:vAlign w:val="center"/>
          </w:tcPr>
          <w:p>
            <w:pPr>
              <w:pStyle w:val="25"/>
            </w:pPr>
            <w:r>
              <w:t>2022年12月31日前完成兑现</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补贴标准</w:t>
            </w:r>
          </w:p>
        </w:tc>
        <w:tc>
          <w:tcPr>
            <w:tcW w:w="2466" w:type="dxa"/>
            <w:vAlign w:val="center"/>
          </w:tcPr>
          <w:p>
            <w:pPr>
              <w:pStyle w:val="25"/>
            </w:pPr>
            <w:r>
              <w:t>每亩每年占地补贴</w:t>
            </w:r>
          </w:p>
        </w:tc>
        <w:tc>
          <w:tcPr>
            <w:tcW w:w="2466" w:type="dxa"/>
            <w:vAlign w:val="center"/>
          </w:tcPr>
          <w:p>
            <w:pPr>
              <w:pStyle w:val="25"/>
            </w:pPr>
            <w:r>
              <w:t>900元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3、2020、2021年森林督查暨森林资源管理“一张图”年度更新项目绩效目标表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1.保护林地利用规划</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核实疑似图斑</w:t>
            </w:r>
          </w:p>
        </w:tc>
        <w:tc>
          <w:tcPr>
            <w:tcW w:w="2466" w:type="dxa"/>
            <w:vAlign w:val="center"/>
          </w:tcPr>
          <w:p>
            <w:pPr>
              <w:pStyle w:val="25"/>
            </w:pPr>
            <w:r>
              <w:t>督查核实</w:t>
            </w:r>
          </w:p>
        </w:tc>
        <w:tc>
          <w:tcPr>
            <w:tcW w:w="2466" w:type="dxa"/>
            <w:vAlign w:val="center"/>
          </w:tcPr>
          <w:p>
            <w:pPr>
              <w:pStyle w:val="25"/>
            </w:pPr>
            <w:r>
              <w:t>1030个</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国家卫片核实成果报告</w:t>
            </w:r>
          </w:p>
        </w:tc>
        <w:tc>
          <w:tcPr>
            <w:tcW w:w="2466" w:type="dxa"/>
            <w:vAlign w:val="center"/>
          </w:tcPr>
          <w:p>
            <w:pPr>
              <w:pStyle w:val="25"/>
            </w:pPr>
            <w:r>
              <w:t>国家卫片森林督导核实违法违规占用林地</w:t>
            </w:r>
          </w:p>
        </w:tc>
        <w:tc>
          <w:tcPr>
            <w:tcW w:w="2466" w:type="dxa"/>
            <w:vAlign w:val="center"/>
          </w:tcPr>
          <w:p>
            <w:pPr>
              <w:pStyle w:val="25"/>
            </w:pPr>
            <w:r>
              <w:t>整改完成违法违规占用林地案件</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项目完成时间</w:t>
            </w:r>
          </w:p>
        </w:tc>
        <w:tc>
          <w:tcPr>
            <w:tcW w:w="2466" w:type="dxa"/>
            <w:vAlign w:val="center"/>
          </w:tcPr>
          <w:p>
            <w:pPr>
              <w:pStyle w:val="25"/>
            </w:pPr>
            <w:r>
              <w:t>2022年12月31日前完成</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预算成本</w:t>
            </w:r>
          </w:p>
        </w:tc>
        <w:tc>
          <w:tcPr>
            <w:tcW w:w="2466" w:type="dxa"/>
            <w:vAlign w:val="center"/>
          </w:tcPr>
          <w:p>
            <w:pPr>
              <w:pStyle w:val="25"/>
            </w:pPr>
            <w:r>
              <w:t>控制年度预算数</w:t>
            </w:r>
          </w:p>
        </w:tc>
        <w:tc>
          <w:tcPr>
            <w:tcW w:w="2466" w:type="dxa"/>
            <w:vAlign w:val="center"/>
          </w:tcPr>
          <w:p>
            <w:pPr>
              <w:pStyle w:val="25"/>
            </w:pPr>
            <w:r>
              <w:t>60万元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有效保护林地保护利用规划</w:t>
            </w:r>
          </w:p>
        </w:tc>
        <w:tc>
          <w:tcPr>
            <w:tcW w:w="2466" w:type="dxa"/>
            <w:vAlign w:val="center"/>
          </w:tcPr>
          <w:p>
            <w:pPr>
              <w:pStyle w:val="25"/>
            </w:pPr>
            <w:r>
              <w:t>督查核实</w:t>
            </w:r>
          </w:p>
        </w:tc>
        <w:tc>
          <w:tcPr>
            <w:tcW w:w="2466" w:type="dxa"/>
            <w:vAlign w:val="center"/>
          </w:tcPr>
          <w:p>
            <w:pPr>
              <w:pStyle w:val="25"/>
            </w:pPr>
            <w:r>
              <w:t>有效保护林地保护利用规划</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firstLineChars="200"/>
        <w:jc w:val="left"/>
        <w:outlineLvl w:val="9"/>
      </w:pPr>
      <w:r>
        <w:rPr>
          <w:rFonts w:ascii="方正仿宋_GBK" w:hAnsi="方正仿宋_GBK" w:eastAsia="方正仿宋_GBK" w:cs="方正仿宋_GBK"/>
          <w:b/>
          <w:color w:val="000000"/>
          <w:sz w:val="28"/>
        </w:rPr>
        <w:t>4、不动产登记中心投保职业责任险绩效目标表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1.为工作人员购买职业责任保险</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为工作人员购买保险</w:t>
            </w:r>
          </w:p>
        </w:tc>
        <w:tc>
          <w:tcPr>
            <w:tcW w:w="2466" w:type="dxa"/>
            <w:vAlign w:val="center"/>
          </w:tcPr>
          <w:p>
            <w:pPr>
              <w:pStyle w:val="25"/>
            </w:pPr>
            <w:r>
              <w:t>为不动产28位工作人员购买保险</w:t>
            </w:r>
          </w:p>
        </w:tc>
        <w:tc>
          <w:tcPr>
            <w:tcW w:w="2466" w:type="dxa"/>
            <w:vAlign w:val="center"/>
          </w:tcPr>
          <w:p>
            <w:pPr>
              <w:pStyle w:val="25"/>
            </w:pPr>
            <w:r>
              <w:t>28人</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保护国家、集体、企业、个人利益</w:t>
            </w:r>
          </w:p>
        </w:tc>
        <w:tc>
          <w:tcPr>
            <w:tcW w:w="2466" w:type="dxa"/>
            <w:vAlign w:val="center"/>
          </w:tcPr>
          <w:p>
            <w:pPr>
              <w:pStyle w:val="25"/>
            </w:pPr>
            <w:r>
              <w:t>减缓登记工作人员工作压力，主动作为，创新登记方式</w:t>
            </w:r>
          </w:p>
        </w:tc>
        <w:tc>
          <w:tcPr>
            <w:tcW w:w="2466" w:type="dxa"/>
            <w:vAlign w:val="center"/>
          </w:tcPr>
          <w:p>
            <w:pPr>
              <w:pStyle w:val="25"/>
            </w:pPr>
            <w:r>
              <w:t>≥90百分比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及时购买保险</w:t>
            </w:r>
          </w:p>
        </w:tc>
        <w:tc>
          <w:tcPr>
            <w:tcW w:w="2466" w:type="dxa"/>
            <w:vAlign w:val="center"/>
          </w:tcPr>
          <w:p>
            <w:pPr>
              <w:pStyle w:val="25"/>
            </w:pPr>
            <w:r>
              <w:t>在规定时间内为工作人员完成购买保险</w:t>
            </w:r>
          </w:p>
        </w:tc>
        <w:tc>
          <w:tcPr>
            <w:tcW w:w="2466" w:type="dxa"/>
            <w:vAlign w:val="center"/>
          </w:tcPr>
          <w:p>
            <w:pPr>
              <w:pStyle w:val="25"/>
            </w:pPr>
            <w:r>
              <w:t>及时购买</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资金成本</w:t>
            </w:r>
          </w:p>
        </w:tc>
        <w:tc>
          <w:tcPr>
            <w:tcW w:w="2466" w:type="dxa"/>
            <w:vAlign w:val="center"/>
          </w:tcPr>
          <w:p>
            <w:pPr>
              <w:pStyle w:val="25"/>
            </w:pPr>
            <w:r>
              <w:t>购买一份保单价值10万元</w:t>
            </w:r>
          </w:p>
        </w:tc>
        <w:tc>
          <w:tcPr>
            <w:tcW w:w="2466" w:type="dxa"/>
            <w:vAlign w:val="center"/>
          </w:tcPr>
          <w:p>
            <w:pPr>
              <w:pStyle w:val="25"/>
            </w:pPr>
            <w:r>
              <w:t>10万元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对藁城社会发展起到积极影响</w:t>
            </w:r>
          </w:p>
        </w:tc>
        <w:tc>
          <w:tcPr>
            <w:tcW w:w="2466" w:type="dxa"/>
            <w:vAlign w:val="center"/>
          </w:tcPr>
          <w:p>
            <w:pPr>
              <w:pStyle w:val="25"/>
            </w:pPr>
            <w:r>
              <w:t>项目的实施为社会创造一定的效益，便民服务进一步加强。</w:t>
            </w:r>
          </w:p>
        </w:tc>
        <w:tc>
          <w:tcPr>
            <w:tcW w:w="2466" w:type="dxa"/>
            <w:vAlign w:val="center"/>
          </w:tcPr>
          <w:p>
            <w:pPr>
              <w:pStyle w:val="25"/>
            </w:pPr>
          </w:p>
          <w:p>
            <w:pPr>
              <w:pStyle w:val="25"/>
            </w:pPr>
            <w:r>
              <w:t>服务能力得到进一步提升</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受益对象满意度</w:t>
            </w:r>
          </w:p>
        </w:tc>
        <w:tc>
          <w:tcPr>
            <w:tcW w:w="2466" w:type="dxa"/>
            <w:vAlign w:val="center"/>
          </w:tcPr>
          <w:p>
            <w:pPr>
              <w:pStyle w:val="25"/>
            </w:pPr>
            <w:r>
              <w:t>通过问卷调查，满意和较满意的受益对象占全部调研对象的比例</w:t>
            </w:r>
          </w:p>
        </w:tc>
        <w:tc>
          <w:tcPr>
            <w:tcW w:w="2466" w:type="dxa"/>
            <w:vAlign w:val="center"/>
          </w:tcPr>
          <w:p>
            <w:pPr>
              <w:pStyle w:val="25"/>
            </w:pPr>
            <w:r>
              <w:t>≥90百分比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5、不动产登记中心与房管处合租租金及办公经费绩效目标表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1.改善办公条件，方便群众办理业务，提高工作效率。</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办公用房面积</w:t>
            </w:r>
          </w:p>
        </w:tc>
        <w:tc>
          <w:tcPr>
            <w:tcW w:w="2466" w:type="dxa"/>
            <w:vAlign w:val="center"/>
          </w:tcPr>
          <w:p>
            <w:pPr>
              <w:pStyle w:val="25"/>
            </w:pPr>
            <w:r>
              <w:t>租用房屋所解决的办公用房面积</w:t>
            </w:r>
          </w:p>
        </w:tc>
        <w:tc>
          <w:tcPr>
            <w:tcW w:w="2466" w:type="dxa"/>
            <w:vAlign w:val="center"/>
          </w:tcPr>
          <w:p>
            <w:pPr>
              <w:pStyle w:val="25"/>
            </w:pPr>
            <w:r>
              <w:t>22550.62平方米</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业务办结率</w:t>
            </w:r>
          </w:p>
        </w:tc>
        <w:tc>
          <w:tcPr>
            <w:tcW w:w="2466" w:type="dxa"/>
            <w:vAlign w:val="center"/>
          </w:tcPr>
          <w:p>
            <w:pPr>
              <w:pStyle w:val="25"/>
            </w:pPr>
            <w:r>
              <w:t>完成业务数量占全部数量的比率</w:t>
            </w:r>
          </w:p>
        </w:tc>
        <w:tc>
          <w:tcPr>
            <w:tcW w:w="2466" w:type="dxa"/>
            <w:vAlign w:val="center"/>
          </w:tcPr>
          <w:p>
            <w:pPr>
              <w:pStyle w:val="25"/>
            </w:pPr>
            <w:r>
              <w:t>100百分比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业务办理效率</w:t>
            </w:r>
          </w:p>
        </w:tc>
        <w:tc>
          <w:tcPr>
            <w:tcW w:w="2466" w:type="dxa"/>
            <w:vAlign w:val="center"/>
          </w:tcPr>
          <w:p>
            <w:pPr>
              <w:pStyle w:val="25"/>
            </w:pPr>
            <w:r>
              <w:t>在规定工作日内完成业务办理</w:t>
            </w:r>
          </w:p>
        </w:tc>
        <w:tc>
          <w:tcPr>
            <w:tcW w:w="2466" w:type="dxa"/>
            <w:vAlign w:val="center"/>
          </w:tcPr>
          <w:p>
            <w:pPr>
              <w:pStyle w:val="25"/>
            </w:pPr>
            <w:r>
              <w:t>100百分比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资金成本</w:t>
            </w:r>
          </w:p>
        </w:tc>
        <w:tc>
          <w:tcPr>
            <w:tcW w:w="2466" w:type="dxa"/>
            <w:vAlign w:val="center"/>
          </w:tcPr>
          <w:p>
            <w:pPr>
              <w:pStyle w:val="25"/>
            </w:pPr>
            <w:r>
              <w:t>房屋租金及其它费用</w:t>
            </w:r>
          </w:p>
        </w:tc>
        <w:tc>
          <w:tcPr>
            <w:tcW w:w="2466" w:type="dxa"/>
            <w:vAlign w:val="center"/>
          </w:tcPr>
          <w:p>
            <w:pPr>
              <w:pStyle w:val="25"/>
            </w:pPr>
            <w:r>
              <w:t>100万元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对藁城区社会发展起到积极影响</w:t>
            </w:r>
          </w:p>
        </w:tc>
        <w:tc>
          <w:tcPr>
            <w:tcW w:w="2466" w:type="dxa"/>
            <w:vAlign w:val="center"/>
          </w:tcPr>
          <w:p>
            <w:pPr>
              <w:pStyle w:val="25"/>
            </w:pPr>
            <w:r>
              <w:t>项目的实施为藁城区创造一定的效益，便民服务进一步加强。</w:t>
            </w:r>
          </w:p>
        </w:tc>
        <w:tc>
          <w:tcPr>
            <w:tcW w:w="2466" w:type="dxa"/>
            <w:vAlign w:val="center"/>
          </w:tcPr>
          <w:p>
            <w:pPr>
              <w:pStyle w:val="25"/>
            </w:pPr>
            <w:r>
              <w:t>服务能力得到提升</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办事人员满意度</w:t>
            </w:r>
          </w:p>
        </w:tc>
        <w:tc>
          <w:tcPr>
            <w:tcW w:w="2466" w:type="dxa"/>
            <w:vAlign w:val="center"/>
          </w:tcPr>
          <w:p>
            <w:pPr>
              <w:pStyle w:val="25"/>
            </w:pPr>
            <w:r>
              <w:t>满意和较满意的受益对象占全部调研对象比例</w:t>
            </w:r>
          </w:p>
        </w:tc>
        <w:tc>
          <w:tcPr>
            <w:tcW w:w="2466" w:type="dxa"/>
            <w:vAlign w:val="center"/>
          </w:tcPr>
          <w:p>
            <w:pPr>
              <w:pStyle w:val="25"/>
            </w:pPr>
            <w:r>
              <w:t>≥90百分比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6、不动产继承公证服务费绩效目标表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1.不动产继承登记服务集中办理，方便群众办事。</w:t>
            </w:r>
            <w:r>
              <w:tab/>
            </w:r>
            <w:r>
              <w:tab/>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业务办理量</w:t>
            </w:r>
          </w:p>
        </w:tc>
        <w:tc>
          <w:tcPr>
            <w:tcW w:w="2466" w:type="dxa"/>
            <w:vAlign w:val="center"/>
          </w:tcPr>
          <w:p>
            <w:pPr>
              <w:pStyle w:val="25"/>
            </w:pPr>
            <w:r>
              <w:t>根据办事人员业务需求办理业务</w:t>
            </w:r>
          </w:p>
        </w:tc>
        <w:tc>
          <w:tcPr>
            <w:tcW w:w="2466" w:type="dxa"/>
            <w:vAlign w:val="center"/>
          </w:tcPr>
          <w:p>
            <w:pPr>
              <w:pStyle w:val="25"/>
            </w:pPr>
            <w:r>
              <w:t>百分百完成每笔业务</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高效服务</w:t>
            </w:r>
          </w:p>
        </w:tc>
        <w:tc>
          <w:tcPr>
            <w:tcW w:w="2466" w:type="dxa"/>
            <w:vAlign w:val="center"/>
          </w:tcPr>
          <w:p>
            <w:pPr>
              <w:pStyle w:val="25"/>
            </w:pPr>
            <w:r>
              <w:t>完成业务量占全部业务比例</w:t>
            </w:r>
          </w:p>
        </w:tc>
        <w:tc>
          <w:tcPr>
            <w:tcW w:w="2466" w:type="dxa"/>
            <w:vAlign w:val="center"/>
          </w:tcPr>
          <w:p>
            <w:pPr>
              <w:pStyle w:val="25"/>
            </w:pPr>
            <w:r>
              <w:t>100百分比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及时办结</w:t>
            </w:r>
          </w:p>
        </w:tc>
        <w:tc>
          <w:tcPr>
            <w:tcW w:w="2466" w:type="dxa"/>
            <w:vAlign w:val="center"/>
          </w:tcPr>
          <w:p>
            <w:pPr>
              <w:pStyle w:val="25"/>
            </w:pPr>
            <w:r>
              <w:t>只跑一次即可办理继续服务</w:t>
            </w:r>
          </w:p>
        </w:tc>
        <w:tc>
          <w:tcPr>
            <w:tcW w:w="2466" w:type="dxa"/>
            <w:vAlign w:val="center"/>
          </w:tcPr>
          <w:p>
            <w:pPr>
              <w:pStyle w:val="25"/>
            </w:pPr>
            <w:r>
              <w:t>按时完成</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资金成本</w:t>
            </w:r>
          </w:p>
        </w:tc>
        <w:tc>
          <w:tcPr>
            <w:tcW w:w="2466" w:type="dxa"/>
            <w:vAlign w:val="center"/>
          </w:tcPr>
          <w:p>
            <w:pPr>
              <w:pStyle w:val="25"/>
            </w:pPr>
            <w:r>
              <w:t>购买证书及相关耗材费用</w:t>
            </w:r>
          </w:p>
        </w:tc>
        <w:tc>
          <w:tcPr>
            <w:tcW w:w="2466" w:type="dxa"/>
            <w:vAlign w:val="center"/>
          </w:tcPr>
          <w:p>
            <w:pPr>
              <w:pStyle w:val="25"/>
            </w:pPr>
            <w:r>
              <w:t>20万元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提升便利度</w:t>
            </w:r>
          </w:p>
        </w:tc>
        <w:tc>
          <w:tcPr>
            <w:tcW w:w="2466" w:type="dxa"/>
            <w:vAlign w:val="center"/>
          </w:tcPr>
          <w:p>
            <w:pPr>
              <w:pStyle w:val="25"/>
            </w:pPr>
            <w:r>
              <w:t>减少群众办事环节，提高服务质量</w:t>
            </w:r>
          </w:p>
        </w:tc>
        <w:tc>
          <w:tcPr>
            <w:tcW w:w="2466" w:type="dxa"/>
            <w:vAlign w:val="center"/>
          </w:tcPr>
          <w:p>
            <w:pPr>
              <w:pStyle w:val="25"/>
            </w:pPr>
            <w:r>
              <w:t>服务能力得到提升</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增强满意度</w:t>
            </w:r>
          </w:p>
        </w:tc>
        <w:tc>
          <w:tcPr>
            <w:tcW w:w="2466" w:type="dxa"/>
            <w:vAlign w:val="center"/>
          </w:tcPr>
          <w:p>
            <w:pPr>
              <w:pStyle w:val="25"/>
            </w:pPr>
            <w:r>
              <w:t>增强广大群众对政府机关工作满意度</w:t>
            </w:r>
          </w:p>
        </w:tc>
        <w:tc>
          <w:tcPr>
            <w:tcW w:w="2466" w:type="dxa"/>
            <w:vAlign w:val="center"/>
          </w:tcPr>
          <w:p>
            <w:pPr>
              <w:pStyle w:val="25"/>
            </w:pPr>
            <w:r>
              <w:t>≥90%满意度</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7、购买不动产证书证明费用绩效目标表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1.办理不动产登记业务需要购买证书证明</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业务量</w:t>
            </w:r>
          </w:p>
        </w:tc>
        <w:tc>
          <w:tcPr>
            <w:tcW w:w="2466" w:type="dxa"/>
            <w:vAlign w:val="center"/>
          </w:tcPr>
          <w:p>
            <w:pPr>
              <w:pStyle w:val="25"/>
            </w:pPr>
            <w:r>
              <w:t>根据业务量购买相应数量证书</w:t>
            </w:r>
          </w:p>
        </w:tc>
        <w:tc>
          <w:tcPr>
            <w:tcW w:w="2466" w:type="dxa"/>
            <w:vAlign w:val="center"/>
          </w:tcPr>
          <w:p>
            <w:pPr>
              <w:pStyle w:val="25"/>
            </w:pPr>
            <w:r>
              <w:t>根据业务量购买</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够买证书质量</w:t>
            </w:r>
          </w:p>
        </w:tc>
        <w:tc>
          <w:tcPr>
            <w:tcW w:w="2466" w:type="dxa"/>
            <w:vAlign w:val="center"/>
          </w:tcPr>
          <w:p>
            <w:pPr>
              <w:pStyle w:val="25"/>
            </w:pPr>
            <w:r>
              <w:t>证书清晰无误的数量占全部证书的数量比例</w:t>
            </w:r>
          </w:p>
        </w:tc>
        <w:tc>
          <w:tcPr>
            <w:tcW w:w="2466" w:type="dxa"/>
            <w:vAlign w:val="center"/>
          </w:tcPr>
          <w:p>
            <w:pPr>
              <w:pStyle w:val="25"/>
            </w:pPr>
            <w:r>
              <w:t>100百分比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购买证书、证明</w:t>
            </w:r>
          </w:p>
        </w:tc>
        <w:tc>
          <w:tcPr>
            <w:tcW w:w="2466" w:type="dxa"/>
            <w:vAlign w:val="center"/>
          </w:tcPr>
          <w:p>
            <w:pPr>
              <w:pStyle w:val="25"/>
            </w:pPr>
            <w:r>
              <w:t>根据业务需求提前购买</w:t>
            </w:r>
          </w:p>
        </w:tc>
        <w:tc>
          <w:tcPr>
            <w:tcW w:w="2466" w:type="dxa"/>
            <w:vAlign w:val="center"/>
          </w:tcPr>
          <w:p>
            <w:pPr>
              <w:pStyle w:val="25"/>
            </w:pPr>
            <w:r>
              <w:t>提前购买</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 xml:space="preserve">预算成本 </w:t>
            </w:r>
          </w:p>
        </w:tc>
        <w:tc>
          <w:tcPr>
            <w:tcW w:w="2466" w:type="dxa"/>
            <w:vAlign w:val="center"/>
          </w:tcPr>
          <w:p>
            <w:pPr>
              <w:pStyle w:val="25"/>
            </w:pPr>
            <w:r>
              <w:t>控制成本预算数</w:t>
            </w:r>
          </w:p>
        </w:tc>
        <w:tc>
          <w:tcPr>
            <w:tcW w:w="2466" w:type="dxa"/>
            <w:vAlign w:val="center"/>
          </w:tcPr>
          <w:p>
            <w:pPr>
              <w:pStyle w:val="25"/>
            </w:pPr>
            <w:r>
              <w:t>4万元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提升便利度</w:t>
            </w:r>
          </w:p>
        </w:tc>
        <w:tc>
          <w:tcPr>
            <w:tcW w:w="2466" w:type="dxa"/>
            <w:vAlign w:val="center"/>
          </w:tcPr>
          <w:p>
            <w:pPr>
              <w:pStyle w:val="25"/>
            </w:pPr>
            <w:r>
              <w:t>方便群众办事</w:t>
            </w:r>
          </w:p>
        </w:tc>
        <w:tc>
          <w:tcPr>
            <w:tcW w:w="2466" w:type="dxa"/>
            <w:vAlign w:val="center"/>
          </w:tcPr>
          <w:p>
            <w:pPr>
              <w:pStyle w:val="25"/>
            </w:pPr>
            <w:r>
              <w:t>服务能力提升</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服务对象满意率</w:t>
            </w:r>
          </w:p>
        </w:tc>
        <w:tc>
          <w:tcPr>
            <w:tcW w:w="2466" w:type="dxa"/>
            <w:vAlign w:val="center"/>
          </w:tcPr>
          <w:p>
            <w:pPr>
              <w:pStyle w:val="25"/>
            </w:pPr>
            <w:r>
              <w:t>满意度和较满意的受益对象占全部调研对象比</w:t>
            </w:r>
          </w:p>
        </w:tc>
        <w:tc>
          <w:tcPr>
            <w:tcW w:w="2466" w:type="dxa"/>
            <w:vAlign w:val="center"/>
          </w:tcPr>
          <w:p>
            <w:pPr>
              <w:pStyle w:val="25"/>
            </w:pPr>
            <w:r>
              <w:t>≥90百分比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8、国土资源管理经费（基金）绩效目标表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1.用于律师费、宣传费、空调维护费、局及下属事业单位日常办公费用</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根据局机关人数所需办公经费</w:t>
            </w:r>
          </w:p>
        </w:tc>
        <w:tc>
          <w:tcPr>
            <w:tcW w:w="2466" w:type="dxa"/>
            <w:vAlign w:val="center"/>
          </w:tcPr>
          <w:p>
            <w:pPr>
              <w:pStyle w:val="25"/>
            </w:pPr>
            <w:r>
              <w:t>局机关在职人数财政人员54人，自收自支人员65人</w:t>
            </w:r>
          </w:p>
        </w:tc>
        <w:tc>
          <w:tcPr>
            <w:tcW w:w="2466" w:type="dxa"/>
            <w:vAlign w:val="center"/>
          </w:tcPr>
          <w:p>
            <w:pPr>
              <w:pStyle w:val="25"/>
            </w:pPr>
            <w:r>
              <w:t>119人</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综合业务管理工作完成率</w:t>
            </w:r>
          </w:p>
        </w:tc>
        <w:tc>
          <w:tcPr>
            <w:tcW w:w="2466" w:type="dxa"/>
            <w:vAlign w:val="center"/>
          </w:tcPr>
          <w:p>
            <w:pPr>
              <w:pStyle w:val="25"/>
            </w:pPr>
            <w:r>
              <w:t>综合业务管理工作完成情况</w:t>
            </w:r>
          </w:p>
        </w:tc>
        <w:tc>
          <w:tcPr>
            <w:tcW w:w="2466" w:type="dxa"/>
            <w:vAlign w:val="center"/>
          </w:tcPr>
          <w:p>
            <w:pPr>
              <w:pStyle w:val="25"/>
            </w:pPr>
            <w:r>
              <w:t>≥90%</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保障局机关正常运转的及时性</w:t>
            </w:r>
          </w:p>
        </w:tc>
        <w:tc>
          <w:tcPr>
            <w:tcW w:w="2466" w:type="dxa"/>
            <w:vAlign w:val="center"/>
          </w:tcPr>
          <w:p>
            <w:pPr>
              <w:pStyle w:val="25"/>
            </w:pPr>
            <w:r>
              <w:t>可以及时拨付资金，保障局机关及下属事业单位的日常运转</w:t>
            </w:r>
          </w:p>
        </w:tc>
        <w:tc>
          <w:tcPr>
            <w:tcW w:w="2466" w:type="dxa"/>
            <w:vAlign w:val="center"/>
          </w:tcPr>
          <w:p>
            <w:pPr>
              <w:pStyle w:val="25"/>
            </w:pPr>
            <w:r>
              <w:t>及时拨付</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资金成本</w:t>
            </w:r>
          </w:p>
        </w:tc>
        <w:tc>
          <w:tcPr>
            <w:tcW w:w="2466" w:type="dxa"/>
            <w:vAlign w:val="center"/>
          </w:tcPr>
          <w:p>
            <w:pPr>
              <w:pStyle w:val="25"/>
            </w:pPr>
            <w:r>
              <w:t>机关水电网费、保安保洁及办公耗材、设备购置费。</w:t>
            </w:r>
          </w:p>
        </w:tc>
        <w:tc>
          <w:tcPr>
            <w:tcW w:w="2466" w:type="dxa"/>
            <w:vAlign w:val="center"/>
          </w:tcPr>
          <w:p>
            <w:pPr>
              <w:pStyle w:val="25"/>
            </w:pPr>
            <w:r>
              <w:t>123万元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经济效益指标</w:t>
            </w:r>
          </w:p>
        </w:tc>
        <w:tc>
          <w:tcPr>
            <w:tcW w:w="2466" w:type="dxa"/>
            <w:vAlign w:val="center"/>
          </w:tcPr>
          <w:p>
            <w:pPr>
              <w:pStyle w:val="25"/>
            </w:pPr>
            <w:r>
              <w:t>业务保障能力</w:t>
            </w:r>
          </w:p>
        </w:tc>
        <w:tc>
          <w:tcPr>
            <w:tcW w:w="2466" w:type="dxa"/>
            <w:vAlign w:val="center"/>
          </w:tcPr>
          <w:p>
            <w:pPr>
              <w:pStyle w:val="25"/>
            </w:pPr>
            <w:r>
              <w:t>保障相关业务、工作等开展的情况</w:t>
            </w:r>
          </w:p>
        </w:tc>
        <w:tc>
          <w:tcPr>
            <w:tcW w:w="2466" w:type="dxa"/>
            <w:vAlign w:val="center"/>
          </w:tcPr>
          <w:p>
            <w:pPr>
              <w:pStyle w:val="25"/>
            </w:pPr>
            <w:r>
              <w:t>≥90%</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单位职工满意度</w:t>
            </w:r>
          </w:p>
        </w:tc>
        <w:tc>
          <w:tcPr>
            <w:tcW w:w="2466" w:type="dxa"/>
            <w:vAlign w:val="center"/>
          </w:tcPr>
          <w:p>
            <w:pPr>
              <w:pStyle w:val="25"/>
            </w:pPr>
            <w:r>
              <w:t>单位职工对该项经费花费满意的人数占单位职工总人数的比率</w:t>
            </w:r>
          </w:p>
        </w:tc>
        <w:tc>
          <w:tcPr>
            <w:tcW w:w="2466" w:type="dxa"/>
            <w:vAlign w:val="center"/>
          </w:tcPr>
          <w:p>
            <w:pPr>
              <w:pStyle w:val="25"/>
            </w:pPr>
            <w:r>
              <w:t>≥90%</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9、国土资源管理经费（一般预算）绩效目标表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1.保障国土资源管理各项工作正常运行，进一步增强国土资源管理能力。</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工作完成量</w:t>
            </w:r>
          </w:p>
        </w:tc>
        <w:tc>
          <w:tcPr>
            <w:tcW w:w="2466" w:type="dxa"/>
            <w:vAlign w:val="center"/>
          </w:tcPr>
          <w:p>
            <w:pPr>
              <w:pStyle w:val="25"/>
            </w:pPr>
            <w:r>
              <w:t>综合业务管理工作的完成率</w:t>
            </w:r>
          </w:p>
        </w:tc>
        <w:tc>
          <w:tcPr>
            <w:tcW w:w="2466" w:type="dxa"/>
            <w:vAlign w:val="center"/>
          </w:tcPr>
          <w:p>
            <w:pPr>
              <w:pStyle w:val="25"/>
            </w:pPr>
            <w:r>
              <w:t>100百分比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日常巡查维修及时率（%）</w:t>
            </w:r>
          </w:p>
        </w:tc>
        <w:tc>
          <w:tcPr>
            <w:tcW w:w="2466" w:type="dxa"/>
            <w:vAlign w:val="center"/>
          </w:tcPr>
          <w:p>
            <w:pPr>
              <w:pStyle w:val="25"/>
            </w:pPr>
            <w:r>
              <w:t>有记录的巡查维修到场次数占规定巡查维修到场次数的比率</w:t>
            </w:r>
          </w:p>
        </w:tc>
        <w:tc>
          <w:tcPr>
            <w:tcW w:w="2466" w:type="dxa"/>
            <w:vAlign w:val="center"/>
          </w:tcPr>
          <w:p>
            <w:pPr>
              <w:pStyle w:val="25"/>
            </w:pPr>
            <w:r>
              <w:t>100百分比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开展工作的及时性</w:t>
            </w:r>
          </w:p>
        </w:tc>
        <w:tc>
          <w:tcPr>
            <w:tcW w:w="2466" w:type="dxa"/>
            <w:vAlign w:val="center"/>
          </w:tcPr>
          <w:p>
            <w:pPr>
              <w:pStyle w:val="25"/>
            </w:pPr>
            <w:r>
              <w:t>保障国土资源管理工作的运转时效，提升工作效率</w:t>
            </w:r>
          </w:p>
        </w:tc>
        <w:tc>
          <w:tcPr>
            <w:tcW w:w="2466" w:type="dxa"/>
            <w:vAlign w:val="center"/>
          </w:tcPr>
          <w:p>
            <w:pPr>
              <w:pStyle w:val="25"/>
            </w:pPr>
            <w:r>
              <w:t>及时开展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资金成本</w:t>
            </w:r>
          </w:p>
        </w:tc>
        <w:tc>
          <w:tcPr>
            <w:tcW w:w="2466" w:type="dxa"/>
            <w:vAlign w:val="center"/>
          </w:tcPr>
          <w:p>
            <w:pPr>
              <w:pStyle w:val="25"/>
            </w:pPr>
            <w:r>
              <w:t>日常工作开展所需资金</w:t>
            </w:r>
          </w:p>
        </w:tc>
        <w:tc>
          <w:tcPr>
            <w:tcW w:w="2466" w:type="dxa"/>
            <w:vAlign w:val="center"/>
          </w:tcPr>
          <w:p>
            <w:pPr>
              <w:pStyle w:val="25"/>
            </w:pPr>
            <w:r>
              <w:t>37万元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经济效益指标</w:t>
            </w:r>
          </w:p>
        </w:tc>
        <w:tc>
          <w:tcPr>
            <w:tcW w:w="2466" w:type="dxa"/>
            <w:vAlign w:val="center"/>
          </w:tcPr>
          <w:p>
            <w:pPr>
              <w:pStyle w:val="25"/>
            </w:pPr>
            <w:r>
              <w:t>业务保障能力</w:t>
            </w:r>
          </w:p>
        </w:tc>
        <w:tc>
          <w:tcPr>
            <w:tcW w:w="2466" w:type="dxa"/>
            <w:vAlign w:val="center"/>
          </w:tcPr>
          <w:p>
            <w:pPr>
              <w:pStyle w:val="25"/>
            </w:pPr>
            <w:r>
              <w:t>保障相关业务、工作等开展的情况</w:t>
            </w:r>
          </w:p>
        </w:tc>
        <w:tc>
          <w:tcPr>
            <w:tcW w:w="2466" w:type="dxa"/>
            <w:vAlign w:val="center"/>
          </w:tcPr>
          <w:p>
            <w:pPr>
              <w:pStyle w:val="25"/>
            </w:pPr>
            <w:r>
              <w:t>100百分比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开展工作满意度</w:t>
            </w:r>
          </w:p>
        </w:tc>
        <w:tc>
          <w:tcPr>
            <w:tcW w:w="2466" w:type="dxa"/>
            <w:vAlign w:val="center"/>
          </w:tcPr>
          <w:p>
            <w:pPr>
              <w:pStyle w:val="25"/>
            </w:pPr>
            <w:r>
              <w:t>对开展的工作满意数量占所有工作数量的比率</w:t>
            </w:r>
          </w:p>
        </w:tc>
        <w:tc>
          <w:tcPr>
            <w:tcW w:w="2466" w:type="dxa"/>
            <w:vAlign w:val="center"/>
          </w:tcPr>
          <w:p>
            <w:pPr>
              <w:pStyle w:val="25"/>
            </w:pPr>
            <w:r>
              <w:t>≥90百分比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10、京港澳高速景观林带管护费绩效目标表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1.对京港澳高速两侧景观林带进行全面管护，确保景观林带完整，提升景观效果。</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保存面积</w:t>
            </w:r>
          </w:p>
        </w:tc>
        <w:tc>
          <w:tcPr>
            <w:tcW w:w="2466" w:type="dxa"/>
            <w:vAlign w:val="center"/>
          </w:tcPr>
          <w:p>
            <w:pPr>
              <w:pStyle w:val="25"/>
            </w:pPr>
            <w:r>
              <w:t>京港澳高速两侧景观林带不少于</w:t>
            </w:r>
          </w:p>
        </w:tc>
        <w:tc>
          <w:tcPr>
            <w:tcW w:w="2466" w:type="dxa"/>
            <w:vAlign w:val="center"/>
          </w:tcPr>
          <w:p>
            <w:pPr>
              <w:pStyle w:val="25"/>
            </w:pPr>
            <w:r>
              <w:t>50米</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管护面积</w:t>
            </w:r>
          </w:p>
        </w:tc>
        <w:tc>
          <w:tcPr>
            <w:tcW w:w="2466" w:type="dxa"/>
            <w:vAlign w:val="center"/>
          </w:tcPr>
          <w:p>
            <w:pPr>
              <w:pStyle w:val="25"/>
            </w:pPr>
            <w:r>
              <w:t>京港澳高速景观林带管护面积</w:t>
            </w:r>
          </w:p>
        </w:tc>
        <w:tc>
          <w:tcPr>
            <w:tcW w:w="2466" w:type="dxa"/>
            <w:vAlign w:val="center"/>
          </w:tcPr>
          <w:p>
            <w:pPr>
              <w:pStyle w:val="25"/>
            </w:pPr>
            <w:r>
              <w:t>1168亩</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森林抚育质量合格率</w:t>
            </w:r>
          </w:p>
        </w:tc>
        <w:tc>
          <w:tcPr>
            <w:tcW w:w="2466" w:type="dxa"/>
            <w:vAlign w:val="center"/>
          </w:tcPr>
          <w:p>
            <w:pPr>
              <w:pStyle w:val="25"/>
            </w:pPr>
            <w:r>
              <w:t>森林合格抚育面积占森防抚育完成面积的比率</w:t>
            </w:r>
          </w:p>
        </w:tc>
        <w:tc>
          <w:tcPr>
            <w:tcW w:w="2466" w:type="dxa"/>
            <w:vAlign w:val="center"/>
          </w:tcPr>
          <w:p>
            <w:pPr>
              <w:pStyle w:val="25"/>
            </w:pPr>
            <w:r>
              <w:t>≥95百分比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管护费用</w:t>
            </w:r>
          </w:p>
        </w:tc>
        <w:tc>
          <w:tcPr>
            <w:tcW w:w="2466" w:type="dxa"/>
            <w:vAlign w:val="center"/>
          </w:tcPr>
          <w:p>
            <w:pPr>
              <w:pStyle w:val="25"/>
            </w:pPr>
            <w:r>
              <w:t>京港澳高速景观林管护费用</w:t>
            </w:r>
          </w:p>
        </w:tc>
        <w:tc>
          <w:tcPr>
            <w:tcW w:w="2466" w:type="dxa"/>
            <w:vAlign w:val="center"/>
          </w:tcPr>
          <w:p>
            <w:pPr>
              <w:pStyle w:val="25"/>
            </w:pPr>
            <w:r>
              <w:t>190.38万元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生态效益指标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11、京港澳高速景观林带管护费(一般）绩效目标表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1.对京港澳高速两侧景观林带进行全面管护，确保景观林带完整，提升景观效果。</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保存面积</w:t>
            </w:r>
          </w:p>
        </w:tc>
        <w:tc>
          <w:tcPr>
            <w:tcW w:w="2466" w:type="dxa"/>
            <w:vAlign w:val="center"/>
          </w:tcPr>
          <w:p>
            <w:pPr>
              <w:pStyle w:val="25"/>
            </w:pPr>
            <w:r>
              <w:t>京港澳高速两侧景观林带不少于50米</w:t>
            </w:r>
          </w:p>
        </w:tc>
        <w:tc>
          <w:tcPr>
            <w:tcW w:w="2466" w:type="dxa"/>
            <w:vAlign w:val="center"/>
          </w:tcPr>
          <w:p>
            <w:pPr>
              <w:pStyle w:val="25"/>
            </w:pPr>
            <w:r>
              <w:t>50米</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森林抚育质量合格率</w:t>
            </w:r>
          </w:p>
        </w:tc>
        <w:tc>
          <w:tcPr>
            <w:tcW w:w="2466" w:type="dxa"/>
            <w:vAlign w:val="center"/>
          </w:tcPr>
          <w:p>
            <w:pPr>
              <w:pStyle w:val="25"/>
            </w:pPr>
            <w:r>
              <w:t>森林合格抚育面积占森防抚育完成面积的比率</w:t>
            </w:r>
          </w:p>
        </w:tc>
        <w:tc>
          <w:tcPr>
            <w:tcW w:w="2466" w:type="dxa"/>
            <w:vAlign w:val="center"/>
          </w:tcPr>
          <w:p>
            <w:pPr>
              <w:pStyle w:val="25"/>
            </w:pPr>
            <w:r>
              <w:t>≥95百分比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及时管护景观林</w:t>
            </w:r>
          </w:p>
        </w:tc>
        <w:tc>
          <w:tcPr>
            <w:tcW w:w="2466" w:type="dxa"/>
            <w:vAlign w:val="center"/>
          </w:tcPr>
          <w:p>
            <w:pPr>
              <w:pStyle w:val="25"/>
            </w:pPr>
            <w:r>
              <w:t>及时对高速两侧的景观林进行管护，确保两侧景观效果。</w:t>
            </w:r>
          </w:p>
        </w:tc>
        <w:tc>
          <w:tcPr>
            <w:tcW w:w="2466" w:type="dxa"/>
            <w:vAlign w:val="center"/>
          </w:tcPr>
          <w:p>
            <w:pPr>
              <w:pStyle w:val="25"/>
            </w:pPr>
            <w:r>
              <w:t>及时管护</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管护费用</w:t>
            </w:r>
          </w:p>
        </w:tc>
        <w:tc>
          <w:tcPr>
            <w:tcW w:w="2466" w:type="dxa"/>
            <w:vAlign w:val="center"/>
          </w:tcPr>
          <w:p>
            <w:pPr>
              <w:pStyle w:val="25"/>
            </w:pPr>
            <w:r>
              <w:t>京港澳高速景观林管护费用</w:t>
            </w:r>
          </w:p>
        </w:tc>
        <w:tc>
          <w:tcPr>
            <w:tcW w:w="2466" w:type="dxa"/>
            <w:vAlign w:val="center"/>
          </w:tcPr>
          <w:p>
            <w:pPr>
              <w:pStyle w:val="25"/>
            </w:pPr>
            <w:r>
              <w:t>72万元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生态效益指标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≥90百分比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12、京石高铁、石黄及307国道、京港澳高速绿化带占地补绩效目标表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1.高速铁路及高速公路等两侧进行林带建设，打造通道两侧绿色通行廊道。</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造林面积</w:t>
            </w:r>
          </w:p>
        </w:tc>
        <w:tc>
          <w:tcPr>
            <w:tcW w:w="2466" w:type="dxa"/>
            <w:vAlign w:val="center"/>
          </w:tcPr>
          <w:p>
            <w:pPr>
              <w:pStyle w:val="25"/>
            </w:pPr>
            <w:r>
              <w:t>京石高铁、石黄、京港澳高速两侧造林面积</w:t>
            </w:r>
          </w:p>
        </w:tc>
        <w:tc>
          <w:tcPr>
            <w:tcW w:w="2466" w:type="dxa"/>
            <w:vAlign w:val="center"/>
          </w:tcPr>
          <w:p>
            <w:pPr>
              <w:pStyle w:val="25"/>
            </w:pPr>
            <w:r>
              <w:t>12980亩</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造林合格面积完成率</w:t>
            </w:r>
          </w:p>
        </w:tc>
        <w:tc>
          <w:tcPr>
            <w:tcW w:w="2466" w:type="dxa"/>
            <w:vAlign w:val="center"/>
          </w:tcPr>
          <w:p>
            <w:pPr>
              <w:pStyle w:val="25"/>
            </w:pPr>
            <w:r>
              <w:t>造林合格面积占完成造林面积的比率</w:t>
            </w:r>
          </w:p>
        </w:tc>
        <w:tc>
          <w:tcPr>
            <w:tcW w:w="2466" w:type="dxa"/>
            <w:vAlign w:val="center"/>
          </w:tcPr>
          <w:p>
            <w:pPr>
              <w:pStyle w:val="25"/>
            </w:pPr>
            <w:r>
              <w:t>≥95百分比</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京石高铁、石黄、京港澳高速两侧绿化带占地补贴兑现时间</w:t>
            </w:r>
          </w:p>
        </w:tc>
        <w:tc>
          <w:tcPr>
            <w:tcW w:w="2466" w:type="dxa"/>
            <w:vAlign w:val="center"/>
          </w:tcPr>
          <w:p>
            <w:pPr>
              <w:pStyle w:val="25"/>
            </w:pPr>
            <w:r>
              <w:t>2022年12月31日前兑现占地补贴</w:t>
            </w:r>
          </w:p>
        </w:tc>
        <w:tc>
          <w:tcPr>
            <w:tcW w:w="2466" w:type="dxa"/>
            <w:vAlign w:val="center"/>
          </w:tcPr>
          <w:p>
            <w:pPr>
              <w:pStyle w:val="25"/>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补贴标准</w:t>
            </w:r>
          </w:p>
        </w:tc>
        <w:tc>
          <w:tcPr>
            <w:tcW w:w="2466" w:type="dxa"/>
            <w:vAlign w:val="center"/>
          </w:tcPr>
          <w:p>
            <w:pPr>
              <w:pStyle w:val="25"/>
            </w:pPr>
            <w:r>
              <w:t>每亩每年占地补贴</w:t>
            </w:r>
          </w:p>
        </w:tc>
        <w:tc>
          <w:tcPr>
            <w:tcW w:w="2466" w:type="dxa"/>
            <w:vAlign w:val="center"/>
          </w:tcPr>
          <w:p>
            <w:pPr>
              <w:pStyle w:val="25"/>
            </w:pPr>
            <w:r>
              <w:t>600元</w:t>
            </w:r>
          </w:p>
        </w:tc>
        <w:tc>
          <w:tcPr>
            <w:tcW w:w="2466" w:type="dxa"/>
            <w:vAlign w:val="center"/>
          </w:tcPr>
          <w:p>
            <w:pPr>
              <w:pStyle w:val="25"/>
            </w:pPr>
            <w:r>
              <w:t>藁政办［2016］27号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森林覆盖率净增量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调查</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13、劳务派遣人员工资绩效目标表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1.保障劳务派遣人员的利益，增强国土资源工作管理水平。</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本单位劳务派遣人员数量</w:t>
            </w:r>
          </w:p>
        </w:tc>
        <w:tc>
          <w:tcPr>
            <w:tcW w:w="2466" w:type="dxa"/>
            <w:vAlign w:val="center"/>
          </w:tcPr>
          <w:p>
            <w:pPr>
              <w:pStyle w:val="25"/>
            </w:pPr>
            <w:r>
              <w:t>共有劳务派遣人员52个人</w:t>
            </w:r>
          </w:p>
        </w:tc>
        <w:tc>
          <w:tcPr>
            <w:tcW w:w="2466" w:type="dxa"/>
            <w:vAlign w:val="center"/>
          </w:tcPr>
          <w:p>
            <w:pPr>
              <w:pStyle w:val="25"/>
            </w:pPr>
            <w:r>
              <w:t>52人</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劳务派遣人员社会保障费缴纳完成率（%）</w:t>
            </w:r>
          </w:p>
        </w:tc>
        <w:tc>
          <w:tcPr>
            <w:tcW w:w="2466" w:type="dxa"/>
            <w:vAlign w:val="center"/>
          </w:tcPr>
          <w:p>
            <w:pPr>
              <w:pStyle w:val="25"/>
            </w:pPr>
            <w:r>
              <w:t>已缴纳社会保障费占应缴纳社会保障费的比率</w:t>
            </w:r>
          </w:p>
        </w:tc>
        <w:tc>
          <w:tcPr>
            <w:tcW w:w="2466" w:type="dxa"/>
            <w:vAlign w:val="center"/>
          </w:tcPr>
          <w:p>
            <w:pPr>
              <w:pStyle w:val="25"/>
            </w:pPr>
            <w:r>
              <w:t>100%</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发放工资的及时性</w:t>
            </w:r>
          </w:p>
        </w:tc>
        <w:tc>
          <w:tcPr>
            <w:tcW w:w="2466" w:type="dxa"/>
            <w:vAlign w:val="center"/>
          </w:tcPr>
          <w:p>
            <w:pPr>
              <w:pStyle w:val="25"/>
            </w:pPr>
            <w:r>
              <w:t>及时足额为职工发放工资、缴纳保险</w:t>
            </w:r>
          </w:p>
        </w:tc>
        <w:tc>
          <w:tcPr>
            <w:tcW w:w="2466" w:type="dxa"/>
            <w:vAlign w:val="center"/>
          </w:tcPr>
          <w:p>
            <w:pPr>
              <w:pStyle w:val="25"/>
            </w:pPr>
            <w:r>
              <w:t>及时缴纳</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预算成本</w:t>
            </w:r>
          </w:p>
        </w:tc>
        <w:tc>
          <w:tcPr>
            <w:tcW w:w="2466" w:type="dxa"/>
            <w:vAlign w:val="center"/>
          </w:tcPr>
          <w:p>
            <w:pPr>
              <w:pStyle w:val="25"/>
            </w:pPr>
            <w:r>
              <w:t>控制年度预算数</w:t>
            </w:r>
          </w:p>
        </w:tc>
        <w:tc>
          <w:tcPr>
            <w:tcW w:w="2466" w:type="dxa"/>
            <w:vAlign w:val="center"/>
          </w:tcPr>
          <w:p>
            <w:pPr>
              <w:pStyle w:val="25"/>
            </w:pPr>
            <w:r>
              <w:t>200万元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经济效益指标</w:t>
            </w:r>
          </w:p>
        </w:tc>
        <w:tc>
          <w:tcPr>
            <w:tcW w:w="2466" w:type="dxa"/>
            <w:vAlign w:val="center"/>
          </w:tcPr>
          <w:p>
            <w:pPr>
              <w:pStyle w:val="25"/>
            </w:pPr>
            <w:r>
              <w:t>业务保障能力</w:t>
            </w:r>
          </w:p>
        </w:tc>
        <w:tc>
          <w:tcPr>
            <w:tcW w:w="2466" w:type="dxa"/>
            <w:vAlign w:val="center"/>
          </w:tcPr>
          <w:p>
            <w:pPr>
              <w:pStyle w:val="25"/>
            </w:pPr>
            <w:r>
              <w:t>保障职工的工资收入</w:t>
            </w:r>
          </w:p>
        </w:tc>
        <w:tc>
          <w:tcPr>
            <w:tcW w:w="2466" w:type="dxa"/>
            <w:vAlign w:val="center"/>
          </w:tcPr>
          <w:p>
            <w:pPr>
              <w:pStyle w:val="25"/>
            </w:pPr>
            <w:r>
              <w:t>为职工带来经济收入</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劳务派遣人员满意度（%）</w:t>
            </w:r>
          </w:p>
        </w:tc>
        <w:tc>
          <w:tcPr>
            <w:tcW w:w="2466" w:type="dxa"/>
            <w:vAlign w:val="center"/>
          </w:tcPr>
          <w:p>
            <w:pPr>
              <w:pStyle w:val="25"/>
            </w:pPr>
            <w:r>
              <w:t>调查中满意和较满意的劳务派遣人员数占全部调查劳务派遣人员数的比率</w:t>
            </w:r>
          </w:p>
        </w:tc>
        <w:tc>
          <w:tcPr>
            <w:tcW w:w="2466" w:type="dxa"/>
            <w:vAlign w:val="center"/>
          </w:tcPr>
          <w:p>
            <w:pPr>
              <w:pStyle w:val="25"/>
            </w:pPr>
            <w:r>
              <w:t>≥90%</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14、林草湿数据与国土“三调”数据对接融合项目工作经费绩效目标表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1.林草湿与国土规划对接融合，保护林地规划</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核实图斑</w:t>
            </w:r>
          </w:p>
        </w:tc>
        <w:tc>
          <w:tcPr>
            <w:tcW w:w="2466" w:type="dxa"/>
            <w:vAlign w:val="center"/>
          </w:tcPr>
          <w:p>
            <w:pPr>
              <w:pStyle w:val="25"/>
            </w:pPr>
            <w:r>
              <w:t>对接融合核实</w:t>
            </w:r>
          </w:p>
        </w:tc>
        <w:tc>
          <w:tcPr>
            <w:tcW w:w="2466" w:type="dxa"/>
            <w:vAlign w:val="center"/>
          </w:tcPr>
          <w:p>
            <w:pPr>
              <w:pStyle w:val="25"/>
            </w:pPr>
            <w:r>
              <w:t>5700个</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完成林草湿数据与国土三调数据对接融合核实图斑</w:t>
            </w:r>
          </w:p>
        </w:tc>
        <w:tc>
          <w:tcPr>
            <w:tcW w:w="2466" w:type="dxa"/>
            <w:vAlign w:val="center"/>
          </w:tcPr>
          <w:p>
            <w:pPr>
              <w:pStyle w:val="25"/>
            </w:pPr>
            <w:r>
              <w:t>实地核实图斑完成成果报告</w:t>
            </w:r>
          </w:p>
        </w:tc>
        <w:tc>
          <w:tcPr>
            <w:tcW w:w="2466" w:type="dxa"/>
            <w:vAlign w:val="center"/>
          </w:tcPr>
          <w:p>
            <w:pPr>
              <w:pStyle w:val="25"/>
            </w:pPr>
            <w:r>
              <w:t>完成成果报告</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项目完成时间</w:t>
            </w:r>
          </w:p>
        </w:tc>
        <w:tc>
          <w:tcPr>
            <w:tcW w:w="2466" w:type="dxa"/>
            <w:vAlign w:val="center"/>
          </w:tcPr>
          <w:p>
            <w:pPr>
              <w:pStyle w:val="25"/>
            </w:pPr>
            <w:r>
              <w:t>2022年12月31日前完成</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所需费用</w:t>
            </w:r>
          </w:p>
        </w:tc>
        <w:tc>
          <w:tcPr>
            <w:tcW w:w="2466" w:type="dxa"/>
            <w:vAlign w:val="center"/>
          </w:tcPr>
          <w:p>
            <w:pPr>
              <w:pStyle w:val="25"/>
            </w:pPr>
            <w:r>
              <w:t>对接融合核实完成所需费用</w:t>
            </w:r>
          </w:p>
        </w:tc>
        <w:tc>
          <w:tcPr>
            <w:tcW w:w="2466" w:type="dxa"/>
            <w:vAlign w:val="center"/>
          </w:tcPr>
          <w:p>
            <w:pPr>
              <w:pStyle w:val="25"/>
            </w:pPr>
            <w:r>
              <w:t>13.5万元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保护林地更新融合规划</w:t>
            </w:r>
          </w:p>
        </w:tc>
        <w:tc>
          <w:tcPr>
            <w:tcW w:w="2466" w:type="dxa"/>
            <w:vAlign w:val="center"/>
          </w:tcPr>
          <w:p>
            <w:pPr>
              <w:pStyle w:val="25"/>
            </w:pPr>
            <w:r>
              <w:t>核实规划新的林地保护利用规划</w:t>
            </w:r>
          </w:p>
        </w:tc>
        <w:tc>
          <w:tcPr>
            <w:tcW w:w="2466" w:type="dxa"/>
            <w:vAlign w:val="center"/>
          </w:tcPr>
          <w:p>
            <w:pPr>
              <w:pStyle w:val="25"/>
            </w:pPr>
            <w:r>
              <w:t>核实规划新的林地保护利用规划</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年度工作计划</w:t>
            </w:r>
          </w:p>
        </w:tc>
      </w:tr>
    </w:tbl>
    <w:p>
      <w:pPr>
        <w:pStyle w:val="23"/>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15、林业有害生物防控资金绩效目标表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1.有效控制林业有害生物的发生，成灾率控制在4‰以下，无公害防治达到85%以上。</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林业有害生物的防治、检疫工作完成率</w:t>
            </w:r>
          </w:p>
        </w:tc>
        <w:tc>
          <w:tcPr>
            <w:tcW w:w="2466" w:type="dxa"/>
            <w:vAlign w:val="center"/>
          </w:tcPr>
          <w:p>
            <w:pPr>
              <w:pStyle w:val="25"/>
            </w:pPr>
            <w:r>
              <w:t>产地检疫工作完成面积占计划的比例</w:t>
            </w:r>
          </w:p>
        </w:tc>
        <w:tc>
          <w:tcPr>
            <w:tcW w:w="2466" w:type="dxa"/>
            <w:vAlign w:val="center"/>
          </w:tcPr>
          <w:p>
            <w:pPr>
              <w:pStyle w:val="25"/>
            </w:pPr>
            <w:r>
              <w:t>≥90百分比</w:t>
            </w:r>
          </w:p>
        </w:tc>
        <w:tc>
          <w:tcPr>
            <w:tcW w:w="2466" w:type="dxa"/>
            <w:vAlign w:val="center"/>
          </w:tcPr>
          <w:p>
            <w:pPr>
              <w:pStyle w:val="25"/>
            </w:pPr>
            <w:r>
              <w:t>总结或验收报告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林业有害生物预测预报准确率</w:t>
            </w:r>
          </w:p>
        </w:tc>
        <w:tc>
          <w:tcPr>
            <w:tcW w:w="2466" w:type="dxa"/>
            <w:vAlign w:val="center"/>
          </w:tcPr>
          <w:p>
            <w:pPr>
              <w:pStyle w:val="25"/>
            </w:pPr>
            <w:r>
              <w:t>林业有害生物预测发生面积与实际发生面积比例</w:t>
            </w:r>
          </w:p>
        </w:tc>
        <w:tc>
          <w:tcPr>
            <w:tcW w:w="2466" w:type="dxa"/>
            <w:vAlign w:val="center"/>
          </w:tcPr>
          <w:p>
            <w:pPr>
              <w:pStyle w:val="25"/>
            </w:pPr>
            <w:r>
              <w:t>≥85百分比</w:t>
            </w:r>
          </w:p>
        </w:tc>
        <w:tc>
          <w:tcPr>
            <w:tcW w:w="2466" w:type="dxa"/>
            <w:vAlign w:val="center"/>
          </w:tcPr>
          <w:p>
            <w:pPr>
              <w:pStyle w:val="25"/>
            </w:pPr>
            <w:r>
              <w:t>验收报告单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防治工作开展的及时性</w:t>
            </w:r>
          </w:p>
        </w:tc>
        <w:tc>
          <w:tcPr>
            <w:tcW w:w="2466" w:type="dxa"/>
            <w:vAlign w:val="center"/>
          </w:tcPr>
          <w:p>
            <w:pPr>
              <w:pStyle w:val="25"/>
            </w:pPr>
            <w:r>
              <w:t>及时开展有害生物的防治工作</w:t>
            </w:r>
          </w:p>
        </w:tc>
        <w:tc>
          <w:tcPr>
            <w:tcW w:w="2466" w:type="dxa"/>
            <w:vAlign w:val="center"/>
          </w:tcPr>
          <w:p>
            <w:pPr>
              <w:pStyle w:val="25"/>
            </w:pPr>
            <w:r>
              <w:t>及时防治</w:t>
            </w:r>
          </w:p>
        </w:tc>
        <w:tc>
          <w:tcPr>
            <w:tcW w:w="2466" w:type="dxa"/>
            <w:vAlign w:val="center"/>
          </w:tcPr>
          <w:p>
            <w:pPr>
              <w:pStyle w:val="2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所需费用</w:t>
            </w:r>
          </w:p>
        </w:tc>
        <w:tc>
          <w:tcPr>
            <w:tcW w:w="2466" w:type="dxa"/>
            <w:vAlign w:val="center"/>
          </w:tcPr>
          <w:p>
            <w:pPr>
              <w:pStyle w:val="25"/>
            </w:pPr>
            <w:r>
              <w:t>用于林业有害生物防治过程中产生的人工、机械、药品费用</w:t>
            </w:r>
          </w:p>
        </w:tc>
        <w:tc>
          <w:tcPr>
            <w:tcW w:w="2466" w:type="dxa"/>
            <w:vAlign w:val="center"/>
          </w:tcPr>
          <w:p>
            <w:pPr>
              <w:pStyle w:val="25"/>
            </w:pPr>
            <w:r>
              <w:t>15万元</w:t>
            </w:r>
          </w:p>
        </w:tc>
        <w:tc>
          <w:tcPr>
            <w:tcW w:w="2466" w:type="dxa"/>
            <w:vAlign w:val="center"/>
          </w:tcPr>
          <w:p>
            <w:pPr>
              <w:pStyle w:val="2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生态效益指标</w:t>
            </w:r>
          </w:p>
        </w:tc>
        <w:tc>
          <w:tcPr>
            <w:tcW w:w="2466" w:type="dxa"/>
            <w:vAlign w:val="center"/>
          </w:tcPr>
          <w:p>
            <w:pPr>
              <w:pStyle w:val="25"/>
            </w:pPr>
            <w:r>
              <w:t>林业有害生物成灾控制率</w:t>
            </w:r>
          </w:p>
        </w:tc>
        <w:tc>
          <w:tcPr>
            <w:tcW w:w="2466" w:type="dxa"/>
            <w:vAlign w:val="center"/>
          </w:tcPr>
          <w:p>
            <w:pPr>
              <w:pStyle w:val="25"/>
            </w:pPr>
            <w:r>
              <w:t>全区林业有害生物灾害发生面积与全市森林面积的比率</w:t>
            </w:r>
          </w:p>
        </w:tc>
        <w:tc>
          <w:tcPr>
            <w:tcW w:w="2466" w:type="dxa"/>
            <w:vAlign w:val="center"/>
          </w:tcPr>
          <w:p>
            <w:pPr>
              <w:pStyle w:val="25"/>
            </w:pPr>
            <w:r>
              <w:t>≤10百分比</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调查问卷</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16、聘请第三方服务经费绩效目标表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1.聘请第三方服务机构提供专业服务所需经费</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单位项目数量</w:t>
            </w:r>
          </w:p>
        </w:tc>
        <w:tc>
          <w:tcPr>
            <w:tcW w:w="2466" w:type="dxa"/>
            <w:vAlign w:val="center"/>
          </w:tcPr>
          <w:p>
            <w:pPr>
              <w:pStyle w:val="25"/>
            </w:pPr>
            <w:r>
              <w:t>需要第三方机构来提供服务的项目数</w:t>
            </w:r>
          </w:p>
        </w:tc>
        <w:tc>
          <w:tcPr>
            <w:tcW w:w="2466" w:type="dxa"/>
            <w:vAlign w:val="center"/>
          </w:tcPr>
          <w:p>
            <w:pPr>
              <w:pStyle w:val="25"/>
            </w:pPr>
            <w:r>
              <w:t>40个</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项目开展完成率</w:t>
            </w:r>
          </w:p>
        </w:tc>
        <w:tc>
          <w:tcPr>
            <w:tcW w:w="2466" w:type="dxa"/>
            <w:vAlign w:val="center"/>
          </w:tcPr>
          <w:p>
            <w:pPr>
              <w:pStyle w:val="25"/>
            </w:pPr>
            <w:r>
              <w:t>实际实施的工作占所申请项目的总量</w:t>
            </w:r>
          </w:p>
        </w:tc>
        <w:tc>
          <w:tcPr>
            <w:tcW w:w="2466" w:type="dxa"/>
            <w:vAlign w:val="center"/>
          </w:tcPr>
          <w:p>
            <w:pPr>
              <w:pStyle w:val="25"/>
            </w:pPr>
            <w:r>
              <w:t>100%</w:t>
            </w:r>
          </w:p>
        </w:tc>
        <w:tc>
          <w:tcPr>
            <w:tcW w:w="2466" w:type="dxa"/>
            <w:vAlign w:val="center"/>
          </w:tcPr>
          <w:p>
            <w:pPr>
              <w:pStyle w:val="25"/>
            </w:pPr>
            <w:r>
              <w:t>验收报告及评审报告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项目开展及时性</w:t>
            </w:r>
          </w:p>
        </w:tc>
        <w:tc>
          <w:tcPr>
            <w:tcW w:w="2466" w:type="dxa"/>
            <w:vAlign w:val="center"/>
          </w:tcPr>
          <w:p>
            <w:pPr>
              <w:pStyle w:val="25"/>
            </w:pPr>
            <w:r>
              <w:t>可以及时聘请第三方机构完成项目的开展运行</w:t>
            </w:r>
          </w:p>
        </w:tc>
        <w:tc>
          <w:tcPr>
            <w:tcW w:w="2466" w:type="dxa"/>
            <w:vAlign w:val="center"/>
          </w:tcPr>
          <w:p>
            <w:pPr>
              <w:pStyle w:val="25"/>
            </w:pPr>
            <w:r>
              <w:t>及时开展</w:t>
            </w:r>
          </w:p>
        </w:tc>
        <w:tc>
          <w:tcPr>
            <w:tcW w:w="2466" w:type="dxa"/>
            <w:vAlign w:val="center"/>
          </w:tcPr>
          <w:p>
            <w:pPr>
              <w:pStyle w:val="25"/>
            </w:pPr>
            <w:r>
              <w:t>合同约定实施进度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资金成本</w:t>
            </w:r>
          </w:p>
        </w:tc>
        <w:tc>
          <w:tcPr>
            <w:tcW w:w="2466" w:type="dxa"/>
            <w:vAlign w:val="center"/>
          </w:tcPr>
          <w:p>
            <w:pPr>
              <w:pStyle w:val="25"/>
            </w:pPr>
            <w:r>
              <w:t>聘请第三方机构所需资金数额</w:t>
            </w:r>
          </w:p>
        </w:tc>
        <w:tc>
          <w:tcPr>
            <w:tcW w:w="2466" w:type="dxa"/>
            <w:vAlign w:val="center"/>
          </w:tcPr>
          <w:p>
            <w:pPr>
              <w:pStyle w:val="25"/>
            </w:pPr>
            <w:r>
              <w:t>3600万元</w:t>
            </w:r>
          </w:p>
        </w:tc>
        <w:tc>
          <w:tcPr>
            <w:tcW w:w="2466" w:type="dxa"/>
            <w:vAlign w:val="center"/>
          </w:tcPr>
          <w:p>
            <w:pPr>
              <w:pStyle w:val="25"/>
            </w:pPr>
            <w:r>
              <w:t>合同规定及领导批示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经济效益指标</w:t>
            </w:r>
          </w:p>
        </w:tc>
        <w:tc>
          <w:tcPr>
            <w:tcW w:w="2466" w:type="dxa"/>
            <w:vAlign w:val="center"/>
          </w:tcPr>
          <w:p>
            <w:pPr>
              <w:pStyle w:val="25"/>
            </w:pPr>
            <w:r>
              <w:t>第三方提供专业服务</w:t>
            </w:r>
          </w:p>
        </w:tc>
        <w:tc>
          <w:tcPr>
            <w:tcW w:w="2466" w:type="dxa"/>
            <w:vAlign w:val="center"/>
          </w:tcPr>
          <w:p>
            <w:pPr>
              <w:pStyle w:val="25"/>
            </w:pPr>
            <w:r>
              <w:t>第三方提供专业服务对项目所带来的经济效益</w:t>
            </w:r>
          </w:p>
        </w:tc>
        <w:tc>
          <w:tcPr>
            <w:tcW w:w="2466" w:type="dxa"/>
            <w:vAlign w:val="center"/>
          </w:tcPr>
          <w:p>
            <w:pPr>
              <w:pStyle w:val="25"/>
            </w:pPr>
            <w:r>
              <w:t>提供专业服务</w:t>
            </w:r>
          </w:p>
        </w:tc>
        <w:tc>
          <w:tcPr>
            <w:tcW w:w="2466" w:type="dxa"/>
            <w:vAlign w:val="center"/>
          </w:tcPr>
          <w:p>
            <w:pPr>
              <w:pStyle w:val="25"/>
            </w:pPr>
            <w:r>
              <w:t>签订合同约定的服务内容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对机构服务的满意度</w:t>
            </w:r>
          </w:p>
        </w:tc>
        <w:tc>
          <w:tcPr>
            <w:tcW w:w="2466" w:type="dxa"/>
            <w:vAlign w:val="center"/>
          </w:tcPr>
          <w:p>
            <w:pPr>
              <w:pStyle w:val="25"/>
            </w:pPr>
            <w:r>
              <w:t>第三方开展工作的满意数量占所开展项目数量的比率</w:t>
            </w:r>
          </w:p>
        </w:tc>
        <w:tc>
          <w:tcPr>
            <w:tcW w:w="2466" w:type="dxa"/>
            <w:vAlign w:val="center"/>
          </w:tcPr>
          <w:p>
            <w:pPr>
              <w:pStyle w:val="25"/>
            </w:pPr>
            <w:r>
              <w:t>≥90%</w:t>
            </w:r>
          </w:p>
        </w:tc>
        <w:tc>
          <w:tcPr>
            <w:tcW w:w="2466" w:type="dxa"/>
            <w:vAlign w:val="center"/>
          </w:tcPr>
          <w:p>
            <w:pPr>
              <w:pStyle w:val="25"/>
            </w:pPr>
            <w:r>
              <w:t>调查表</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17、三环路绿化带占地补绩效目标表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1.三环路两侧进行林带建设，打造通道两侧绿色通行廊道。</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造林面积</w:t>
            </w:r>
          </w:p>
        </w:tc>
        <w:tc>
          <w:tcPr>
            <w:tcW w:w="2466" w:type="dxa"/>
            <w:vAlign w:val="center"/>
          </w:tcPr>
          <w:p>
            <w:pPr>
              <w:pStyle w:val="25"/>
            </w:pPr>
            <w:r>
              <w:t>三环路绿化造林面积</w:t>
            </w:r>
          </w:p>
        </w:tc>
        <w:tc>
          <w:tcPr>
            <w:tcW w:w="2466" w:type="dxa"/>
            <w:vAlign w:val="center"/>
          </w:tcPr>
          <w:p>
            <w:pPr>
              <w:pStyle w:val="25"/>
            </w:pPr>
            <w:r>
              <w:t>375亩</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造林合格面积完成率</w:t>
            </w:r>
          </w:p>
        </w:tc>
        <w:tc>
          <w:tcPr>
            <w:tcW w:w="2466" w:type="dxa"/>
            <w:vAlign w:val="center"/>
          </w:tcPr>
          <w:p>
            <w:pPr>
              <w:pStyle w:val="25"/>
            </w:pPr>
            <w:r>
              <w:t>造林合格面积占完成造林面积的比率</w:t>
            </w:r>
          </w:p>
        </w:tc>
        <w:tc>
          <w:tcPr>
            <w:tcW w:w="2466" w:type="dxa"/>
            <w:vAlign w:val="center"/>
          </w:tcPr>
          <w:p>
            <w:pPr>
              <w:pStyle w:val="25"/>
            </w:pPr>
            <w:r>
              <w:t>≥95百分比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三环路绿化带占地补贴兑现时间</w:t>
            </w:r>
          </w:p>
        </w:tc>
        <w:tc>
          <w:tcPr>
            <w:tcW w:w="2466" w:type="dxa"/>
            <w:vAlign w:val="center"/>
          </w:tcPr>
          <w:p>
            <w:pPr>
              <w:pStyle w:val="25"/>
            </w:pPr>
            <w:r>
              <w:t>2022年12月31日前完成</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补贴标准</w:t>
            </w:r>
          </w:p>
        </w:tc>
        <w:tc>
          <w:tcPr>
            <w:tcW w:w="2466" w:type="dxa"/>
            <w:vAlign w:val="center"/>
          </w:tcPr>
          <w:p>
            <w:pPr>
              <w:pStyle w:val="25"/>
            </w:pPr>
            <w:r>
              <w:t>每亩每年占地补贴</w:t>
            </w:r>
          </w:p>
        </w:tc>
        <w:tc>
          <w:tcPr>
            <w:tcW w:w="2466" w:type="dxa"/>
            <w:vAlign w:val="center"/>
          </w:tcPr>
          <w:p>
            <w:pPr>
              <w:pStyle w:val="25"/>
            </w:pPr>
            <w:r>
              <w:t>200元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18、省县道绿化带占地补绩效目标表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1.对省县道两侧进行林带建设，打造道路两侧绿色通行廊道。</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造林绿化面积</w:t>
            </w:r>
          </w:p>
        </w:tc>
        <w:tc>
          <w:tcPr>
            <w:tcW w:w="2466" w:type="dxa"/>
            <w:vAlign w:val="center"/>
          </w:tcPr>
          <w:p>
            <w:pPr>
              <w:pStyle w:val="25"/>
            </w:pPr>
            <w:r>
              <w:t>省县道绿化面积</w:t>
            </w:r>
          </w:p>
        </w:tc>
        <w:tc>
          <w:tcPr>
            <w:tcW w:w="2466" w:type="dxa"/>
            <w:vAlign w:val="center"/>
          </w:tcPr>
          <w:p>
            <w:pPr>
              <w:pStyle w:val="25"/>
            </w:pPr>
            <w:r>
              <w:t>4138亩</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造林合格面积完成率</w:t>
            </w:r>
          </w:p>
        </w:tc>
        <w:tc>
          <w:tcPr>
            <w:tcW w:w="2466" w:type="dxa"/>
            <w:vAlign w:val="center"/>
          </w:tcPr>
          <w:p>
            <w:pPr>
              <w:pStyle w:val="25"/>
            </w:pPr>
            <w:r>
              <w:t>造林合格面积占完成造林面积的比率</w:t>
            </w:r>
          </w:p>
        </w:tc>
        <w:tc>
          <w:tcPr>
            <w:tcW w:w="2466" w:type="dxa"/>
            <w:vAlign w:val="center"/>
          </w:tcPr>
          <w:p>
            <w:pPr>
              <w:pStyle w:val="25"/>
            </w:pPr>
            <w:r>
              <w:t>≥95百分比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占地补贴兑现时间</w:t>
            </w:r>
          </w:p>
        </w:tc>
        <w:tc>
          <w:tcPr>
            <w:tcW w:w="2466" w:type="dxa"/>
            <w:vAlign w:val="center"/>
          </w:tcPr>
          <w:p>
            <w:pPr>
              <w:pStyle w:val="25"/>
            </w:pPr>
            <w:r>
              <w:t>2022年12月31日前兑现占地补贴</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补贴标准</w:t>
            </w:r>
          </w:p>
        </w:tc>
        <w:tc>
          <w:tcPr>
            <w:tcW w:w="2466" w:type="dxa"/>
            <w:vAlign w:val="center"/>
          </w:tcPr>
          <w:p>
            <w:pPr>
              <w:pStyle w:val="25"/>
            </w:pPr>
            <w:r>
              <w:t>每亩每年占地补贴</w:t>
            </w:r>
          </w:p>
        </w:tc>
        <w:tc>
          <w:tcPr>
            <w:tcW w:w="2466" w:type="dxa"/>
            <w:vAlign w:val="center"/>
          </w:tcPr>
          <w:p>
            <w:pPr>
              <w:pStyle w:val="25"/>
            </w:pPr>
            <w:r>
              <w:t>600元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生态效益指标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19、石财农[2020]113号关于提前下达2021年市级林业改革发展补助资金的通知（三环路绿化租地费）绩效目标表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1.三环路两侧进行林带建设</w:t>
            </w:r>
          </w:p>
          <w:p>
            <w:pPr>
              <w:pStyle w:val="25"/>
            </w:pPr>
            <w:r>
              <w:t>2.打造两侧绿化通道</w:t>
            </w:r>
          </w:p>
          <w:p>
            <w:pPr>
              <w:pStyle w:val="25"/>
            </w:pPr>
            <w:r>
              <w:t>3.拨付租地费用</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造林面积</w:t>
            </w:r>
          </w:p>
        </w:tc>
        <w:tc>
          <w:tcPr>
            <w:tcW w:w="2466" w:type="dxa"/>
            <w:vAlign w:val="center"/>
          </w:tcPr>
          <w:p>
            <w:pPr>
              <w:pStyle w:val="25"/>
            </w:pPr>
            <w:r>
              <w:t>三环路绿化造林面积</w:t>
            </w:r>
          </w:p>
        </w:tc>
        <w:tc>
          <w:tcPr>
            <w:tcW w:w="2466" w:type="dxa"/>
            <w:vAlign w:val="center"/>
          </w:tcPr>
          <w:p>
            <w:pPr>
              <w:pStyle w:val="25"/>
            </w:pPr>
            <w:r>
              <w:t>375亩</w:t>
            </w:r>
          </w:p>
        </w:tc>
        <w:tc>
          <w:tcPr>
            <w:tcW w:w="2466" w:type="dxa"/>
            <w:vAlign w:val="center"/>
          </w:tcPr>
          <w:p>
            <w:pPr>
              <w:pStyle w:val="25"/>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每亩每年补贴</w:t>
            </w:r>
          </w:p>
        </w:tc>
        <w:tc>
          <w:tcPr>
            <w:tcW w:w="2466" w:type="dxa"/>
            <w:vAlign w:val="center"/>
          </w:tcPr>
          <w:p>
            <w:pPr>
              <w:pStyle w:val="25"/>
            </w:pPr>
            <w:r>
              <w:t>三环路每亩每年补贴金额</w:t>
            </w:r>
          </w:p>
        </w:tc>
        <w:tc>
          <w:tcPr>
            <w:tcW w:w="2466" w:type="dxa"/>
            <w:vAlign w:val="center"/>
          </w:tcPr>
          <w:p>
            <w:pPr>
              <w:pStyle w:val="25"/>
            </w:pPr>
            <w:r>
              <w:t>1000元</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造林合格面积完成率</w:t>
            </w:r>
          </w:p>
        </w:tc>
        <w:tc>
          <w:tcPr>
            <w:tcW w:w="2466" w:type="dxa"/>
            <w:vAlign w:val="center"/>
          </w:tcPr>
          <w:p>
            <w:pPr>
              <w:pStyle w:val="25"/>
            </w:pPr>
            <w:r>
              <w:t>造林合格面积占完成造林面积的比率</w:t>
            </w:r>
          </w:p>
        </w:tc>
        <w:tc>
          <w:tcPr>
            <w:tcW w:w="2466" w:type="dxa"/>
            <w:vAlign w:val="center"/>
          </w:tcPr>
          <w:p>
            <w:pPr>
              <w:pStyle w:val="25"/>
            </w:pPr>
            <w:r>
              <w:t>≥95百分比</w:t>
            </w:r>
          </w:p>
        </w:tc>
        <w:tc>
          <w:tcPr>
            <w:tcW w:w="2466" w:type="dxa"/>
            <w:vAlign w:val="center"/>
          </w:tcPr>
          <w:p>
            <w:pPr>
              <w:pStyle w:val="25"/>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三环路绿化带占地补贴兑现时间</w:t>
            </w:r>
          </w:p>
        </w:tc>
        <w:tc>
          <w:tcPr>
            <w:tcW w:w="2466" w:type="dxa"/>
            <w:vAlign w:val="center"/>
          </w:tcPr>
          <w:p>
            <w:pPr>
              <w:pStyle w:val="25"/>
            </w:pPr>
            <w:r>
              <w:t>及时完成</w:t>
            </w:r>
          </w:p>
        </w:tc>
        <w:tc>
          <w:tcPr>
            <w:tcW w:w="2466" w:type="dxa"/>
            <w:vAlign w:val="center"/>
          </w:tcPr>
          <w:p>
            <w:pPr>
              <w:pStyle w:val="25"/>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群众调查</w:t>
            </w:r>
          </w:p>
          <w:p>
            <w:pPr>
              <w:pStyle w:val="25"/>
            </w:pP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20、石财农[2021]86号提前下达2022年市级林业改革发展补助资金(太行山高速公路和京昆高速公路及京石高铁两侧绿化补助资金）绩效目标表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1.完成造林绿化面积8696亩</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造林面积</w:t>
            </w:r>
          </w:p>
        </w:tc>
        <w:tc>
          <w:tcPr>
            <w:tcW w:w="2466" w:type="dxa"/>
            <w:vAlign w:val="center"/>
          </w:tcPr>
          <w:p>
            <w:pPr>
              <w:pStyle w:val="25"/>
            </w:pPr>
            <w:r>
              <w:t>绿化造林面积</w:t>
            </w:r>
          </w:p>
        </w:tc>
        <w:tc>
          <w:tcPr>
            <w:tcW w:w="2466" w:type="dxa"/>
            <w:vAlign w:val="center"/>
          </w:tcPr>
          <w:p>
            <w:pPr>
              <w:pStyle w:val="25"/>
            </w:pPr>
            <w:r>
              <w:t>8696亩</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造林合格面积完成率</w:t>
            </w:r>
          </w:p>
        </w:tc>
        <w:tc>
          <w:tcPr>
            <w:tcW w:w="2466" w:type="dxa"/>
            <w:vAlign w:val="center"/>
          </w:tcPr>
          <w:p>
            <w:pPr>
              <w:pStyle w:val="25"/>
            </w:pPr>
            <w:r>
              <w:t>造林合格面积占完成造林面积的比率</w:t>
            </w:r>
          </w:p>
        </w:tc>
        <w:tc>
          <w:tcPr>
            <w:tcW w:w="2466" w:type="dxa"/>
            <w:vAlign w:val="center"/>
          </w:tcPr>
          <w:p>
            <w:pPr>
              <w:pStyle w:val="25"/>
            </w:pPr>
            <w:r>
              <w:t>≥95百分比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绿化带占地补贴兑现时间</w:t>
            </w:r>
          </w:p>
        </w:tc>
        <w:tc>
          <w:tcPr>
            <w:tcW w:w="2466" w:type="dxa"/>
            <w:vAlign w:val="center"/>
          </w:tcPr>
          <w:p>
            <w:pPr>
              <w:pStyle w:val="25"/>
            </w:pPr>
            <w:r>
              <w:t>2022年12月31日前完成</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补贴标准</w:t>
            </w:r>
          </w:p>
        </w:tc>
        <w:tc>
          <w:tcPr>
            <w:tcW w:w="2466" w:type="dxa"/>
            <w:vAlign w:val="center"/>
          </w:tcPr>
          <w:p>
            <w:pPr>
              <w:pStyle w:val="25"/>
            </w:pPr>
            <w:r>
              <w:t>每亩每年占地补贴</w:t>
            </w:r>
          </w:p>
        </w:tc>
        <w:tc>
          <w:tcPr>
            <w:tcW w:w="2466" w:type="dxa"/>
            <w:vAlign w:val="center"/>
          </w:tcPr>
          <w:p>
            <w:pPr>
              <w:pStyle w:val="25"/>
            </w:pPr>
            <w:r>
              <w:t>600元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21、石财农[2021]86号提前下达2022年市级林业改革发展补助资金（环城绿化林带建设资金）绩效目标表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1.环城绿化带造林面积31797亩</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造林面积</w:t>
            </w:r>
          </w:p>
        </w:tc>
        <w:tc>
          <w:tcPr>
            <w:tcW w:w="2466" w:type="dxa"/>
            <w:vAlign w:val="center"/>
          </w:tcPr>
          <w:p>
            <w:pPr>
              <w:pStyle w:val="25"/>
            </w:pPr>
            <w:r>
              <w:t>环城绿化林带造林面积</w:t>
            </w:r>
          </w:p>
        </w:tc>
        <w:tc>
          <w:tcPr>
            <w:tcW w:w="2466" w:type="dxa"/>
            <w:vAlign w:val="center"/>
          </w:tcPr>
          <w:p>
            <w:pPr>
              <w:pStyle w:val="25"/>
            </w:pPr>
            <w:r>
              <w:t>31797.1亩</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造林完成面积合格率</w:t>
            </w:r>
          </w:p>
        </w:tc>
        <w:tc>
          <w:tcPr>
            <w:tcW w:w="2466" w:type="dxa"/>
            <w:vAlign w:val="center"/>
          </w:tcPr>
          <w:p>
            <w:pPr>
              <w:pStyle w:val="25"/>
            </w:pPr>
            <w:r>
              <w:t>造林合格面积占完成造林面积的比率</w:t>
            </w:r>
          </w:p>
        </w:tc>
        <w:tc>
          <w:tcPr>
            <w:tcW w:w="2466" w:type="dxa"/>
            <w:vAlign w:val="center"/>
          </w:tcPr>
          <w:p>
            <w:pPr>
              <w:pStyle w:val="25"/>
            </w:pPr>
            <w:r>
              <w:t>≥95百分比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三环路绿化带占地补贴兑现时间</w:t>
            </w:r>
          </w:p>
        </w:tc>
        <w:tc>
          <w:tcPr>
            <w:tcW w:w="2466" w:type="dxa"/>
            <w:vAlign w:val="center"/>
          </w:tcPr>
          <w:p>
            <w:pPr>
              <w:pStyle w:val="25"/>
            </w:pPr>
            <w:r>
              <w:t>2022年12月31日前完成</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补贴标准</w:t>
            </w:r>
          </w:p>
        </w:tc>
        <w:tc>
          <w:tcPr>
            <w:tcW w:w="2466" w:type="dxa"/>
            <w:vAlign w:val="center"/>
          </w:tcPr>
          <w:p>
            <w:pPr>
              <w:pStyle w:val="25"/>
            </w:pPr>
            <w:r>
              <w:t>每亩每年补贴</w:t>
            </w:r>
          </w:p>
        </w:tc>
        <w:tc>
          <w:tcPr>
            <w:tcW w:w="2466" w:type="dxa"/>
            <w:vAlign w:val="center"/>
          </w:tcPr>
          <w:p>
            <w:pPr>
              <w:pStyle w:val="25"/>
            </w:pPr>
            <w:r>
              <w:t>600元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22、石财农[2021]86号提前下达2022年市级林业改革发展补助资金（林业技术普及与推广补助资金）绩效目标表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1.石财农【2021】86号提前下达2022年市级林业改革发展补助资金（林业技术普及与推广）5万元，用于建设示范基地</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建设示范地个数</w:t>
            </w:r>
          </w:p>
        </w:tc>
        <w:tc>
          <w:tcPr>
            <w:tcW w:w="2466" w:type="dxa"/>
            <w:vAlign w:val="center"/>
          </w:tcPr>
          <w:p>
            <w:pPr>
              <w:pStyle w:val="25"/>
            </w:pPr>
            <w:r>
              <w:t>建设林业技术普及与推广示范基地个数</w:t>
            </w:r>
          </w:p>
        </w:tc>
        <w:tc>
          <w:tcPr>
            <w:tcW w:w="2466" w:type="dxa"/>
            <w:vAlign w:val="center"/>
          </w:tcPr>
          <w:p>
            <w:pPr>
              <w:pStyle w:val="25"/>
            </w:pPr>
            <w:r>
              <w:t>1个</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标准使用率</w:t>
            </w:r>
          </w:p>
        </w:tc>
        <w:tc>
          <w:tcPr>
            <w:tcW w:w="2466" w:type="dxa"/>
            <w:vAlign w:val="center"/>
          </w:tcPr>
          <w:p>
            <w:pPr>
              <w:pStyle w:val="25"/>
            </w:pPr>
            <w:r>
              <w:t>林业科技推广示范的标准使用率</w:t>
            </w:r>
          </w:p>
        </w:tc>
        <w:tc>
          <w:tcPr>
            <w:tcW w:w="2466" w:type="dxa"/>
            <w:vAlign w:val="center"/>
          </w:tcPr>
          <w:p>
            <w:pPr>
              <w:pStyle w:val="25"/>
            </w:pPr>
            <w:r>
              <w:t>≥90%</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当期建成率</w:t>
            </w:r>
          </w:p>
        </w:tc>
        <w:tc>
          <w:tcPr>
            <w:tcW w:w="2466" w:type="dxa"/>
            <w:vAlign w:val="center"/>
          </w:tcPr>
          <w:p>
            <w:pPr>
              <w:pStyle w:val="25"/>
            </w:pPr>
            <w:r>
              <w:t>林业技术普及与推广示范基地当期建成率</w:t>
            </w:r>
          </w:p>
        </w:tc>
        <w:tc>
          <w:tcPr>
            <w:tcW w:w="2466" w:type="dxa"/>
            <w:vAlign w:val="center"/>
          </w:tcPr>
          <w:p>
            <w:pPr>
              <w:pStyle w:val="25"/>
            </w:pPr>
            <w:r>
              <w:t>≥90%</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所需费用</w:t>
            </w:r>
          </w:p>
        </w:tc>
        <w:tc>
          <w:tcPr>
            <w:tcW w:w="2466" w:type="dxa"/>
            <w:vAlign w:val="center"/>
          </w:tcPr>
          <w:p>
            <w:pPr>
              <w:pStyle w:val="25"/>
            </w:pPr>
            <w:r>
              <w:t>建设基地所需费用</w:t>
            </w:r>
          </w:p>
        </w:tc>
        <w:tc>
          <w:tcPr>
            <w:tcW w:w="2466" w:type="dxa"/>
            <w:vAlign w:val="center"/>
          </w:tcPr>
          <w:p>
            <w:pPr>
              <w:pStyle w:val="25"/>
            </w:pPr>
            <w:r>
              <w:t>5万元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林业发展影响</w:t>
            </w:r>
          </w:p>
        </w:tc>
        <w:tc>
          <w:tcPr>
            <w:tcW w:w="2466" w:type="dxa"/>
            <w:vAlign w:val="center"/>
          </w:tcPr>
          <w:p>
            <w:pPr>
              <w:pStyle w:val="25"/>
            </w:pPr>
            <w:r>
              <w:t>林业产业健康稳定发展可持续性影响</w:t>
            </w:r>
          </w:p>
        </w:tc>
        <w:tc>
          <w:tcPr>
            <w:tcW w:w="2466" w:type="dxa"/>
            <w:vAlign w:val="center"/>
          </w:tcPr>
          <w:p>
            <w:pPr>
              <w:pStyle w:val="25"/>
            </w:pPr>
            <w:r>
              <w:t>明显</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受益对象满意度</w:t>
            </w:r>
          </w:p>
        </w:tc>
        <w:tc>
          <w:tcPr>
            <w:tcW w:w="2466" w:type="dxa"/>
            <w:vAlign w:val="center"/>
          </w:tcPr>
          <w:p>
            <w:pPr>
              <w:pStyle w:val="25"/>
            </w:pPr>
            <w:r>
              <w:t>项目参与人员及周边群众满意度</w:t>
            </w:r>
          </w:p>
        </w:tc>
        <w:tc>
          <w:tcPr>
            <w:tcW w:w="2466" w:type="dxa"/>
            <w:vAlign w:val="center"/>
          </w:tcPr>
          <w:p>
            <w:pPr>
              <w:pStyle w:val="25"/>
            </w:pPr>
            <w:r>
              <w:t>≥90%</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23、石财农[2021]86号提前下达2022年市级林业改革发展补助资金（三环路绿化租地及养护费）绩效目标表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1.三环路造林面积375亩</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造林面积</w:t>
            </w:r>
          </w:p>
        </w:tc>
        <w:tc>
          <w:tcPr>
            <w:tcW w:w="2466" w:type="dxa"/>
            <w:vAlign w:val="center"/>
          </w:tcPr>
          <w:p>
            <w:pPr>
              <w:pStyle w:val="25"/>
            </w:pPr>
            <w:r>
              <w:t>三环路绿化造林面积</w:t>
            </w:r>
          </w:p>
        </w:tc>
        <w:tc>
          <w:tcPr>
            <w:tcW w:w="2466" w:type="dxa"/>
            <w:vAlign w:val="center"/>
          </w:tcPr>
          <w:p>
            <w:pPr>
              <w:pStyle w:val="25"/>
            </w:pPr>
            <w:r>
              <w:t>375亩</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造林合格面积完成率</w:t>
            </w:r>
          </w:p>
        </w:tc>
        <w:tc>
          <w:tcPr>
            <w:tcW w:w="2466" w:type="dxa"/>
            <w:vAlign w:val="center"/>
          </w:tcPr>
          <w:p>
            <w:pPr>
              <w:pStyle w:val="25"/>
            </w:pPr>
            <w:r>
              <w:t>造林合格面积占完成造林面积的比率</w:t>
            </w:r>
          </w:p>
        </w:tc>
        <w:tc>
          <w:tcPr>
            <w:tcW w:w="2466" w:type="dxa"/>
            <w:vAlign w:val="center"/>
          </w:tcPr>
          <w:p>
            <w:pPr>
              <w:pStyle w:val="25"/>
            </w:pPr>
            <w:r>
              <w:t>≥95百分比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三环路绿化带占地补贴兑现时间</w:t>
            </w:r>
          </w:p>
        </w:tc>
        <w:tc>
          <w:tcPr>
            <w:tcW w:w="2466" w:type="dxa"/>
            <w:vAlign w:val="center"/>
          </w:tcPr>
          <w:p>
            <w:pPr>
              <w:pStyle w:val="25"/>
            </w:pPr>
            <w:r>
              <w:t>2022年12月31日前完成</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补贴标准</w:t>
            </w:r>
          </w:p>
        </w:tc>
        <w:tc>
          <w:tcPr>
            <w:tcW w:w="2466" w:type="dxa"/>
            <w:vAlign w:val="center"/>
          </w:tcPr>
          <w:p>
            <w:pPr>
              <w:pStyle w:val="25"/>
            </w:pPr>
            <w:r>
              <w:t>每亩每年占地补贴</w:t>
            </w:r>
          </w:p>
        </w:tc>
        <w:tc>
          <w:tcPr>
            <w:tcW w:w="2466" w:type="dxa"/>
            <w:vAlign w:val="center"/>
          </w:tcPr>
          <w:p>
            <w:pPr>
              <w:pStyle w:val="25"/>
            </w:pPr>
            <w:r>
              <w:t>200元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24、石财农[2021]95号提前下达2022年中央财政林业改革发展资金(林业有害生物防治绩效目标表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1.有效控制林业病虫害的发生</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林业有害生物的防治、检疫工作完成率</w:t>
            </w:r>
          </w:p>
        </w:tc>
        <w:tc>
          <w:tcPr>
            <w:tcW w:w="2466" w:type="dxa"/>
            <w:vAlign w:val="center"/>
          </w:tcPr>
          <w:p>
            <w:pPr>
              <w:pStyle w:val="25"/>
            </w:pPr>
            <w:r>
              <w:t>产地检疫工作完成面积占计划的比例</w:t>
            </w:r>
          </w:p>
        </w:tc>
        <w:tc>
          <w:tcPr>
            <w:tcW w:w="2466" w:type="dxa"/>
            <w:vAlign w:val="center"/>
          </w:tcPr>
          <w:p>
            <w:pPr>
              <w:pStyle w:val="25"/>
            </w:pPr>
            <w:r>
              <w:t>≥90百分比</w:t>
            </w:r>
          </w:p>
        </w:tc>
        <w:tc>
          <w:tcPr>
            <w:tcW w:w="2466" w:type="dxa"/>
            <w:vAlign w:val="center"/>
          </w:tcPr>
          <w:p>
            <w:pPr>
              <w:pStyle w:val="25"/>
            </w:pPr>
            <w:r>
              <w:t>总结或报告单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病虫害预测预报准确率</w:t>
            </w:r>
          </w:p>
        </w:tc>
        <w:tc>
          <w:tcPr>
            <w:tcW w:w="2466" w:type="dxa"/>
            <w:vAlign w:val="center"/>
          </w:tcPr>
          <w:p>
            <w:pPr>
              <w:pStyle w:val="25"/>
            </w:pPr>
            <w:r>
              <w:t>林业有害生物预测发生面积与实际发生面积比例</w:t>
            </w:r>
          </w:p>
        </w:tc>
        <w:tc>
          <w:tcPr>
            <w:tcW w:w="2466" w:type="dxa"/>
            <w:vAlign w:val="center"/>
          </w:tcPr>
          <w:p>
            <w:pPr>
              <w:pStyle w:val="25"/>
            </w:pPr>
            <w:r>
              <w:t>≥85百分比</w:t>
            </w:r>
          </w:p>
        </w:tc>
        <w:tc>
          <w:tcPr>
            <w:tcW w:w="2466" w:type="dxa"/>
            <w:vAlign w:val="center"/>
          </w:tcPr>
          <w:p>
            <w:pPr>
              <w:pStyle w:val="25"/>
            </w:pPr>
            <w:r>
              <w:t>总结或报告单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费用支出时间</w:t>
            </w:r>
          </w:p>
        </w:tc>
        <w:tc>
          <w:tcPr>
            <w:tcW w:w="2466" w:type="dxa"/>
            <w:vAlign w:val="center"/>
          </w:tcPr>
          <w:p>
            <w:pPr>
              <w:pStyle w:val="25"/>
            </w:pPr>
            <w:r>
              <w:t>及时支出</w:t>
            </w:r>
          </w:p>
        </w:tc>
        <w:tc>
          <w:tcPr>
            <w:tcW w:w="2466" w:type="dxa"/>
            <w:vAlign w:val="center"/>
          </w:tcPr>
          <w:p>
            <w:pPr>
              <w:pStyle w:val="25"/>
            </w:pPr>
            <w:r>
              <w:t>支付凭证及合同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所需费用</w:t>
            </w:r>
          </w:p>
        </w:tc>
        <w:tc>
          <w:tcPr>
            <w:tcW w:w="2466" w:type="dxa"/>
            <w:vAlign w:val="center"/>
          </w:tcPr>
          <w:p>
            <w:pPr>
              <w:pStyle w:val="25"/>
            </w:pPr>
            <w:r>
              <w:t>用于林业病虫害防治过程中产生的人工、机械、药品费用</w:t>
            </w:r>
          </w:p>
        </w:tc>
        <w:tc>
          <w:tcPr>
            <w:tcW w:w="2466" w:type="dxa"/>
            <w:vAlign w:val="center"/>
          </w:tcPr>
          <w:p>
            <w:pPr>
              <w:pStyle w:val="25"/>
            </w:pPr>
            <w:r>
              <w:t>≤10万元</w:t>
            </w:r>
          </w:p>
        </w:tc>
        <w:tc>
          <w:tcPr>
            <w:tcW w:w="2466" w:type="dxa"/>
            <w:vAlign w:val="center"/>
          </w:tcPr>
          <w:p>
            <w:pPr>
              <w:pStyle w:val="25"/>
            </w:pPr>
            <w:r>
              <w:t>支付凭证及合同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生态效益指标</w:t>
            </w:r>
          </w:p>
        </w:tc>
        <w:tc>
          <w:tcPr>
            <w:tcW w:w="2466" w:type="dxa"/>
            <w:vAlign w:val="center"/>
          </w:tcPr>
          <w:p>
            <w:pPr>
              <w:pStyle w:val="25"/>
            </w:pPr>
            <w:r>
              <w:t>林业有害生物成灾控制率</w:t>
            </w:r>
          </w:p>
        </w:tc>
        <w:tc>
          <w:tcPr>
            <w:tcW w:w="2466" w:type="dxa"/>
            <w:vAlign w:val="center"/>
          </w:tcPr>
          <w:p>
            <w:pPr>
              <w:pStyle w:val="25"/>
            </w:pPr>
            <w:r>
              <w:t>全区林业有害生物灾害发生面积与全市森林面积的比率</w:t>
            </w:r>
          </w:p>
        </w:tc>
        <w:tc>
          <w:tcPr>
            <w:tcW w:w="2466" w:type="dxa"/>
            <w:vAlign w:val="center"/>
          </w:tcPr>
          <w:p>
            <w:pPr>
              <w:pStyle w:val="25"/>
            </w:pPr>
            <w:r>
              <w:t>≤4千分比</w:t>
            </w:r>
          </w:p>
        </w:tc>
        <w:tc>
          <w:tcPr>
            <w:tcW w:w="2466" w:type="dxa"/>
            <w:vAlign w:val="center"/>
          </w:tcPr>
          <w:p>
            <w:pPr>
              <w:pStyle w:val="25"/>
            </w:pPr>
            <w:r>
              <w:t>总结或报告单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调查问卷</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25、石财农[2021]95号提前下达2022年中央财政林业改革发展资金（造林补助）绩效目标表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rPr>
                <w:rFonts w:hint="eastAsia" w:eastAsia="方正书宋_GBK"/>
                <w:lang w:eastAsia="zh-CN"/>
              </w:rPr>
            </w:pPr>
            <w:r>
              <w:t>1.</w:t>
            </w:r>
            <w:r>
              <w:rPr>
                <w:rFonts w:hint="eastAsia"/>
                <w:lang w:eastAsia="zh-CN"/>
              </w:rPr>
              <w:t>完成造林面积，促进林业产业健康发展</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造林面积</w:t>
            </w:r>
          </w:p>
        </w:tc>
        <w:tc>
          <w:tcPr>
            <w:tcW w:w="2466" w:type="dxa"/>
            <w:vAlign w:val="center"/>
          </w:tcPr>
          <w:p>
            <w:pPr>
              <w:pStyle w:val="25"/>
            </w:pPr>
            <w:r>
              <w:t>造林面积</w:t>
            </w:r>
          </w:p>
        </w:tc>
        <w:tc>
          <w:tcPr>
            <w:tcW w:w="2466" w:type="dxa"/>
            <w:vAlign w:val="center"/>
          </w:tcPr>
          <w:p>
            <w:pPr>
              <w:pStyle w:val="25"/>
            </w:pPr>
            <w:r>
              <w:t>0.4万亩</w:t>
            </w:r>
          </w:p>
        </w:tc>
        <w:tc>
          <w:tcPr>
            <w:tcW w:w="2466" w:type="dxa"/>
            <w:vAlign w:val="center"/>
          </w:tcPr>
          <w:p>
            <w:pPr>
              <w:pStyle w:val="25"/>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造林完成面积合格率</w:t>
            </w:r>
          </w:p>
        </w:tc>
        <w:tc>
          <w:tcPr>
            <w:tcW w:w="2466" w:type="dxa"/>
            <w:vAlign w:val="center"/>
          </w:tcPr>
          <w:p>
            <w:pPr>
              <w:pStyle w:val="25"/>
            </w:pPr>
            <w:r>
              <w:t>造林完成合格的面积占总面积比率</w:t>
            </w:r>
          </w:p>
        </w:tc>
        <w:tc>
          <w:tcPr>
            <w:tcW w:w="2466" w:type="dxa"/>
            <w:vAlign w:val="center"/>
          </w:tcPr>
          <w:p>
            <w:pPr>
              <w:pStyle w:val="25"/>
            </w:pPr>
            <w:r>
              <w:t>≥85%</w:t>
            </w:r>
          </w:p>
        </w:tc>
        <w:tc>
          <w:tcPr>
            <w:tcW w:w="2466" w:type="dxa"/>
            <w:vAlign w:val="center"/>
          </w:tcPr>
          <w:p>
            <w:pPr>
              <w:pStyle w:val="25"/>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造林当期任务完成率</w:t>
            </w:r>
          </w:p>
        </w:tc>
        <w:tc>
          <w:tcPr>
            <w:tcW w:w="2466" w:type="dxa"/>
            <w:vAlign w:val="center"/>
          </w:tcPr>
          <w:p>
            <w:pPr>
              <w:pStyle w:val="25"/>
            </w:pPr>
            <w:r>
              <w:t>≥90%</w:t>
            </w:r>
          </w:p>
        </w:tc>
        <w:tc>
          <w:tcPr>
            <w:tcW w:w="2466" w:type="dxa"/>
            <w:vAlign w:val="center"/>
          </w:tcPr>
          <w:p>
            <w:pPr>
              <w:pStyle w:val="25"/>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补助标准</w:t>
            </w:r>
          </w:p>
        </w:tc>
        <w:tc>
          <w:tcPr>
            <w:tcW w:w="2466" w:type="dxa"/>
            <w:vAlign w:val="center"/>
          </w:tcPr>
          <w:p>
            <w:pPr>
              <w:pStyle w:val="25"/>
            </w:pPr>
            <w:r>
              <w:t>造林中央补助标准</w:t>
            </w:r>
          </w:p>
        </w:tc>
        <w:tc>
          <w:tcPr>
            <w:tcW w:w="2466" w:type="dxa"/>
            <w:vAlign w:val="center"/>
          </w:tcPr>
          <w:p>
            <w:pPr>
              <w:pStyle w:val="25"/>
            </w:pPr>
            <w:r>
              <w:t>500元/亩</w:t>
            </w:r>
          </w:p>
        </w:tc>
        <w:tc>
          <w:tcPr>
            <w:tcW w:w="2466" w:type="dxa"/>
            <w:vAlign w:val="center"/>
          </w:tcPr>
          <w:p>
            <w:pPr>
              <w:pStyle w:val="25"/>
            </w:pPr>
            <w:r>
              <w:t>石财农【2021】95号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改善生态环境</w:t>
            </w:r>
          </w:p>
        </w:tc>
        <w:tc>
          <w:tcPr>
            <w:tcW w:w="2466" w:type="dxa"/>
            <w:vAlign w:val="center"/>
          </w:tcPr>
          <w:p>
            <w:pPr>
              <w:pStyle w:val="25"/>
            </w:pPr>
            <w:r>
              <w:t>林业产业健康稳定发展可持续影响</w:t>
            </w:r>
          </w:p>
        </w:tc>
        <w:tc>
          <w:tcPr>
            <w:tcW w:w="2466" w:type="dxa"/>
            <w:vAlign w:val="center"/>
          </w:tcPr>
          <w:p>
            <w:pPr>
              <w:pStyle w:val="25"/>
            </w:pPr>
            <w:r>
              <w:t>明显</w:t>
            </w:r>
          </w:p>
        </w:tc>
        <w:tc>
          <w:tcPr>
            <w:tcW w:w="2466" w:type="dxa"/>
            <w:vAlign w:val="center"/>
          </w:tcPr>
          <w:p>
            <w:pPr>
              <w:pStyle w:val="25"/>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项目区受益群众对项目的满意程度</w:t>
            </w:r>
          </w:p>
        </w:tc>
        <w:tc>
          <w:tcPr>
            <w:tcW w:w="2466" w:type="dxa"/>
            <w:vAlign w:val="center"/>
          </w:tcPr>
          <w:p>
            <w:pPr>
              <w:pStyle w:val="25"/>
            </w:pPr>
            <w:r>
              <w:t>≥80%</w:t>
            </w:r>
          </w:p>
        </w:tc>
        <w:tc>
          <w:tcPr>
            <w:tcW w:w="2466" w:type="dxa"/>
            <w:vAlign w:val="center"/>
          </w:tcPr>
          <w:p>
            <w:pPr>
              <w:pStyle w:val="25"/>
            </w:pPr>
            <w:r>
              <w:t>调查表</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26、石财农【2020】113号关于提前下达2021年市级林业改革发展补助资金的通知（高速公路及高速铁路等两侧绿色通道建设补助资金）绩效目标表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1.优化高速公路及高速铁路两侧环境</w:t>
            </w:r>
          </w:p>
          <w:p>
            <w:pPr>
              <w:pStyle w:val="25"/>
            </w:pPr>
            <w:r>
              <w:t>2.建设绿色通道</w:t>
            </w:r>
          </w:p>
          <w:p>
            <w:pPr>
              <w:pStyle w:val="25"/>
            </w:pPr>
            <w:r>
              <w:t>3.占地补助资金</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建设面积</w:t>
            </w:r>
          </w:p>
        </w:tc>
        <w:tc>
          <w:tcPr>
            <w:tcW w:w="2466" w:type="dxa"/>
            <w:vAlign w:val="center"/>
          </w:tcPr>
          <w:p>
            <w:pPr>
              <w:pStyle w:val="25"/>
            </w:pPr>
            <w:r>
              <w:t>公路两侧合计建设面积</w:t>
            </w:r>
          </w:p>
        </w:tc>
        <w:tc>
          <w:tcPr>
            <w:tcW w:w="2466" w:type="dxa"/>
            <w:vAlign w:val="center"/>
          </w:tcPr>
          <w:p>
            <w:pPr>
              <w:pStyle w:val="25"/>
            </w:pPr>
            <w:r>
              <w:t>32000亩</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每亩补贴金额</w:t>
            </w:r>
          </w:p>
        </w:tc>
        <w:tc>
          <w:tcPr>
            <w:tcW w:w="2466" w:type="dxa"/>
            <w:vAlign w:val="center"/>
          </w:tcPr>
          <w:p>
            <w:pPr>
              <w:pStyle w:val="25"/>
            </w:pPr>
            <w:r>
              <w:t>每亩每年补贴金额</w:t>
            </w:r>
          </w:p>
        </w:tc>
        <w:tc>
          <w:tcPr>
            <w:tcW w:w="2466" w:type="dxa"/>
            <w:vAlign w:val="center"/>
          </w:tcPr>
          <w:p>
            <w:pPr>
              <w:pStyle w:val="25"/>
            </w:pPr>
            <w:r>
              <w:t>600元</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建设面积完成率</w:t>
            </w:r>
          </w:p>
        </w:tc>
        <w:tc>
          <w:tcPr>
            <w:tcW w:w="2466" w:type="dxa"/>
            <w:vAlign w:val="center"/>
          </w:tcPr>
          <w:p>
            <w:pPr>
              <w:pStyle w:val="25"/>
            </w:pPr>
            <w:r>
              <w:t>建设合格面积占全部面积的比例</w:t>
            </w:r>
          </w:p>
        </w:tc>
        <w:tc>
          <w:tcPr>
            <w:tcW w:w="2466" w:type="dxa"/>
            <w:vAlign w:val="center"/>
          </w:tcPr>
          <w:p>
            <w:pPr>
              <w:pStyle w:val="25"/>
            </w:pPr>
            <w:r>
              <w:t>≥95百分比</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及时拨付占地补贴</w:t>
            </w:r>
          </w:p>
        </w:tc>
        <w:tc>
          <w:tcPr>
            <w:tcW w:w="2466" w:type="dxa"/>
            <w:vAlign w:val="center"/>
          </w:tcPr>
          <w:p>
            <w:pPr>
              <w:pStyle w:val="25"/>
            </w:pPr>
            <w:r>
              <w:t>及时拨付</w:t>
            </w:r>
          </w:p>
        </w:tc>
        <w:tc>
          <w:tcPr>
            <w:tcW w:w="2466" w:type="dxa"/>
            <w:vAlign w:val="center"/>
          </w:tcPr>
          <w:p>
            <w:pPr>
              <w:pStyle w:val="25"/>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生态效益指标</w:t>
            </w:r>
          </w:p>
        </w:tc>
        <w:tc>
          <w:tcPr>
            <w:tcW w:w="2466" w:type="dxa"/>
            <w:vAlign w:val="center"/>
          </w:tcPr>
          <w:p>
            <w:pPr>
              <w:pStyle w:val="25"/>
            </w:pPr>
            <w:r>
              <w:t>改善生态环境</w:t>
            </w:r>
          </w:p>
        </w:tc>
        <w:tc>
          <w:tcPr>
            <w:tcW w:w="2466" w:type="dxa"/>
            <w:vAlign w:val="center"/>
          </w:tcPr>
          <w:p>
            <w:pPr>
              <w:pStyle w:val="25"/>
            </w:pPr>
            <w:r>
              <w:t>改善全区生态环境，提升生态质量</w:t>
            </w:r>
          </w:p>
        </w:tc>
        <w:tc>
          <w:tcPr>
            <w:tcW w:w="2466" w:type="dxa"/>
            <w:vAlign w:val="center"/>
          </w:tcPr>
          <w:p>
            <w:pPr>
              <w:pStyle w:val="25"/>
            </w:pPr>
            <w:r>
              <w:t>提高全区绿化水平</w:t>
            </w:r>
          </w:p>
        </w:tc>
        <w:tc>
          <w:tcPr>
            <w:tcW w:w="2466" w:type="dxa"/>
            <w:vAlign w:val="center"/>
          </w:tcPr>
          <w:p>
            <w:pPr>
              <w:pStyle w:val="25"/>
            </w:pPr>
            <w:r>
              <w:t>森林覆盖率净增量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项目区受益群众对项目的满意度</w:t>
            </w:r>
          </w:p>
        </w:tc>
        <w:tc>
          <w:tcPr>
            <w:tcW w:w="2466" w:type="dxa"/>
            <w:vAlign w:val="center"/>
          </w:tcPr>
          <w:p>
            <w:pPr>
              <w:pStyle w:val="25"/>
            </w:pPr>
            <w:r>
              <w:t>≥95百分比</w:t>
            </w:r>
          </w:p>
        </w:tc>
        <w:tc>
          <w:tcPr>
            <w:tcW w:w="2466" w:type="dxa"/>
            <w:vAlign w:val="center"/>
          </w:tcPr>
          <w:p>
            <w:pPr>
              <w:pStyle w:val="25"/>
            </w:pPr>
            <w:r>
              <w:t>调查问卷</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27、石财农【2020】132号关于提前下达2021年省级林业改革发展补助资金的通行（林业有害生物防治）绩效目标表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1.有效控制林业有害生物的发生</w:t>
            </w:r>
          </w:p>
          <w:p>
            <w:pPr>
              <w:pStyle w:val="25"/>
            </w:pPr>
            <w:r>
              <w:t>2.成灾率控制在4‰以下</w:t>
            </w:r>
          </w:p>
          <w:p>
            <w:pPr>
              <w:pStyle w:val="25"/>
            </w:pPr>
            <w:r>
              <w:t>3.无公害防治达到85%以上</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林业有害生物的防治、检疫工作完成率</w:t>
            </w:r>
          </w:p>
        </w:tc>
        <w:tc>
          <w:tcPr>
            <w:tcW w:w="2466" w:type="dxa"/>
            <w:vAlign w:val="center"/>
          </w:tcPr>
          <w:p>
            <w:pPr>
              <w:pStyle w:val="25"/>
            </w:pPr>
            <w:r>
              <w:t>产地检疫工作完成面积占计划的比例</w:t>
            </w:r>
          </w:p>
        </w:tc>
        <w:tc>
          <w:tcPr>
            <w:tcW w:w="2466" w:type="dxa"/>
            <w:vAlign w:val="center"/>
          </w:tcPr>
          <w:p>
            <w:pPr>
              <w:pStyle w:val="25"/>
            </w:pPr>
            <w:r>
              <w:t>≥90百分比</w:t>
            </w:r>
          </w:p>
        </w:tc>
        <w:tc>
          <w:tcPr>
            <w:tcW w:w="2466" w:type="dxa"/>
            <w:vAlign w:val="center"/>
          </w:tcPr>
          <w:p>
            <w:pPr>
              <w:pStyle w:val="25"/>
            </w:pPr>
            <w:r>
              <w:t>总结或验收报告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有害生物防治所需费用</w:t>
            </w:r>
          </w:p>
        </w:tc>
        <w:tc>
          <w:tcPr>
            <w:tcW w:w="2466" w:type="dxa"/>
            <w:vAlign w:val="center"/>
          </w:tcPr>
          <w:p>
            <w:pPr>
              <w:pStyle w:val="25"/>
            </w:pPr>
            <w:r>
              <w:t>有害生物防治需要支出的费用</w:t>
            </w:r>
          </w:p>
        </w:tc>
        <w:tc>
          <w:tcPr>
            <w:tcW w:w="2466" w:type="dxa"/>
            <w:vAlign w:val="center"/>
          </w:tcPr>
          <w:p>
            <w:pPr>
              <w:pStyle w:val="25"/>
            </w:pPr>
            <w:r>
              <w:t>万元</w:t>
            </w:r>
          </w:p>
        </w:tc>
        <w:tc>
          <w:tcPr>
            <w:tcW w:w="2466" w:type="dxa"/>
            <w:vAlign w:val="center"/>
          </w:tcPr>
          <w:p>
            <w:pPr>
              <w:pStyle w:val="2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林业有害生物预测预报准确率</w:t>
            </w:r>
          </w:p>
        </w:tc>
        <w:tc>
          <w:tcPr>
            <w:tcW w:w="2466" w:type="dxa"/>
            <w:vAlign w:val="center"/>
          </w:tcPr>
          <w:p>
            <w:pPr>
              <w:pStyle w:val="25"/>
            </w:pPr>
            <w:r>
              <w:t>林业有害生物预测发生面积与实际发生面积比例</w:t>
            </w:r>
          </w:p>
        </w:tc>
        <w:tc>
          <w:tcPr>
            <w:tcW w:w="2466" w:type="dxa"/>
            <w:vAlign w:val="center"/>
          </w:tcPr>
          <w:p>
            <w:pPr>
              <w:pStyle w:val="25"/>
            </w:pPr>
            <w:r>
              <w:t>≥85百分比</w:t>
            </w:r>
          </w:p>
        </w:tc>
        <w:tc>
          <w:tcPr>
            <w:tcW w:w="2466" w:type="dxa"/>
            <w:vAlign w:val="center"/>
          </w:tcPr>
          <w:p>
            <w:pPr>
              <w:pStyle w:val="25"/>
            </w:pPr>
            <w:r>
              <w:t>验收报告单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防治工作开展的及时性</w:t>
            </w:r>
          </w:p>
        </w:tc>
        <w:tc>
          <w:tcPr>
            <w:tcW w:w="2466" w:type="dxa"/>
            <w:vAlign w:val="center"/>
          </w:tcPr>
          <w:p>
            <w:pPr>
              <w:pStyle w:val="25"/>
            </w:pPr>
            <w:r>
              <w:t>及时开展有害生物的防治工作</w:t>
            </w:r>
          </w:p>
        </w:tc>
        <w:tc>
          <w:tcPr>
            <w:tcW w:w="2466" w:type="dxa"/>
            <w:vAlign w:val="center"/>
          </w:tcPr>
          <w:p>
            <w:pPr>
              <w:pStyle w:val="25"/>
            </w:pPr>
            <w:r>
              <w:t>及时防治</w:t>
            </w:r>
          </w:p>
        </w:tc>
        <w:tc>
          <w:tcPr>
            <w:tcW w:w="2466" w:type="dxa"/>
            <w:vAlign w:val="center"/>
          </w:tcPr>
          <w:p>
            <w:pPr>
              <w:pStyle w:val="2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生态效益指标</w:t>
            </w:r>
          </w:p>
        </w:tc>
        <w:tc>
          <w:tcPr>
            <w:tcW w:w="2466" w:type="dxa"/>
            <w:vAlign w:val="center"/>
          </w:tcPr>
          <w:p>
            <w:pPr>
              <w:pStyle w:val="25"/>
            </w:pPr>
            <w:r>
              <w:t>林业有害生物成灾控制率</w:t>
            </w:r>
          </w:p>
        </w:tc>
        <w:tc>
          <w:tcPr>
            <w:tcW w:w="2466" w:type="dxa"/>
            <w:vAlign w:val="center"/>
          </w:tcPr>
          <w:p>
            <w:pPr>
              <w:pStyle w:val="25"/>
            </w:pPr>
            <w:r>
              <w:t>全区林业有害生物灾害发生面积与全市森林面积的比率</w:t>
            </w:r>
          </w:p>
        </w:tc>
        <w:tc>
          <w:tcPr>
            <w:tcW w:w="2466" w:type="dxa"/>
            <w:vAlign w:val="center"/>
          </w:tcPr>
          <w:p>
            <w:pPr>
              <w:pStyle w:val="25"/>
            </w:pPr>
            <w:r>
              <w:t>≤10百分比</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调查问卷</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jc w:val="left"/>
        <w:outlineLvl w:val="9"/>
      </w:pPr>
      <w:r>
        <w:rPr>
          <w:rFonts w:ascii="方正仿宋_GBK" w:hAnsi="方正仿宋_GBK" w:eastAsia="方正仿宋_GBK" w:cs="方正仿宋_GBK"/>
          <w:b/>
          <w:color w:val="000000"/>
          <w:sz w:val="28"/>
        </w:rPr>
        <w:t>28、石财农【2020】132号关于提前下达2021年省级林业改革发展补助资金的通行（森林植被恢复费项目）绩效目标表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1.恢复森林植被</w:t>
            </w:r>
          </w:p>
          <w:p>
            <w:pPr>
              <w:pStyle w:val="25"/>
            </w:pPr>
            <w:r>
              <w:t>2.林业改革发展补助资金充分利用</w:t>
            </w:r>
          </w:p>
          <w:p>
            <w:pPr>
              <w:pStyle w:val="25"/>
            </w:pPr>
            <w:r>
              <w:t>3.森林植被恢复费项目</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核实疑似图斑</w:t>
            </w:r>
          </w:p>
        </w:tc>
        <w:tc>
          <w:tcPr>
            <w:tcW w:w="2466" w:type="dxa"/>
            <w:vAlign w:val="center"/>
          </w:tcPr>
          <w:p>
            <w:pPr>
              <w:pStyle w:val="25"/>
            </w:pPr>
            <w:r>
              <w:t>督查核实面积占全部面积的比率</w:t>
            </w:r>
          </w:p>
        </w:tc>
        <w:tc>
          <w:tcPr>
            <w:tcW w:w="2466" w:type="dxa"/>
            <w:vAlign w:val="center"/>
          </w:tcPr>
          <w:p>
            <w:pPr>
              <w:pStyle w:val="25"/>
            </w:pPr>
            <w:r>
              <w:t>≥90</w:t>
            </w:r>
          </w:p>
        </w:tc>
        <w:tc>
          <w:tcPr>
            <w:tcW w:w="2466" w:type="dxa"/>
            <w:vAlign w:val="center"/>
          </w:tcPr>
          <w:p>
            <w:pPr>
              <w:pStyle w:val="25"/>
            </w:pPr>
            <w:r>
              <w:t>河北省林业和草原局关于转发国家林业和草原局关于开展2020、2021年森林督查暨森林资源管理“一张图”年度更新工作的通知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森林植被恢复所需费用</w:t>
            </w:r>
          </w:p>
        </w:tc>
        <w:tc>
          <w:tcPr>
            <w:tcW w:w="2466" w:type="dxa"/>
            <w:vAlign w:val="center"/>
          </w:tcPr>
          <w:p>
            <w:pPr>
              <w:pStyle w:val="25"/>
            </w:pPr>
            <w:r>
              <w:t>森林植被恢复需要支出的费用</w:t>
            </w:r>
          </w:p>
        </w:tc>
        <w:tc>
          <w:tcPr>
            <w:tcW w:w="2466" w:type="dxa"/>
            <w:vAlign w:val="center"/>
          </w:tcPr>
          <w:p>
            <w:pPr>
              <w:pStyle w:val="25"/>
            </w:pPr>
            <w:r>
              <w:t>万元</w:t>
            </w:r>
          </w:p>
        </w:tc>
        <w:tc>
          <w:tcPr>
            <w:tcW w:w="2466" w:type="dxa"/>
            <w:vAlign w:val="center"/>
          </w:tcPr>
          <w:p>
            <w:pPr>
              <w:pStyle w:val="25"/>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国家卫片核实成果报告</w:t>
            </w:r>
          </w:p>
        </w:tc>
        <w:tc>
          <w:tcPr>
            <w:tcW w:w="2466" w:type="dxa"/>
            <w:vAlign w:val="center"/>
          </w:tcPr>
          <w:p>
            <w:pPr>
              <w:pStyle w:val="25"/>
            </w:pPr>
            <w:r>
              <w:t>国家卫片森林督导核实违法违规占用林地</w:t>
            </w:r>
          </w:p>
        </w:tc>
        <w:tc>
          <w:tcPr>
            <w:tcW w:w="2466" w:type="dxa"/>
            <w:vAlign w:val="center"/>
          </w:tcPr>
          <w:p>
            <w:pPr>
              <w:pStyle w:val="25"/>
            </w:pPr>
            <w:r>
              <w:t>≥85</w:t>
            </w:r>
          </w:p>
        </w:tc>
        <w:tc>
          <w:tcPr>
            <w:tcW w:w="2466" w:type="dxa"/>
            <w:vAlign w:val="center"/>
          </w:tcPr>
          <w:p>
            <w:pPr>
              <w:pStyle w:val="25"/>
            </w:pPr>
            <w:r>
              <w:t>成果报告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防治工作开展的及时性</w:t>
            </w:r>
          </w:p>
        </w:tc>
        <w:tc>
          <w:tcPr>
            <w:tcW w:w="2466" w:type="dxa"/>
            <w:vAlign w:val="center"/>
          </w:tcPr>
          <w:p>
            <w:pPr>
              <w:pStyle w:val="25"/>
            </w:pPr>
            <w:r>
              <w:t>及时开展有害生物的防治工作</w:t>
            </w:r>
          </w:p>
        </w:tc>
        <w:tc>
          <w:tcPr>
            <w:tcW w:w="2466" w:type="dxa"/>
            <w:vAlign w:val="center"/>
          </w:tcPr>
          <w:p>
            <w:pPr>
              <w:pStyle w:val="25"/>
            </w:pPr>
            <w:r>
              <w:t>及时防治</w:t>
            </w:r>
          </w:p>
        </w:tc>
        <w:tc>
          <w:tcPr>
            <w:tcW w:w="2466" w:type="dxa"/>
            <w:vAlign w:val="center"/>
          </w:tcPr>
          <w:p>
            <w:pPr>
              <w:pStyle w:val="25"/>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有效保护林地保护利用规划</w:t>
            </w:r>
          </w:p>
        </w:tc>
        <w:tc>
          <w:tcPr>
            <w:tcW w:w="2466" w:type="dxa"/>
            <w:vAlign w:val="center"/>
          </w:tcPr>
          <w:p>
            <w:pPr>
              <w:pStyle w:val="25"/>
            </w:pPr>
            <w:r>
              <w:t>督查核实</w:t>
            </w:r>
          </w:p>
        </w:tc>
        <w:tc>
          <w:tcPr>
            <w:tcW w:w="2466" w:type="dxa"/>
            <w:vAlign w:val="center"/>
          </w:tcPr>
          <w:p>
            <w:pPr>
              <w:pStyle w:val="25"/>
            </w:pPr>
            <w:r>
              <w:t>有效保护林地保护利用规划</w:t>
            </w:r>
          </w:p>
        </w:tc>
        <w:tc>
          <w:tcPr>
            <w:tcW w:w="2466" w:type="dxa"/>
            <w:vAlign w:val="center"/>
          </w:tcPr>
          <w:p>
            <w:pPr>
              <w:pStyle w:val="25"/>
            </w:pPr>
            <w:r>
              <w:t>成果报告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调查问卷</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29、事业单位人员经费绩效目标表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1.用于自收事业单位人员工资、保险、津贴等各项基本开支，自收事业退休人员目标奖、取暖费等补贴。</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事业单位人数</w:t>
            </w:r>
          </w:p>
        </w:tc>
        <w:tc>
          <w:tcPr>
            <w:tcW w:w="2466" w:type="dxa"/>
            <w:vAlign w:val="center"/>
          </w:tcPr>
          <w:p>
            <w:pPr>
              <w:pStyle w:val="25"/>
            </w:pPr>
            <w:r>
              <w:t>自收自支在职人员65人，退休35人。</w:t>
            </w:r>
          </w:p>
        </w:tc>
        <w:tc>
          <w:tcPr>
            <w:tcW w:w="2466" w:type="dxa"/>
            <w:vAlign w:val="center"/>
          </w:tcPr>
          <w:p>
            <w:pPr>
              <w:pStyle w:val="25"/>
            </w:pPr>
            <w:r>
              <w:t>100人</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工资准确率</w:t>
            </w:r>
          </w:p>
        </w:tc>
        <w:tc>
          <w:tcPr>
            <w:tcW w:w="2466" w:type="dxa"/>
            <w:vAlign w:val="center"/>
          </w:tcPr>
          <w:p>
            <w:pPr>
              <w:pStyle w:val="25"/>
            </w:pPr>
            <w:r>
              <w:t>按年度考核及时准确发放工资、津贴和各保险的上交</w:t>
            </w:r>
          </w:p>
        </w:tc>
        <w:tc>
          <w:tcPr>
            <w:tcW w:w="2466" w:type="dxa"/>
            <w:vAlign w:val="center"/>
          </w:tcPr>
          <w:p>
            <w:pPr>
              <w:pStyle w:val="25"/>
            </w:pPr>
            <w:r>
              <w:t>≥95%</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保障职工权益的及时性</w:t>
            </w:r>
          </w:p>
        </w:tc>
        <w:tc>
          <w:tcPr>
            <w:tcW w:w="2466" w:type="dxa"/>
            <w:vAlign w:val="center"/>
          </w:tcPr>
          <w:p>
            <w:pPr>
              <w:pStyle w:val="25"/>
            </w:pPr>
            <w:r>
              <w:t>为职工发放工资及各类保险的及时性</w:t>
            </w:r>
          </w:p>
        </w:tc>
        <w:tc>
          <w:tcPr>
            <w:tcW w:w="2466" w:type="dxa"/>
            <w:vAlign w:val="center"/>
          </w:tcPr>
          <w:p>
            <w:pPr>
              <w:pStyle w:val="25"/>
            </w:pPr>
            <w:r>
              <w:t>及时缴纳</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 xml:space="preserve">预算成本 </w:t>
            </w:r>
          </w:p>
        </w:tc>
        <w:tc>
          <w:tcPr>
            <w:tcW w:w="2466" w:type="dxa"/>
            <w:vAlign w:val="center"/>
          </w:tcPr>
          <w:p>
            <w:pPr>
              <w:pStyle w:val="25"/>
            </w:pPr>
            <w:r>
              <w:t>控制年度预算数</w:t>
            </w:r>
          </w:p>
        </w:tc>
        <w:tc>
          <w:tcPr>
            <w:tcW w:w="2466" w:type="dxa"/>
            <w:vAlign w:val="center"/>
          </w:tcPr>
          <w:p>
            <w:pPr>
              <w:pStyle w:val="25"/>
            </w:pPr>
            <w:r>
              <w:t>1210万元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事业单位考核工作完成率（%）</w:t>
            </w:r>
          </w:p>
        </w:tc>
        <w:tc>
          <w:tcPr>
            <w:tcW w:w="2466" w:type="dxa"/>
            <w:vAlign w:val="center"/>
          </w:tcPr>
          <w:p>
            <w:pPr>
              <w:pStyle w:val="25"/>
            </w:pPr>
            <w:r>
              <w:t>事业单位考核、奖惩、岗位统计等工作的完成，可激励职工工作积极性</w:t>
            </w:r>
          </w:p>
        </w:tc>
        <w:tc>
          <w:tcPr>
            <w:tcW w:w="2466" w:type="dxa"/>
            <w:vAlign w:val="center"/>
          </w:tcPr>
          <w:p>
            <w:pPr>
              <w:pStyle w:val="25"/>
            </w:pPr>
            <w:r>
              <w:t>持续提高职工工作积极性</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单位职工满意度</w:t>
            </w:r>
          </w:p>
        </w:tc>
        <w:tc>
          <w:tcPr>
            <w:tcW w:w="2466" w:type="dxa"/>
            <w:vAlign w:val="center"/>
          </w:tcPr>
          <w:p>
            <w:pPr>
              <w:pStyle w:val="25"/>
            </w:pPr>
            <w:r>
              <w:t>职工对发放的工资及各类福利的满意度占单位职工总人数</w:t>
            </w:r>
          </w:p>
        </w:tc>
        <w:tc>
          <w:tcPr>
            <w:tcW w:w="2466" w:type="dxa"/>
            <w:vAlign w:val="center"/>
          </w:tcPr>
          <w:p>
            <w:pPr>
              <w:pStyle w:val="25"/>
            </w:pPr>
            <w:r>
              <w:t>≥90%</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30、义务植树及农村绿化资金绩效目标表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1.集中组织义务植树活动，植树面积200余亩。</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义务植树面积</w:t>
            </w:r>
          </w:p>
        </w:tc>
        <w:tc>
          <w:tcPr>
            <w:tcW w:w="2466" w:type="dxa"/>
            <w:vAlign w:val="center"/>
          </w:tcPr>
          <w:p>
            <w:pPr>
              <w:pStyle w:val="25"/>
            </w:pPr>
            <w:r>
              <w:t>全区集中义务植树面积</w:t>
            </w:r>
          </w:p>
        </w:tc>
        <w:tc>
          <w:tcPr>
            <w:tcW w:w="2466" w:type="dxa"/>
            <w:vAlign w:val="center"/>
          </w:tcPr>
          <w:p>
            <w:pPr>
              <w:pStyle w:val="25"/>
            </w:pPr>
            <w:r>
              <w:t>200亩</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成活率</w:t>
            </w:r>
          </w:p>
        </w:tc>
        <w:tc>
          <w:tcPr>
            <w:tcW w:w="2466" w:type="dxa"/>
            <w:vAlign w:val="center"/>
          </w:tcPr>
          <w:p>
            <w:pPr>
              <w:pStyle w:val="25"/>
            </w:pPr>
            <w:r>
              <w:t>种植树木的成活数量占总种植树木成活的比率</w:t>
            </w:r>
          </w:p>
        </w:tc>
        <w:tc>
          <w:tcPr>
            <w:tcW w:w="2466" w:type="dxa"/>
            <w:vAlign w:val="center"/>
          </w:tcPr>
          <w:p>
            <w:pPr>
              <w:pStyle w:val="25"/>
            </w:pPr>
            <w:r>
              <w:t>≥90百分比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费用兑现时间</w:t>
            </w:r>
          </w:p>
        </w:tc>
        <w:tc>
          <w:tcPr>
            <w:tcW w:w="2466" w:type="dxa"/>
            <w:vAlign w:val="center"/>
          </w:tcPr>
          <w:p>
            <w:pPr>
              <w:pStyle w:val="25"/>
            </w:pPr>
            <w:r>
              <w:t>2022年12月31日前兑现</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所需费用</w:t>
            </w:r>
          </w:p>
        </w:tc>
        <w:tc>
          <w:tcPr>
            <w:tcW w:w="2466" w:type="dxa"/>
            <w:vAlign w:val="center"/>
          </w:tcPr>
          <w:p>
            <w:pPr>
              <w:pStyle w:val="25"/>
            </w:pPr>
            <w:r>
              <w:t>义务植树购买苗木、工具及宣传所需费用</w:t>
            </w:r>
          </w:p>
        </w:tc>
        <w:tc>
          <w:tcPr>
            <w:tcW w:w="2466" w:type="dxa"/>
            <w:vAlign w:val="center"/>
          </w:tcPr>
          <w:p>
            <w:pPr>
              <w:pStyle w:val="25"/>
            </w:pPr>
            <w:r>
              <w:t>40万元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31、造林规划设计抚育管护经费绩效目标表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1.严格进行项目设计、检查验收，加强幼林抚育管护，确保绿化效果。</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勘查验收率</w:t>
            </w:r>
          </w:p>
        </w:tc>
        <w:tc>
          <w:tcPr>
            <w:tcW w:w="2466" w:type="dxa"/>
            <w:vAlign w:val="center"/>
          </w:tcPr>
          <w:p>
            <w:pPr>
              <w:pStyle w:val="25"/>
            </w:pPr>
            <w:r>
              <w:t>对工程造林进行全面验收通过率</w:t>
            </w:r>
          </w:p>
        </w:tc>
        <w:tc>
          <w:tcPr>
            <w:tcW w:w="2466" w:type="dxa"/>
            <w:vAlign w:val="center"/>
          </w:tcPr>
          <w:p>
            <w:pPr>
              <w:pStyle w:val="25"/>
            </w:pPr>
            <w:r>
              <w:t>≥95百分比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规划设计率</w:t>
            </w:r>
          </w:p>
        </w:tc>
        <w:tc>
          <w:tcPr>
            <w:tcW w:w="2466" w:type="dxa"/>
            <w:vAlign w:val="center"/>
          </w:tcPr>
          <w:p>
            <w:pPr>
              <w:pStyle w:val="25"/>
            </w:pPr>
            <w:r>
              <w:t>对全区工程造林进行规划设计通过率</w:t>
            </w:r>
          </w:p>
        </w:tc>
        <w:tc>
          <w:tcPr>
            <w:tcW w:w="2466" w:type="dxa"/>
            <w:vAlign w:val="center"/>
          </w:tcPr>
          <w:p>
            <w:pPr>
              <w:pStyle w:val="25"/>
            </w:pPr>
            <w:r>
              <w:t>≥95百分比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项目完成时间</w:t>
            </w:r>
          </w:p>
        </w:tc>
        <w:tc>
          <w:tcPr>
            <w:tcW w:w="2466" w:type="dxa"/>
            <w:vAlign w:val="center"/>
          </w:tcPr>
          <w:p>
            <w:pPr>
              <w:pStyle w:val="25"/>
            </w:pPr>
            <w:r>
              <w:t>2022年12月31日前支出费用</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所需费用</w:t>
            </w:r>
          </w:p>
        </w:tc>
        <w:tc>
          <w:tcPr>
            <w:tcW w:w="2466" w:type="dxa"/>
            <w:vAlign w:val="center"/>
          </w:tcPr>
          <w:p>
            <w:pPr>
              <w:pStyle w:val="25"/>
            </w:pPr>
            <w:r>
              <w:t>项目验收、管护完成所需费用</w:t>
            </w:r>
          </w:p>
        </w:tc>
        <w:tc>
          <w:tcPr>
            <w:tcW w:w="2466" w:type="dxa"/>
            <w:vAlign w:val="center"/>
          </w:tcPr>
          <w:p>
            <w:pPr>
              <w:pStyle w:val="25"/>
            </w:pPr>
            <w:r>
              <w:t>86万元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抚育管护率</w:t>
            </w:r>
          </w:p>
        </w:tc>
        <w:tc>
          <w:tcPr>
            <w:tcW w:w="2466" w:type="dxa"/>
            <w:vAlign w:val="center"/>
          </w:tcPr>
          <w:p>
            <w:pPr>
              <w:pStyle w:val="25"/>
            </w:pPr>
            <w:r>
              <w:t>对林木抚育管护的完成率</w:t>
            </w:r>
          </w:p>
        </w:tc>
        <w:tc>
          <w:tcPr>
            <w:tcW w:w="2466" w:type="dxa"/>
            <w:vAlign w:val="center"/>
          </w:tcPr>
          <w:p>
            <w:pPr>
              <w:pStyle w:val="25"/>
            </w:pPr>
            <w:r>
              <w:t>≥95百分比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32、执法监察办案经费绩效目标表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1.用于日常工作、巡查、卫片检查、违法占地测量、耕地破坏鉴定等方面费用。</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案件办结率</w:t>
            </w:r>
          </w:p>
        </w:tc>
        <w:tc>
          <w:tcPr>
            <w:tcW w:w="2466" w:type="dxa"/>
            <w:vAlign w:val="center"/>
          </w:tcPr>
          <w:p>
            <w:pPr>
              <w:pStyle w:val="25"/>
            </w:pPr>
            <w:r>
              <w:t>办结案件数量占立案案件总数的比率</w:t>
            </w:r>
          </w:p>
        </w:tc>
        <w:tc>
          <w:tcPr>
            <w:tcW w:w="2466" w:type="dxa"/>
            <w:vAlign w:val="center"/>
          </w:tcPr>
          <w:p>
            <w:pPr>
              <w:pStyle w:val="25"/>
            </w:pPr>
            <w:r>
              <w:t>≥90百分比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专项执法工作开展完成率</w:t>
            </w:r>
          </w:p>
        </w:tc>
        <w:tc>
          <w:tcPr>
            <w:tcW w:w="2466" w:type="dxa"/>
            <w:vAlign w:val="center"/>
          </w:tcPr>
          <w:p>
            <w:pPr>
              <w:pStyle w:val="25"/>
            </w:pPr>
            <w:r>
              <w:t>实际完成的执法监察工作占执法工作总量的比率</w:t>
            </w:r>
          </w:p>
        </w:tc>
        <w:tc>
          <w:tcPr>
            <w:tcW w:w="2466" w:type="dxa"/>
            <w:vAlign w:val="center"/>
          </w:tcPr>
          <w:p>
            <w:pPr>
              <w:pStyle w:val="25"/>
            </w:pPr>
            <w:r>
              <w:t>≥90百分比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举报线索处置及时性</w:t>
            </w:r>
          </w:p>
        </w:tc>
        <w:tc>
          <w:tcPr>
            <w:tcW w:w="2466" w:type="dxa"/>
            <w:vAlign w:val="center"/>
          </w:tcPr>
          <w:p>
            <w:pPr>
              <w:pStyle w:val="25"/>
            </w:pPr>
            <w:r>
              <w:t>对12336违法举报线索处置的及时性</w:t>
            </w:r>
          </w:p>
        </w:tc>
        <w:tc>
          <w:tcPr>
            <w:tcW w:w="2466" w:type="dxa"/>
            <w:vAlign w:val="center"/>
          </w:tcPr>
          <w:p>
            <w:pPr>
              <w:pStyle w:val="25"/>
            </w:pPr>
            <w:r>
              <w:t>及时处置</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执法监察巡查工作经费利用率</w:t>
            </w:r>
          </w:p>
        </w:tc>
        <w:tc>
          <w:tcPr>
            <w:tcW w:w="2466" w:type="dxa"/>
            <w:vAlign w:val="center"/>
          </w:tcPr>
          <w:p>
            <w:pPr>
              <w:pStyle w:val="25"/>
            </w:pPr>
            <w:r>
              <w:t>实际用于执法巡查工作费用</w:t>
            </w:r>
          </w:p>
        </w:tc>
        <w:tc>
          <w:tcPr>
            <w:tcW w:w="2466" w:type="dxa"/>
            <w:vAlign w:val="center"/>
          </w:tcPr>
          <w:p>
            <w:pPr>
              <w:pStyle w:val="25"/>
            </w:pPr>
            <w:r>
              <w:t>60万元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执法办案行为投诉率</w:t>
            </w:r>
          </w:p>
        </w:tc>
        <w:tc>
          <w:tcPr>
            <w:tcW w:w="2466" w:type="dxa"/>
            <w:vAlign w:val="center"/>
          </w:tcPr>
          <w:p>
            <w:pPr>
              <w:pStyle w:val="25"/>
            </w:pPr>
            <w:r>
              <w:t>被投诉的执法办案行为次数占执法办案总数的比率</w:t>
            </w:r>
          </w:p>
        </w:tc>
        <w:tc>
          <w:tcPr>
            <w:tcW w:w="2466" w:type="dxa"/>
            <w:vAlign w:val="center"/>
          </w:tcPr>
          <w:p>
            <w:pPr>
              <w:pStyle w:val="25"/>
            </w:pPr>
            <w:r>
              <w:t>≥90百分比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对执法人员工作满意度</w:t>
            </w:r>
          </w:p>
        </w:tc>
        <w:tc>
          <w:tcPr>
            <w:tcW w:w="2466" w:type="dxa"/>
            <w:vAlign w:val="center"/>
          </w:tcPr>
          <w:p>
            <w:pPr>
              <w:pStyle w:val="25"/>
            </w:pPr>
            <w:r>
              <w:t>对执法人员工作满意的人数占执法办案所涉及人员总数的比率</w:t>
            </w:r>
          </w:p>
        </w:tc>
        <w:tc>
          <w:tcPr>
            <w:tcW w:w="2466" w:type="dxa"/>
            <w:vAlign w:val="center"/>
          </w:tcPr>
          <w:p>
            <w:pPr>
              <w:pStyle w:val="25"/>
            </w:pPr>
            <w:r>
              <w:t>≥90百分比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33、执法监察办公经费（基金）绩效目标表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1.执法监察办公经费（基金）</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买公车数量</w:t>
            </w:r>
          </w:p>
        </w:tc>
        <w:tc>
          <w:tcPr>
            <w:tcW w:w="2466" w:type="dxa"/>
            <w:vAlign w:val="center"/>
          </w:tcPr>
          <w:p>
            <w:pPr>
              <w:pStyle w:val="25"/>
            </w:pPr>
            <w:r>
              <w:t>需购买两辆公车</w:t>
            </w:r>
          </w:p>
        </w:tc>
        <w:tc>
          <w:tcPr>
            <w:tcW w:w="2466" w:type="dxa"/>
            <w:vAlign w:val="center"/>
          </w:tcPr>
          <w:p>
            <w:pPr>
              <w:pStyle w:val="25"/>
            </w:pPr>
            <w:r>
              <w:t>2辆</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车辆购买完成率</w:t>
            </w:r>
          </w:p>
        </w:tc>
        <w:tc>
          <w:tcPr>
            <w:tcW w:w="2466" w:type="dxa"/>
            <w:vAlign w:val="center"/>
          </w:tcPr>
          <w:p>
            <w:pPr>
              <w:pStyle w:val="25"/>
            </w:pPr>
            <w:r>
              <w:t>购买公车的数量占所批准购买数量的比率</w:t>
            </w:r>
          </w:p>
        </w:tc>
        <w:tc>
          <w:tcPr>
            <w:tcW w:w="2466" w:type="dxa"/>
            <w:vAlign w:val="center"/>
          </w:tcPr>
          <w:p>
            <w:pPr>
              <w:pStyle w:val="25"/>
            </w:pPr>
            <w:r>
              <w:t>100%</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使用公车执法办公的及时性</w:t>
            </w:r>
          </w:p>
        </w:tc>
        <w:tc>
          <w:tcPr>
            <w:tcW w:w="2466" w:type="dxa"/>
            <w:vAlign w:val="center"/>
          </w:tcPr>
          <w:p>
            <w:pPr>
              <w:pStyle w:val="25"/>
            </w:pPr>
            <w:r>
              <w:t>购买公车后执法办公的效率提升度</w:t>
            </w:r>
          </w:p>
          <w:p>
            <w:pPr>
              <w:pStyle w:val="25"/>
            </w:pPr>
          </w:p>
        </w:tc>
        <w:tc>
          <w:tcPr>
            <w:tcW w:w="2466" w:type="dxa"/>
            <w:vAlign w:val="center"/>
          </w:tcPr>
          <w:p>
            <w:pPr>
              <w:pStyle w:val="25"/>
            </w:pPr>
            <w:r>
              <w:t>及时购买</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资金成本</w:t>
            </w:r>
          </w:p>
        </w:tc>
        <w:tc>
          <w:tcPr>
            <w:tcW w:w="2466" w:type="dxa"/>
            <w:vAlign w:val="center"/>
          </w:tcPr>
          <w:p>
            <w:pPr>
              <w:pStyle w:val="25"/>
            </w:pPr>
            <w:r>
              <w:t>按车辆市场价格购买</w:t>
            </w:r>
          </w:p>
        </w:tc>
        <w:tc>
          <w:tcPr>
            <w:tcW w:w="2466" w:type="dxa"/>
            <w:vAlign w:val="center"/>
          </w:tcPr>
          <w:p>
            <w:pPr>
              <w:pStyle w:val="25"/>
            </w:pPr>
            <w:r>
              <w:t>35万元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公车可连续使用多年</w:t>
            </w:r>
          </w:p>
        </w:tc>
        <w:tc>
          <w:tcPr>
            <w:tcW w:w="2466" w:type="dxa"/>
            <w:vAlign w:val="center"/>
          </w:tcPr>
          <w:p>
            <w:pPr>
              <w:pStyle w:val="25"/>
            </w:pPr>
            <w:r>
              <w:t>新车可持续多年使用，保障局机关的办公效率</w:t>
            </w:r>
          </w:p>
        </w:tc>
        <w:tc>
          <w:tcPr>
            <w:tcW w:w="2466" w:type="dxa"/>
            <w:vAlign w:val="center"/>
          </w:tcPr>
          <w:p>
            <w:pPr>
              <w:pStyle w:val="25"/>
            </w:pPr>
            <w:r>
              <w:t>买新车可带来持续性影响</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购买公车职工满意度</w:t>
            </w:r>
          </w:p>
        </w:tc>
        <w:tc>
          <w:tcPr>
            <w:tcW w:w="2466" w:type="dxa"/>
            <w:vAlign w:val="center"/>
          </w:tcPr>
          <w:p>
            <w:pPr>
              <w:pStyle w:val="25"/>
            </w:pPr>
            <w:r>
              <w:t>满意和较满意购买公车的职工人数占单位职工总人数</w:t>
            </w:r>
          </w:p>
        </w:tc>
        <w:tc>
          <w:tcPr>
            <w:tcW w:w="2466" w:type="dxa"/>
            <w:vAlign w:val="center"/>
          </w:tcPr>
          <w:p>
            <w:pPr>
              <w:pStyle w:val="25"/>
            </w:pPr>
            <w:r>
              <w:t>≥90%</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34、周汉河两侧、汪洋沟绿化占地绩效目标表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1.对周汉河、汪洋沟两侧进行林带建设，打造道路两侧绿色通行廊道。</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造林绿化面积</w:t>
            </w:r>
          </w:p>
        </w:tc>
        <w:tc>
          <w:tcPr>
            <w:tcW w:w="2466" w:type="dxa"/>
            <w:vAlign w:val="center"/>
          </w:tcPr>
          <w:p>
            <w:pPr>
              <w:pStyle w:val="25"/>
            </w:pPr>
            <w:r>
              <w:t>周汉河、汪洋沟两侧林带绿化面积</w:t>
            </w:r>
          </w:p>
        </w:tc>
        <w:tc>
          <w:tcPr>
            <w:tcW w:w="2466" w:type="dxa"/>
            <w:vAlign w:val="center"/>
          </w:tcPr>
          <w:p>
            <w:pPr>
              <w:pStyle w:val="25"/>
            </w:pPr>
            <w:r>
              <w:t>1733亩</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林相完整率</w:t>
            </w:r>
          </w:p>
        </w:tc>
        <w:tc>
          <w:tcPr>
            <w:tcW w:w="2466" w:type="dxa"/>
            <w:vAlign w:val="center"/>
          </w:tcPr>
          <w:p>
            <w:pPr>
              <w:pStyle w:val="25"/>
            </w:pPr>
            <w:r>
              <w:t>道路两侧绿化林带树木林相占总绿化带树木的比率</w:t>
            </w:r>
          </w:p>
        </w:tc>
        <w:tc>
          <w:tcPr>
            <w:tcW w:w="2466" w:type="dxa"/>
            <w:vAlign w:val="center"/>
          </w:tcPr>
          <w:p>
            <w:pPr>
              <w:pStyle w:val="25"/>
            </w:pPr>
            <w:r>
              <w:t>≥95百分比</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占地补贴兑现时间</w:t>
            </w:r>
          </w:p>
        </w:tc>
        <w:tc>
          <w:tcPr>
            <w:tcW w:w="2466" w:type="dxa"/>
            <w:vAlign w:val="center"/>
          </w:tcPr>
          <w:p>
            <w:pPr>
              <w:pStyle w:val="25"/>
            </w:pPr>
            <w:r>
              <w:t>2022年12月31日前兑现占地补贴</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预算成本</w:t>
            </w:r>
          </w:p>
        </w:tc>
        <w:tc>
          <w:tcPr>
            <w:tcW w:w="2466" w:type="dxa"/>
            <w:vAlign w:val="center"/>
          </w:tcPr>
          <w:p>
            <w:pPr>
              <w:pStyle w:val="25"/>
            </w:pPr>
            <w:r>
              <w:t>控制年度预算成本</w:t>
            </w:r>
          </w:p>
        </w:tc>
        <w:tc>
          <w:tcPr>
            <w:tcW w:w="2466" w:type="dxa"/>
            <w:vAlign w:val="center"/>
          </w:tcPr>
          <w:p>
            <w:pPr>
              <w:pStyle w:val="25"/>
            </w:pPr>
            <w:r>
              <w:t>1200元</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生态效益指标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35、专项债券（土储）付息支出绩效目标表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1.足额偿还到期利息，推动后期债券申请工作。</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偿还批次</w:t>
            </w:r>
          </w:p>
        </w:tc>
        <w:tc>
          <w:tcPr>
            <w:tcW w:w="2466" w:type="dxa"/>
            <w:vAlign w:val="center"/>
          </w:tcPr>
          <w:p>
            <w:pPr>
              <w:pStyle w:val="25"/>
            </w:pPr>
            <w:r>
              <w:t>偿还专项债券到期利息批次的数量</w:t>
            </w:r>
          </w:p>
        </w:tc>
        <w:tc>
          <w:tcPr>
            <w:tcW w:w="2466" w:type="dxa"/>
            <w:vAlign w:val="center"/>
          </w:tcPr>
          <w:p>
            <w:pPr>
              <w:pStyle w:val="25"/>
            </w:pPr>
            <w:r>
              <w:t>1批</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偿还金额</w:t>
            </w:r>
          </w:p>
        </w:tc>
        <w:tc>
          <w:tcPr>
            <w:tcW w:w="2466" w:type="dxa"/>
            <w:vAlign w:val="center"/>
          </w:tcPr>
          <w:p>
            <w:pPr>
              <w:pStyle w:val="25"/>
            </w:pPr>
            <w:r>
              <w:t>实际偿还占应偿还金额的比例</w:t>
            </w:r>
          </w:p>
        </w:tc>
        <w:tc>
          <w:tcPr>
            <w:tcW w:w="2466" w:type="dxa"/>
            <w:vAlign w:val="center"/>
          </w:tcPr>
          <w:p>
            <w:pPr>
              <w:pStyle w:val="25"/>
            </w:pPr>
            <w:r>
              <w:t>100%</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偿还时间</w:t>
            </w:r>
          </w:p>
        </w:tc>
        <w:tc>
          <w:tcPr>
            <w:tcW w:w="2466" w:type="dxa"/>
            <w:vAlign w:val="center"/>
          </w:tcPr>
          <w:p>
            <w:pPr>
              <w:pStyle w:val="25"/>
            </w:pPr>
            <w:r>
              <w:t>按约定时间及时偿还</w:t>
            </w:r>
          </w:p>
        </w:tc>
        <w:tc>
          <w:tcPr>
            <w:tcW w:w="2466" w:type="dxa"/>
            <w:vAlign w:val="center"/>
          </w:tcPr>
          <w:p>
            <w:pPr>
              <w:pStyle w:val="25"/>
            </w:pPr>
            <w:r>
              <w:t>及时偿还</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预算成本</w:t>
            </w:r>
          </w:p>
        </w:tc>
        <w:tc>
          <w:tcPr>
            <w:tcW w:w="2466" w:type="dxa"/>
            <w:vAlign w:val="center"/>
          </w:tcPr>
          <w:p>
            <w:pPr>
              <w:pStyle w:val="25"/>
            </w:pPr>
            <w:r>
              <w:t>控制年度预算数</w:t>
            </w:r>
          </w:p>
        </w:tc>
        <w:tc>
          <w:tcPr>
            <w:tcW w:w="2466" w:type="dxa"/>
            <w:vAlign w:val="center"/>
          </w:tcPr>
          <w:p>
            <w:pPr>
              <w:pStyle w:val="25"/>
            </w:pPr>
            <w:r>
              <w:t>按标准偿还</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按协议履行还款</w:t>
            </w:r>
          </w:p>
        </w:tc>
        <w:tc>
          <w:tcPr>
            <w:tcW w:w="2466" w:type="dxa"/>
            <w:vAlign w:val="center"/>
          </w:tcPr>
          <w:p>
            <w:pPr>
              <w:pStyle w:val="25"/>
            </w:pPr>
            <w:r>
              <w:t>按协议履行还款，推动后期债券申请工作，更好发挥债券作用</w:t>
            </w:r>
          </w:p>
        </w:tc>
        <w:tc>
          <w:tcPr>
            <w:tcW w:w="2466" w:type="dxa"/>
            <w:vAlign w:val="center"/>
          </w:tcPr>
          <w:p>
            <w:pPr>
              <w:pStyle w:val="25"/>
            </w:pPr>
            <w:r>
              <w:t>债券发行工作正常开展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上级部门满意度</w:t>
            </w:r>
          </w:p>
        </w:tc>
        <w:tc>
          <w:tcPr>
            <w:tcW w:w="2466" w:type="dxa"/>
            <w:vAlign w:val="center"/>
          </w:tcPr>
          <w:p>
            <w:pPr>
              <w:pStyle w:val="25"/>
            </w:pPr>
            <w:r>
              <w:t>上级部门对还款情况的满意度</w:t>
            </w:r>
          </w:p>
        </w:tc>
        <w:tc>
          <w:tcPr>
            <w:tcW w:w="2466" w:type="dxa"/>
            <w:vAlign w:val="center"/>
          </w:tcPr>
          <w:p>
            <w:pPr>
              <w:pStyle w:val="25"/>
            </w:pPr>
            <w:r>
              <w:t>按上级要求偿还</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36、专项债券（土储）还本支出绩效目标表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1.按时偿还本金，维护地方政府信誉。</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偿还批次</w:t>
            </w:r>
          </w:p>
        </w:tc>
        <w:tc>
          <w:tcPr>
            <w:tcW w:w="2466" w:type="dxa"/>
            <w:vAlign w:val="center"/>
          </w:tcPr>
          <w:p>
            <w:pPr>
              <w:pStyle w:val="25"/>
            </w:pPr>
            <w:r>
              <w:t>偿还专项债券到期利息批次的数量</w:t>
            </w:r>
          </w:p>
        </w:tc>
        <w:tc>
          <w:tcPr>
            <w:tcW w:w="2466" w:type="dxa"/>
            <w:vAlign w:val="center"/>
          </w:tcPr>
          <w:p>
            <w:pPr>
              <w:pStyle w:val="25"/>
            </w:pPr>
            <w:r>
              <w:t>1批</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偿还比例</w:t>
            </w:r>
          </w:p>
        </w:tc>
        <w:tc>
          <w:tcPr>
            <w:tcW w:w="2466" w:type="dxa"/>
            <w:vAlign w:val="center"/>
          </w:tcPr>
          <w:p>
            <w:pPr>
              <w:pStyle w:val="25"/>
            </w:pPr>
            <w:r>
              <w:t>实际偿还占应偿还金额的比例</w:t>
            </w:r>
          </w:p>
        </w:tc>
        <w:tc>
          <w:tcPr>
            <w:tcW w:w="2466" w:type="dxa"/>
            <w:vAlign w:val="center"/>
          </w:tcPr>
          <w:p>
            <w:pPr>
              <w:pStyle w:val="25"/>
            </w:pPr>
            <w:r>
              <w:t>100%</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偿还时间</w:t>
            </w:r>
          </w:p>
        </w:tc>
        <w:tc>
          <w:tcPr>
            <w:tcW w:w="2466" w:type="dxa"/>
            <w:vAlign w:val="center"/>
          </w:tcPr>
          <w:p>
            <w:pPr>
              <w:pStyle w:val="25"/>
            </w:pPr>
            <w:r>
              <w:t>按约定时间及时偿还</w:t>
            </w:r>
          </w:p>
        </w:tc>
        <w:tc>
          <w:tcPr>
            <w:tcW w:w="2466" w:type="dxa"/>
            <w:vAlign w:val="center"/>
          </w:tcPr>
          <w:p>
            <w:pPr>
              <w:pStyle w:val="25"/>
            </w:pPr>
            <w:r>
              <w:t>及时偿还</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预算成本</w:t>
            </w:r>
          </w:p>
        </w:tc>
        <w:tc>
          <w:tcPr>
            <w:tcW w:w="2466" w:type="dxa"/>
            <w:vAlign w:val="center"/>
          </w:tcPr>
          <w:p>
            <w:pPr>
              <w:pStyle w:val="25"/>
            </w:pPr>
            <w:r>
              <w:t>控制年度预算数</w:t>
            </w:r>
          </w:p>
        </w:tc>
        <w:tc>
          <w:tcPr>
            <w:tcW w:w="2466" w:type="dxa"/>
            <w:vAlign w:val="center"/>
          </w:tcPr>
          <w:p>
            <w:pPr>
              <w:pStyle w:val="25"/>
            </w:pPr>
            <w:r>
              <w:t>按标准偿还</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按协议履行还款</w:t>
            </w:r>
          </w:p>
        </w:tc>
        <w:tc>
          <w:tcPr>
            <w:tcW w:w="2466" w:type="dxa"/>
            <w:vAlign w:val="center"/>
          </w:tcPr>
          <w:p>
            <w:pPr>
              <w:pStyle w:val="25"/>
            </w:pPr>
            <w:r>
              <w:t>按协议履行还款，推动后期债券申请工作，更好发挥债券作用</w:t>
            </w:r>
          </w:p>
        </w:tc>
        <w:tc>
          <w:tcPr>
            <w:tcW w:w="2466" w:type="dxa"/>
            <w:vAlign w:val="center"/>
          </w:tcPr>
          <w:p>
            <w:pPr>
              <w:pStyle w:val="25"/>
            </w:pPr>
            <w:r>
              <w:t>债券发行工作正常开展</w:t>
            </w:r>
          </w:p>
        </w:tc>
        <w:tc>
          <w:tcPr>
            <w:tcW w:w="2466" w:type="dxa"/>
            <w:vAlign w:val="center"/>
          </w:tcPr>
          <w:p>
            <w:pPr>
              <w:pStyle w:val="2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上级部门满意度</w:t>
            </w:r>
          </w:p>
        </w:tc>
        <w:tc>
          <w:tcPr>
            <w:tcW w:w="2466" w:type="dxa"/>
            <w:vAlign w:val="center"/>
          </w:tcPr>
          <w:p>
            <w:pPr>
              <w:pStyle w:val="25"/>
            </w:pPr>
            <w:r>
              <w:t>上级部门对还款情况的满意度</w:t>
            </w:r>
          </w:p>
        </w:tc>
        <w:tc>
          <w:tcPr>
            <w:tcW w:w="2466" w:type="dxa"/>
            <w:vAlign w:val="center"/>
          </w:tcPr>
          <w:p>
            <w:pPr>
              <w:pStyle w:val="25"/>
            </w:pPr>
            <w:r>
              <w:t>按上级要求偿还</w:t>
            </w:r>
          </w:p>
        </w:tc>
        <w:tc>
          <w:tcPr>
            <w:tcW w:w="2466" w:type="dxa"/>
            <w:vAlign w:val="center"/>
          </w:tcPr>
          <w:p>
            <w:pPr>
              <w:pStyle w:val="25"/>
            </w:pPr>
            <w:r>
              <w:t>年度工作计划</w:t>
            </w:r>
          </w:p>
        </w:tc>
      </w:tr>
    </w:tbl>
    <w:p>
      <w:pPr>
        <w:pStyle w:val="23"/>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rPr>
          <w:rFonts w:ascii="方正仿宋_GBK" w:hAnsi="方正仿宋_GBK" w:eastAsia="方正仿宋_GBK" w:cs="方正仿宋_GBK"/>
          <w:b/>
          <w:color w:val="000000"/>
          <w:sz w:val="28"/>
        </w:rPr>
      </w:pPr>
    </w:p>
    <w:p>
      <w:pPr>
        <w:pStyle w:val="23"/>
        <w:spacing w:before="0" w:after="0"/>
        <w:ind w:firstLine="560"/>
        <w:jc w:val="left"/>
        <w:outlineLvl w:val="9"/>
      </w:pPr>
      <w:r>
        <w:rPr>
          <w:rFonts w:ascii="方正仿宋_GBK" w:hAnsi="方正仿宋_GBK" w:eastAsia="方正仿宋_GBK" w:cs="方正仿宋_GBK"/>
          <w:b/>
          <w:color w:val="000000"/>
          <w:sz w:val="28"/>
        </w:rPr>
        <w:t>37、追加石黄高速、京石高铁两侧50-100米绿化带占地补贴资金绩效目标表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1.高速铁路及高速公路等两侧进行林带建设，打造通道两侧绿色通行廊道。</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造林面积</w:t>
            </w:r>
          </w:p>
        </w:tc>
        <w:tc>
          <w:tcPr>
            <w:tcW w:w="2466" w:type="dxa"/>
            <w:vAlign w:val="center"/>
          </w:tcPr>
          <w:p>
            <w:pPr>
              <w:pStyle w:val="25"/>
            </w:pPr>
            <w:r>
              <w:t>京石高铁、石黄、京港澳高速两侧造林面积</w:t>
            </w:r>
          </w:p>
        </w:tc>
        <w:tc>
          <w:tcPr>
            <w:tcW w:w="2466" w:type="dxa"/>
            <w:vAlign w:val="center"/>
          </w:tcPr>
          <w:p>
            <w:pPr>
              <w:pStyle w:val="25"/>
            </w:pPr>
            <w:r>
              <w:t>6763亩</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造林合格面积完成率</w:t>
            </w:r>
          </w:p>
        </w:tc>
        <w:tc>
          <w:tcPr>
            <w:tcW w:w="2466" w:type="dxa"/>
            <w:vAlign w:val="center"/>
          </w:tcPr>
          <w:p>
            <w:pPr>
              <w:pStyle w:val="25"/>
            </w:pPr>
            <w:r>
              <w:t>造林合格面积占完成造林面积的比率</w:t>
            </w:r>
          </w:p>
        </w:tc>
        <w:tc>
          <w:tcPr>
            <w:tcW w:w="2466" w:type="dxa"/>
            <w:vAlign w:val="center"/>
          </w:tcPr>
          <w:p>
            <w:pPr>
              <w:pStyle w:val="25"/>
            </w:pPr>
            <w:r>
              <w:t>≥95百分比</w:t>
            </w:r>
          </w:p>
        </w:tc>
        <w:tc>
          <w:tcPr>
            <w:tcW w:w="2466" w:type="dxa"/>
            <w:vAlign w:val="center"/>
          </w:tcPr>
          <w:p>
            <w:pPr>
              <w:pStyle w:val="2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占地补贴兑现时间</w:t>
            </w:r>
          </w:p>
        </w:tc>
        <w:tc>
          <w:tcPr>
            <w:tcW w:w="2466" w:type="dxa"/>
            <w:vAlign w:val="center"/>
          </w:tcPr>
          <w:p>
            <w:pPr>
              <w:pStyle w:val="25"/>
            </w:pPr>
            <w:r>
              <w:t>2022年12月31日前兑现占地补贴</w:t>
            </w:r>
          </w:p>
        </w:tc>
        <w:tc>
          <w:tcPr>
            <w:tcW w:w="2466" w:type="dxa"/>
            <w:vAlign w:val="center"/>
          </w:tcPr>
          <w:p>
            <w:pPr>
              <w:pStyle w:val="25"/>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补贴标准</w:t>
            </w:r>
          </w:p>
        </w:tc>
        <w:tc>
          <w:tcPr>
            <w:tcW w:w="2466" w:type="dxa"/>
            <w:vAlign w:val="center"/>
          </w:tcPr>
          <w:p>
            <w:pPr>
              <w:pStyle w:val="25"/>
            </w:pPr>
            <w:r>
              <w:t>每亩每年占地补贴</w:t>
            </w:r>
          </w:p>
        </w:tc>
        <w:tc>
          <w:tcPr>
            <w:tcW w:w="2466" w:type="dxa"/>
            <w:vAlign w:val="center"/>
          </w:tcPr>
          <w:p>
            <w:pPr>
              <w:pStyle w:val="25"/>
            </w:pPr>
            <w:r>
              <w:t>600元</w:t>
            </w:r>
          </w:p>
        </w:tc>
        <w:tc>
          <w:tcPr>
            <w:tcW w:w="2466" w:type="dxa"/>
            <w:vAlign w:val="center"/>
          </w:tcPr>
          <w:p>
            <w:pPr>
              <w:pStyle w:val="2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改善生态环境</w:t>
            </w:r>
          </w:p>
        </w:tc>
        <w:tc>
          <w:tcPr>
            <w:tcW w:w="2466" w:type="dxa"/>
            <w:vAlign w:val="center"/>
          </w:tcPr>
          <w:p>
            <w:pPr>
              <w:pStyle w:val="25"/>
            </w:pPr>
            <w:r>
              <w:t>改善全区生态环境，对全区经济发展提供生态保障</w:t>
            </w:r>
          </w:p>
        </w:tc>
        <w:tc>
          <w:tcPr>
            <w:tcW w:w="2466" w:type="dxa"/>
            <w:vAlign w:val="center"/>
          </w:tcPr>
          <w:p>
            <w:pPr>
              <w:pStyle w:val="25"/>
            </w:pPr>
            <w:r>
              <w:t>提高全区绿化水平，保障全区林业事业健康科学持续发展</w:t>
            </w:r>
          </w:p>
        </w:tc>
        <w:tc>
          <w:tcPr>
            <w:tcW w:w="2466" w:type="dxa"/>
            <w:vAlign w:val="center"/>
          </w:tcPr>
          <w:p>
            <w:pPr>
              <w:pStyle w:val="25"/>
            </w:pPr>
            <w:r>
              <w:t>森林覆盖率净增量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受益群众满意度</w:t>
            </w:r>
          </w:p>
        </w:tc>
        <w:tc>
          <w:tcPr>
            <w:tcW w:w="2466" w:type="dxa"/>
            <w:vAlign w:val="center"/>
          </w:tcPr>
          <w:p>
            <w:pPr>
              <w:pStyle w:val="25"/>
            </w:pPr>
            <w:r>
              <w:t>项目区受益群众对项目建设的满意程度</w:t>
            </w:r>
          </w:p>
        </w:tc>
        <w:tc>
          <w:tcPr>
            <w:tcW w:w="2466" w:type="dxa"/>
            <w:vAlign w:val="center"/>
          </w:tcPr>
          <w:p>
            <w:pPr>
              <w:pStyle w:val="25"/>
            </w:pPr>
            <w:r>
              <w:t>≥95百分比</w:t>
            </w:r>
          </w:p>
        </w:tc>
        <w:tc>
          <w:tcPr>
            <w:tcW w:w="2466" w:type="dxa"/>
            <w:vAlign w:val="center"/>
          </w:tcPr>
          <w:p>
            <w:pPr>
              <w:pStyle w:val="25"/>
            </w:pPr>
            <w:r>
              <w:t>调查问卷</w:t>
            </w:r>
          </w:p>
        </w:tc>
      </w:tr>
    </w:tbl>
    <w:p>
      <w:pPr>
        <w:pStyle w:val="23"/>
        <w:sectPr>
          <w:pgSz w:w="16840" w:h="11900" w:orient="landscape"/>
          <w:pgMar w:top="1361" w:right="1020" w:bottom="1361" w:left="1020" w:header="720" w:footer="720" w:gutter="0"/>
        </w:sectPr>
      </w:pPr>
    </w:p>
    <w:p>
      <w:pPr>
        <w:spacing w:before="10" w:after="10" w:line="240" w:lineRule="auto"/>
        <w:ind w:firstLine="640"/>
        <w:jc w:val="left"/>
        <w:outlineLvl w:val="2"/>
      </w:pPr>
      <w:bookmarkStart w:id="14" w:name="_Toc11618"/>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2022年，石家庄市自然资源和规划局藁城分局安排政府采购预算4104.00万元。具体内容见下表。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324石家庄市自然资源和规划局藁城分局</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合  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4104.00</w:t>
            </w:r>
          </w:p>
        </w:tc>
        <w:tc>
          <w:tcPr>
            <w:tcW w:w="924" w:type="dxa"/>
            <w:vAlign w:val="center"/>
          </w:tcPr>
          <w:p>
            <w:pPr>
              <w:pStyle w:val="15"/>
            </w:pPr>
            <w:r>
              <w:t>260.00</w:t>
            </w:r>
          </w:p>
        </w:tc>
        <w:tc>
          <w:tcPr>
            <w:tcW w:w="924" w:type="dxa"/>
            <w:vAlign w:val="center"/>
          </w:tcPr>
          <w:p>
            <w:pPr>
              <w:pStyle w:val="15"/>
            </w:pPr>
            <w:r>
              <w:t>3844.00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1444.00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石家庄市自然资源和规划局藁城分局本级小计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4104.00</w:t>
            </w:r>
          </w:p>
        </w:tc>
        <w:tc>
          <w:tcPr>
            <w:tcW w:w="924" w:type="dxa"/>
            <w:vAlign w:val="center"/>
          </w:tcPr>
          <w:p>
            <w:pPr>
              <w:pStyle w:val="15"/>
            </w:pPr>
            <w:r>
              <w:t>260.00</w:t>
            </w:r>
          </w:p>
        </w:tc>
        <w:tc>
          <w:tcPr>
            <w:tcW w:w="924" w:type="dxa"/>
            <w:vAlign w:val="center"/>
          </w:tcPr>
          <w:p>
            <w:pPr>
              <w:pStyle w:val="15"/>
            </w:pPr>
            <w:r>
              <w:t>3844.00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1444.00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2020、2021年森林督查暨森林资源管理“一张图”年度更新项目</w:t>
            </w:r>
          </w:p>
        </w:tc>
        <w:tc>
          <w:tcPr>
            <w:tcW w:w="924" w:type="dxa"/>
            <w:vAlign w:val="center"/>
          </w:tcPr>
          <w:p>
            <w:pPr>
              <w:pStyle w:val="13"/>
            </w:pPr>
            <w:r>
              <w:t>60.00</w:t>
            </w:r>
          </w:p>
        </w:tc>
        <w:tc>
          <w:tcPr>
            <w:tcW w:w="924" w:type="dxa"/>
            <w:vAlign w:val="center"/>
          </w:tcPr>
          <w:p>
            <w:pPr>
              <w:pStyle w:val="12"/>
            </w:pPr>
            <w:r>
              <w:t>测绘服务</w:t>
            </w:r>
          </w:p>
        </w:tc>
        <w:tc>
          <w:tcPr>
            <w:tcW w:w="924" w:type="dxa"/>
            <w:vAlign w:val="center"/>
          </w:tcPr>
          <w:p>
            <w:pPr>
              <w:pStyle w:val="12"/>
            </w:pPr>
            <w:r>
              <w:t>C0904</w:t>
            </w:r>
          </w:p>
        </w:tc>
        <w:tc>
          <w:tcPr>
            <w:tcW w:w="924" w:type="dxa"/>
            <w:vAlign w:val="center"/>
          </w:tcPr>
          <w:p>
            <w:pPr>
              <w:pStyle w:val="11"/>
            </w:pPr>
            <w:r>
              <w:t>万元</w:t>
            </w:r>
          </w:p>
        </w:tc>
        <w:tc>
          <w:tcPr>
            <w:tcW w:w="924" w:type="dxa"/>
            <w:vAlign w:val="center"/>
          </w:tcPr>
          <w:p>
            <w:pPr>
              <w:pStyle w:val="13"/>
            </w:pPr>
            <w:r>
              <w:t>1</w:t>
            </w:r>
          </w:p>
        </w:tc>
        <w:tc>
          <w:tcPr>
            <w:tcW w:w="924" w:type="dxa"/>
            <w:vAlign w:val="center"/>
          </w:tcPr>
          <w:p>
            <w:pPr>
              <w:pStyle w:val="13"/>
            </w:pPr>
            <w:r>
              <w:t>60.00</w:t>
            </w:r>
          </w:p>
        </w:tc>
        <w:tc>
          <w:tcPr>
            <w:tcW w:w="924" w:type="dxa"/>
            <w:vAlign w:val="center"/>
          </w:tcPr>
          <w:p>
            <w:pPr>
              <w:pStyle w:val="13"/>
            </w:pPr>
            <w:r>
              <w:t>60.00</w:t>
            </w:r>
          </w:p>
        </w:tc>
        <w:tc>
          <w:tcPr>
            <w:tcW w:w="924" w:type="dxa"/>
            <w:vAlign w:val="center"/>
          </w:tcPr>
          <w:p>
            <w:pPr>
              <w:pStyle w:val="13"/>
            </w:pPr>
            <w:r>
              <w:t>60.00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国土资源管理经费（基金）</w:t>
            </w:r>
          </w:p>
        </w:tc>
        <w:tc>
          <w:tcPr>
            <w:tcW w:w="924" w:type="dxa"/>
            <w:vAlign w:val="center"/>
          </w:tcPr>
          <w:p>
            <w:pPr>
              <w:pStyle w:val="13"/>
            </w:pPr>
            <w:r>
              <w:t>123.00</w:t>
            </w:r>
          </w:p>
        </w:tc>
        <w:tc>
          <w:tcPr>
            <w:tcW w:w="924" w:type="dxa"/>
            <w:vAlign w:val="center"/>
          </w:tcPr>
          <w:p>
            <w:pPr>
              <w:pStyle w:val="12"/>
            </w:pPr>
            <w:r>
              <w:t>其他办公设备</w:t>
            </w:r>
          </w:p>
        </w:tc>
        <w:tc>
          <w:tcPr>
            <w:tcW w:w="924" w:type="dxa"/>
            <w:vAlign w:val="center"/>
          </w:tcPr>
          <w:p>
            <w:pPr>
              <w:pStyle w:val="12"/>
            </w:pPr>
            <w:r>
              <w:t>A020299</w:t>
            </w:r>
          </w:p>
        </w:tc>
        <w:tc>
          <w:tcPr>
            <w:tcW w:w="924" w:type="dxa"/>
            <w:vAlign w:val="center"/>
          </w:tcPr>
          <w:p>
            <w:pPr>
              <w:pStyle w:val="11"/>
            </w:pPr>
            <w:r>
              <w:t>万元</w:t>
            </w:r>
          </w:p>
        </w:tc>
        <w:tc>
          <w:tcPr>
            <w:tcW w:w="924" w:type="dxa"/>
            <w:vAlign w:val="center"/>
          </w:tcPr>
          <w:p>
            <w:pPr>
              <w:pStyle w:val="13"/>
            </w:pPr>
            <w:r>
              <w:t>1</w:t>
            </w:r>
          </w:p>
        </w:tc>
        <w:tc>
          <w:tcPr>
            <w:tcW w:w="924" w:type="dxa"/>
            <w:vAlign w:val="center"/>
          </w:tcPr>
          <w:p>
            <w:pPr>
              <w:pStyle w:val="13"/>
            </w:pPr>
            <w:r>
              <w:t>123.00</w:t>
            </w:r>
          </w:p>
        </w:tc>
        <w:tc>
          <w:tcPr>
            <w:tcW w:w="924" w:type="dxa"/>
            <w:vAlign w:val="center"/>
          </w:tcPr>
          <w:p>
            <w:pPr>
              <w:pStyle w:val="13"/>
            </w:pPr>
            <w:r>
              <w:t>123.00</w:t>
            </w:r>
          </w:p>
        </w:tc>
        <w:tc>
          <w:tcPr>
            <w:tcW w:w="924" w:type="dxa"/>
            <w:vAlign w:val="center"/>
          </w:tcPr>
          <w:p>
            <w:pPr>
              <w:pStyle w:val="13"/>
            </w:pPr>
          </w:p>
        </w:tc>
        <w:tc>
          <w:tcPr>
            <w:tcW w:w="924" w:type="dxa"/>
            <w:vAlign w:val="center"/>
          </w:tcPr>
          <w:p>
            <w:pPr>
              <w:pStyle w:val="13"/>
            </w:pPr>
            <w:r>
              <w:t>123.00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聘请第三方服务经费</w:t>
            </w:r>
          </w:p>
        </w:tc>
        <w:tc>
          <w:tcPr>
            <w:tcW w:w="924" w:type="dxa"/>
            <w:vAlign w:val="center"/>
          </w:tcPr>
          <w:p>
            <w:pPr>
              <w:pStyle w:val="13"/>
            </w:pPr>
            <w:r>
              <w:t>3600.00</w:t>
            </w:r>
          </w:p>
        </w:tc>
        <w:tc>
          <w:tcPr>
            <w:tcW w:w="924" w:type="dxa"/>
            <w:vAlign w:val="center"/>
          </w:tcPr>
          <w:p>
            <w:pPr>
              <w:pStyle w:val="12"/>
            </w:pPr>
            <w:r>
              <w:t>测绘服务</w:t>
            </w:r>
          </w:p>
        </w:tc>
        <w:tc>
          <w:tcPr>
            <w:tcW w:w="924" w:type="dxa"/>
            <w:vAlign w:val="center"/>
          </w:tcPr>
          <w:p>
            <w:pPr>
              <w:pStyle w:val="12"/>
            </w:pPr>
            <w:r>
              <w:t>C0904</w:t>
            </w:r>
          </w:p>
        </w:tc>
        <w:tc>
          <w:tcPr>
            <w:tcW w:w="924" w:type="dxa"/>
            <w:vAlign w:val="center"/>
          </w:tcPr>
          <w:p>
            <w:pPr>
              <w:pStyle w:val="11"/>
            </w:pPr>
            <w:r>
              <w:t>万元</w:t>
            </w:r>
          </w:p>
        </w:tc>
        <w:tc>
          <w:tcPr>
            <w:tcW w:w="924" w:type="dxa"/>
            <w:vAlign w:val="center"/>
          </w:tcPr>
          <w:p>
            <w:pPr>
              <w:pStyle w:val="13"/>
            </w:pPr>
            <w:r>
              <w:t>1</w:t>
            </w:r>
          </w:p>
        </w:tc>
        <w:tc>
          <w:tcPr>
            <w:tcW w:w="924" w:type="dxa"/>
            <w:vAlign w:val="center"/>
          </w:tcPr>
          <w:p>
            <w:pPr>
              <w:pStyle w:val="13"/>
            </w:pPr>
            <w:r>
              <w:t>3600.00</w:t>
            </w:r>
          </w:p>
        </w:tc>
        <w:tc>
          <w:tcPr>
            <w:tcW w:w="924" w:type="dxa"/>
            <w:vAlign w:val="center"/>
          </w:tcPr>
          <w:p>
            <w:pPr>
              <w:pStyle w:val="13"/>
            </w:pPr>
            <w:r>
              <w:t>3600.00</w:t>
            </w:r>
          </w:p>
        </w:tc>
        <w:tc>
          <w:tcPr>
            <w:tcW w:w="924" w:type="dxa"/>
            <w:vAlign w:val="center"/>
          </w:tcPr>
          <w:p>
            <w:pPr>
              <w:pStyle w:val="13"/>
            </w:pPr>
          </w:p>
        </w:tc>
        <w:tc>
          <w:tcPr>
            <w:tcW w:w="924" w:type="dxa"/>
            <w:vAlign w:val="center"/>
          </w:tcPr>
          <w:p>
            <w:pPr>
              <w:pStyle w:val="13"/>
            </w:pPr>
            <w:r>
              <w:t>3600.00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石财农[2021]95号提前下达2022年中央财政林业改革发展资金（造林补助）</w:t>
            </w:r>
          </w:p>
        </w:tc>
        <w:tc>
          <w:tcPr>
            <w:tcW w:w="924" w:type="dxa"/>
            <w:vAlign w:val="center"/>
          </w:tcPr>
          <w:p>
            <w:pPr>
              <w:pStyle w:val="13"/>
            </w:pPr>
            <w:r>
              <w:t>200.00</w:t>
            </w:r>
          </w:p>
        </w:tc>
        <w:tc>
          <w:tcPr>
            <w:tcW w:w="924" w:type="dxa"/>
            <w:vAlign w:val="center"/>
          </w:tcPr>
          <w:p>
            <w:pPr>
              <w:pStyle w:val="12"/>
            </w:pPr>
            <w:r>
              <w:t>造林服务</w:t>
            </w:r>
          </w:p>
        </w:tc>
        <w:tc>
          <w:tcPr>
            <w:tcW w:w="924" w:type="dxa"/>
            <w:vAlign w:val="center"/>
          </w:tcPr>
          <w:p>
            <w:pPr>
              <w:pStyle w:val="12"/>
            </w:pPr>
            <w:r>
              <w:t>C210201</w:t>
            </w:r>
          </w:p>
        </w:tc>
        <w:tc>
          <w:tcPr>
            <w:tcW w:w="924" w:type="dxa"/>
            <w:vAlign w:val="center"/>
          </w:tcPr>
          <w:p>
            <w:pPr>
              <w:pStyle w:val="11"/>
            </w:pPr>
            <w:r>
              <w:t>万元</w:t>
            </w:r>
          </w:p>
        </w:tc>
        <w:tc>
          <w:tcPr>
            <w:tcW w:w="924" w:type="dxa"/>
            <w:vAlign w:val="center"/>
          </w:tcPr>
          <w:p>
            <w:pPr>
              <w:pStyle w:val="13"/>
            </w:pPr>
            <w:r>
              <w:t>1</w:t>
            </w:r>
          </w:p>
        </w:tc>
        <w:tc>
          <w:tcPr>
            <w:tcW w:w="924" w:type="dxa"/>
            <w:vAlign w:val="center"/>
          </w:tcPr>
          <w:p>
            <w:pPr>
              <w:pStyle w:val="13"/>
            </w:pPr>
            <w:r>
              <w:t>200.00</w:t>
            </w:r>
          </w:p>
        </w:tc>
        <w:tc>
          <w:tcPr>
            <w:tcW w:w="924" w:type="dxa"/>
            <w:vAlign w:val="center"/>
          </w:tcPr>
          <w:p>
            <w:pPr>
              <w:pStyle w:val="13"/>
            </w:pPr>
            <w:r>
              <w:t>200.00</w:t>
            </w:r>
          </w:p>
        </w:tc>
        <w:tc>
          <w:tcPr>
            <w:tcW w:w="924" w:type="dxa"/>
            <w:vAlign w:val="center"/>
          </w:tcPr>
          <w:p>
            <w:pPr>
              <w:pStyle w:val="13"/>
            </w:pPr>
            <w:r>
              <w:t>200.00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造林规划设计抚育管护经费</w:t>
            </w:r>
          </w:p>
        </w:tc>
        <w:tc>
          <w:tcPr>
            <w:tcW w:w="924" w:type="dxa"/>
            <w:vAlign w:val="center"/>
          </w:tcPr>
          <w:p>
            <w:pPr>
              <w:pStyle w:val="13"/>
            </w:pPr>
            <w:r>
              <w:t>86.00</w:t>
            </w:r>
          </w:p>
        </w:tc>
        <w:tc>
          <w:tcPr>
            <w:tcW w:w="924" w:type="dxa"/>
            <w:vAlign w:val="center"/>
          </w:tcPr>
          <w:p>
            <w:pPr>
              <w:pStyle w:val="12"/>
            </w:pPr>
            <w:r>
              <w:t>林木抚育管理服务</w:t>
            </w:r>
          </w:p>
        </w:tc>
        <w:tc>
          <w:tcPr>
            <w:tcW w:w="924" w:type="dxa"/>
            <w:vAlign w:val="center"/>
          </w:tcPr>
          <w:p>
            <w:pPr>
              <w:pStyle w:val="12"/>
            </w:pPr>
            <w:r>
              <w:t>C210202</w:t>
            </w:r>
          </w:p>
        </w:tc>
        <w:tc>
          <w:tcPr>
            <w:tcW w:w="924" w:type="dxa"/>
            <w:vAlign w:val="center"/>
          </w:tcPr>
          <w:p>
            <w:pPr>
              <w:pStyle w:val="11"/>
            </w:pPr>
            <w:r>
              <w:t>万元</w:t>
            </w:r>
          </w:p>
        </w:tc>
        <w:tc>
          <w:tcPr>
            <w:tcW w:w="924" w:type="dxa"/>
            <w:vAlign w:val="center"/>
          </w:tcPr>
          <w:p>
            <w:pPr>
              <w:pStyle w:val="13"/>
            </w:pPr>
            <w:r>
              <w:t>1</w:t>
            </w:r>
          </w:p>
        </w:tc>
        <w:tc>
          <w:tcPr>
            <w:tcW w:w="924" w:type="dxa"/>
            <w:vAlign w:val="center"/>
          </w:tcPr>
          <w:p>
            <w:pPr>
              <w:pStyle w:val="13"/>
            </w:pPr>
            <w:r>
              <w:t>86.00</w:t>
            </w:r>
          </w:p>
        </w:tc>
        <w:tc>
          <w:tcPr>
            <w:tcW w:w="924" w:type="dxa"/>
            <w:vAlign w:val="center"/>
          </w:tcPr>
          <w:p>
            <w:pPr>
              <w:pStyle w:val="13"/>
            </w:pPr>
            <w:r>
              <w:t>86.00</w:t>
            </w:r>
          </w:p>
        </w:tc>
        <w:tc>
          <w:tcPr>
            <w:tcW w:w="924" w:type="dxa"/>
            <w:vAlign w:val="center"/>
          </w:tcPr>
          <w:p>
            <w:pPr>
              <w:pStyle w:val="13"/>
            </w:pPr>
          </w:p>
        </w:tc>
        <w:tc>
          <w:tcPr>
            <w:tcW w:w="924" w:type="dxa"/>
            <w:vAlign w:val="center"/>
          </w:tcPr>
          <w:p>
            <w:pPr>
              <w:pStyle w:val="13"/>
            </w:pPr>
            <w:r>
              <w:t>86.00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执法监察办公经费（基金）</w:t>
            </w:r>
          </w:p>
        </w:tc>
        <w:tc>
          <w:tcPr>
            <w:tcW w:w="924" w:type="dxa"/>
            <w:vAlign w:val="center"/>
          </w:tcPr>
          <w:p>
            <w:pPr>
              <w:pStyle w:val="13"/>
            </w:pPr>
            <w:r>
              <w:t>35.00</w:t>
            </w:r>
          </w:p>
        </w:tc>
        <w:tc>
          <w:tcPr>
            <w:tcW w:w="924" w:type="dxa"/>
            <w:vAlign w:val="center"/>
          </w:tcPr>
          <w:p>
            <w:pPr>
              <w:pStyle w:val="12"/>
            </w:pPr>
            <w:r>
              <w:t>轿车</w:t>
            </w:r>
          </w:p>
        </w:tc>
        <w:tc>
          <w:tcPr>
            <w:tcW w:w="924" w:type="dxa"/>
            <w:vAlign w:val="center"/>
          </w:tcPr>
          <w:p>
            <w:pPr>
              <w:pStyle w:val="12"/>
            </w:pPr>
            <w:r>
              <w:t>A02030501</w:t>
            </w:r>
          </w:p>
        </w:tc>
        <w:tc>
          <w:tcPr>
            <w:tcW w:w="924" w:type="dxa"/>
            <w:vAlign w:val="center"/>
          </w:tcPr>
          <w:p>
            <w:pPr>
              <w:pStyle w:val="11"/>
            </w:pPr>
            <w:r>
              <w:t>万元</w:t>
            </w:r>
          </w:p>
        </w:tc>
        <w:tc>
          <w:tcPr>
            <w:tcW w:w="924" w:type="dxa"/>
            <w:vAlign w:val="center"/>
          </w:tcPr>
          <w:p>
            <w:pPr>
              <w:pStyle w:val="13"/>
            </w:pPr>
            <w:r>
              <w:t>2</w:t>
            </w:r>
          </w:p>
        </w:tc>
        <w:tc>
          <w:tcPr>
            <w:tcW w:w="924" w:type="dxa"/>
            <w:vAlign w:val="center"/>
          </w:tcPr>
          <w:p>
            <w:pPr>
              <w:pStyle w:val="13"/>
            </w:pPr>
            <w:r>
              <w:t>17.50</w:t>
            </w:r>
          </w:p>
        </w:tc>
        <w:tc>
          <w:tcPr>
            <w:tcW w:w="924" w:type="dxa"/>
            <w:vAlign w:val="center"/>
          </w:tcPr>
          <w:p>
            <w:pPr>
              <w:pStyle w:val="13"/>
            </w:pPr>
            <w:r>
              <w:t>35.00</w:t>
            </w:r>
          </w:p>
        </w:tc>
        <w:tc>
          <w:tcPr>
            <w:tcW w:w="924" w:type="dxa"/>
            <w:vAlign w:val="center"/>
          </w:tcPr>
          <w:p>
            <w:pPr>
              <w:pStyle w:val="13"/>
            </w:pPr>
          </w:p>
        </w:tc>
        <w:tc>
          <w:tcPr>
            <w:tcW w:w="924" w:type="dxa"/>
            <w:vAlign w:val="center"/>
          </w:tcPr>
          <w:p>
            <w:pPr>
              <w:pStyle w:val="13"/>
            </w:pPr>
            <w:r>
              <w:t>35.00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7120"/>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石家庄市自然资源和规划局藁城分局（含所属单位）上年末固定资产金额为1770.05万元（详见下表）。本年度拟购置固定资产总额为92.14万元，已按要求列入政府采购预算，详见政府采购预算表。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324石家庄市自然资源和规划局藁城分局</w:t>
            </w:r>
            <w:r>
              <w:rPr>
                <w:rFonts w:hint="eastAsia"/>
                <w:lang w:eastAsia="zh-CN"/>
              </w:rPr>
              <w:t>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1770.05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r>
              <w:t>12298.63</w:t>
            </w:r>
          </w:p>
        </w:tc>
        <w:tc>
          <w:tcPr>
            <w:tcW w:w="4933" w:type="dxa"/>
            <w:vAlign w:val="center"/>
          </w:tcPr>
          <w:p>
            <w:pPr>
              <w:pStyle w:val="13"/>
            </w:pPr>
            <w:r>
              <w:t>1316.32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r>
              <w:t>10803.31</w:t>
            </w:r>
          </w:p>
        </w:tc>
        <w:tc>
          <w:tcPr>
            <w:tcW w:w="4933" w:type="dxa"/>
            <w:vAlign w:val="center"/>
          </w:tcPr>
          <w:p>
            <w:pPr>
              <w:pStyle w:val="13"/>
            </w:pPr>
            <w:r>
              <w:t>1084.92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2</w:t>
            </w:r>
          </w:p>
        </w:tc>
        <w:tc>
          <w:tcPr>
            <w:tcW w:w="4933" w:type="dxa"/>
            <w:vAlign w:val="center"/>
          </w:tcPr>
          <w:p>
            <w:pPr>
              <w:pStyle w:val="13"/>
            </w:pPr>
            <w:r>
              <w:t>10.45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3313</w:t>
            </w:r>
          </w:p>
        </w:tc>
        <w:tc>
          <w:tcPr>
            <w:tcW w:w="4933" w:type="dxa"/>
            <w:vAlign w:val="center"/>
          </w:tcPr>
          <w:p>
            <w:pPr>
              <w:pStyle w:val="13"/>
            </w:pPr>
            <w:r>
              <w:t>535.42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0164"/>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ascii="Times New Roman" w:hAnsi="Times New Roman" w:eastAsia="方正仿宋_GBK" w:cs="Times New Roman"/>
          <w:b w:val="0"/>
          <w:color w:val="000000"/>
          <w:sz w:val="28"/>
          <w:lang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18608"/>
      <w:r>
        <w:rPr>
          <w:rFonts w:ascii="黑体" w:hAnsi="黑体" w:eastAsia="黑体" w:cs="黑体"/>
          <w:color w:val="000000"/>
          <w:sz w:val="32"/>
        </w:rPr>
        <w:t>九、其他需要说明的事项</w:t>
      </w:r>
      <w:bookmarkEnd w:id="17"/>
    </w:p>
    <w:p>
      <w:r>
        <w:rPr>
          <w:rFonts w:ascii="Times New Roman" w:hAnsi="Times New Roman" w:eastAsia="方正仿宋_GBK" w:cs="Times New Roman"/>
          <w:b w:val="0"/>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F771E6F"/>
    <w:multiLevelType w:val="singleLevel"/>
    <w:tmpl w:val="DF771E6F"/>
    <w:lvl w:ilvl="0" w:tentative="0">
      <w:start w:val="1"/>
      <w:numFmt w:val="decimal"/>
      <w:suff w:val="nothing"/>
      <w:lvlText w:val="%1、"/>
      <w:lvlJc w:val="left"/>
    </w:lvl>
  </w:abstractNum>
  <w:abstractNum w:abstractNumId="1">
    <w:nsid w:val="75AAEB0A"/>
    <w:multiLevelType w:val="singleLevel"/>
    <w:tmpl w:val="75AAEB0A"/>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95061F"/>
    <w:rsid w:val="122D521A"/>
    <w:rsid w:val="1D9506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4fe0326b-f7de-4f47-b387-cf763b485887"/>
    <w:qFormat/>
    <w:uiPriority w:val="0"/>
    <w:rPr>
      <w:rFonts w:ascii="Times New Roman" w:hAnsi="Times New Roman" w:eastAsia="Times New Roman" w:cstheme="minorBidi"/>
      <w:sz w:val="24"/>
      <w:szCs w:val="24"/>
      <w:lang w:val="en-US" w:eastAsia="uk-UA" w:bidi="ar-SA"/>
    </w:rPr>
  </w:style>
  <w:style w:type="paragraph" w:customStyle="1" w:styleId="24">
    <w:name w:val="单元格样式1_a7e03de7-fa75-47d9-91a5-4a825489f29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991c84e6-4a0e-4f18-a05d-434130aedc73"/>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130e8106-c0c1-4c5e-84ec-d8dd32f7c371"/>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2023-09-04T07:34:00Z</dcterms:created>
  <dc:creator>WPS_1552048206</dc:creator>
  <cp:lastModifiedBy>WPS_1552048206</cp:lastModifiedBy>
  <dcterms:modified xsi:type="dcterms:W3CDTF">2023-09-04T07:53:41Z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