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0"/>
      </w:pPr>
      <w:r>
        <w:rPr>
          <w:rFonts w:hint="eastAsia" w:ascii="黑体" w:hAnsi="黑体" w:eastAsia="黑体" w:cs="黑体"/>
          <w:b/>
          <w:color w:val="000000"/>
          <w:sz w:val="44"/>
          <w:lang w:eastAsia="zh-CN"/>
        </w:rPr>
        <w:t>藁城区妇联部门所属单位</w:t>
      </w:r>
      <w:r>
        <w:rPr>
          <w:rFonts w:ascii="黑体" w:hAnsi="黑体" w:eastAsia="黑体" w:cs="黑体"/>
          <w:b/>
          <w:color w:val="000000"/>
          <w:sz w:val="44"/>
        </w:rPr>
        <w:t>2022年</w:t>
      </w:r>
      <w:r>
        <w:rPr>
          <w:rFonts w:hint="eastAsia" w:ascii="黑体" w:hAnsi="黑体" w:eastAsia="黑体" w:cs="黑体"/>
          <w:b/>
          <w:color w:val="000000"/>
          <w:sz w:val="44"/>
          <w:lang w:eastAsia="zh-CN"/>
        </w:rPr>
        <w:t>单位</w:t>
      </w:r>
      <w:r>
        <w:rPr>
          <w:rFonts w:ascii="黑体" w:hAnsi="黑体" w:eastAsia="黑体" w:cs="黑体"/>
          <w:b/>
          <w:color w:val="000000"/>
          <w:sz w:val="44"/>
        </w:rPr>
        <w:t>预算公开</w:t>
      </w:r>
    </w:p>
    <w:p>
      <w:pPr>
        <w:spacing w:before="0" w:after="0" w:line="240" w:lineRule="auto"/>
        <w:ind w:firstLine="0"/>
        <w:jc w:val="center"/>
        <w:outlineLvl w:val="9"/>
        <w:rPr>
          <w:rFonts w:ascii="黑体" w:hAnsi="黑体" w:eastAsia="黑体" w:cs="黑体"/>
          <w:b/>
          <w:color w:val="000000"/>
          <w:sz w:val="30"/>
        </w:r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黑体" w:hAnsi="黑体" w:eastAsia="黑体" w:cs="黑体"/>
          <w:b/>
          <w:color w:val="000000"/>
          <w:sz w:val="30"/>
        </w:rPr>
        <w:t xml:space="preserve"> </w:t>
      </w:r>
    </w:p>
    <w:p>
      <w:pPr>
        <w:pStyle w:val="5"/>
        <w:tabs>
          <w:tab w:val="right" w:leader="dot" w:pos="14800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_Toc17857 </w:instrText>
      </w:r>
      <w:r>
        <w:fldChar w:fldCharType="separate"/>
      </w:r>
      <w:r>
        <w:rPr>
          <w:rFonts w:ascii="方正小标宋_GBK" w:hAnsi="方正小标宋_GBK" w:eastAsia="方正小标宋_GBK" w:cs="方正小标宋_GBK"/>
        </w:rPr>
        <w:t>一、石家庄市藁城区妇女联合会本级收支预算</w:t>
      </w:r>
      <w:r>
        <w:tab/>
      </w:r>
      <w:r>
        <w:fldChar w:fldCharType="begin"/>
      </w:r>
      <w:r>
        <w:instrText xml:space="preserve"> PAGEREF _Toc17857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sectPr>
          <w:footerReference r:id="rId3" w:type="default"/>
          <w:pgSz w:w="16840" w:h="11900" w:orient="landscape"/>
          <w:pgMar w:top="1361" w:right="1020" w:bottom="1134" w:left="1020" w:header="720" w:footer="720" w:gutter="0"/>
        </w:sectPr>
      </w:pPr>
      <w:r>
        <w:fldChar w:fldCharType="end"/>
      </w:r>
    </w:p>
    <w:p>
      <w:pPr>
        <w:spacing w:before="0" w:after="0"/>
        <w:ind w:firstLine="0"/>
        <w:jc w:val="center"/>
        <w:outlineLvl w:val="3"/>
      </w:pPr>
      <w:bookmarkStart w:id="1" w:name="_GoBack"/>
      <w:bookmarkEnd w:id="1"/>
      <w:bookmarkStart w:id="0" w:name="_Toc17857"/>
      <w:r>
        <w:rPr>
          <w:rFonts w:ascii="方正小标宋_GBK" w:hAnsi="方正小标宋_GBK" w:eastAsia="方正小标宋_GBK" w:cs="方正小标宋_GBK"/>
          <w:b w:val="0"/>
          <w:color w:val="000000"/>
          <w:sz w:val="44"/>
        </w:rPr>
        <w:t>一、石家庄市藁城区妇女联合会本级收支预算</w:t>
      </w:r>
      <w:bookmarkEnd w:id="0"/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单位预算收支总表</w:t>
      </w:r>
    </w:p>
    <w:tbl>
      <w:tblPr>
        <w:tblStyle w:val="6"/>
        <w:tblW w:w="14795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9"/>
        <w:gridCol w:w="2959"/>
        <w:gridCol w:w="2959"/>
        <w:gridCol w:w="2959"/>
        <w:gridCol w:w="295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5918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2959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5918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959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5918" w:type="dxa"/>
            <w:gridSpan w:val="2"/>
            <w:vAlign w:val="center"/>
          </w:tcPr>
          <w:p>
            <w:pPr>
              <w:pStyle w:val="11"/>
            </w:pPr>
            <w:r>
              <w:t>收入</w:t>
            </w:r>
          </w:p>
        </w:tc>
        <w:tc>
          <w:tcPr>
            <w:tcW w:w="5918" w:type="dxa"/>
            <w:gridSpan w:val="2"/>
            <w:vAlign w:val="center"/>
          </w:tcPr>
          <w:p>
            <w:pPr>
              <w:pStyle w:val="11"/>
            </w:pPr>
            <w:r>
              <w:t>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959" w:type="dxa"/>
            <w:vMerge w:val="continue"/>
          </w:tcPr>
          <w:p/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项  目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预算数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项  目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预算数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959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2959" w:type="dxa"/>
            <w:vAlign w:val="center"/>
          </w:tcPr>
          <w:p>
            <w:pPr>
              <w:pStyle w:val="11"/>
            </w:pPr>
            <w:r>
              <w:t>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一、一般公共预算拨款收入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一、一般公共服务支出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  <w:r>
              <w:t>162.04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二、政府性基金预算拨款收入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二、外交支出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3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三、国有资本经营预算拨款收入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三、国防支出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4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四、财政专户管理资金收入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四、公共安全支出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5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五、事业收入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五、教育支出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6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六、事业单位经营收入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六、科学技术支出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7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七、上级补助收入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七、文化旅游体育与传媒支出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8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八、附属单位上缴收入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八、社会保障和就业支出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9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九、其他收入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九、社会保险基金支出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10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十、卫生健康支出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11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十一、节能环保支出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12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十二、城乡社区支出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13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十三、农林水支出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14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十四、交通运输支出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15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十五、资源勘探工业信息等支出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16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十六、商业服务业等支出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17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十七、金融支出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18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十八、援助其他地区支出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19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十九、自然资源海洋气象等支出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20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二十、住房保障支出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21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二十一、粮油物资储备支出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22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二十二、国有资本经营预算支出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23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二十三、灾害防治及应急管理支出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24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二十四、预备费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25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二十五、其他支出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26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二十六、转移性支出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27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二十七、债务还本支出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28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二十八、债务付息支出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29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二十九、债务发行费用支出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30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三十、抗疫特别国债安排的支出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31</w:t>
            </w:r>
          </w:p>
        </w:tc>
        <w:tc>
          <w:tcPr>
            <w:tcW w:w="2959" w:type="dxa"/>
            <w:vAlign w:val="center"/>
          </w:tcPr>
          <w:p>
            <w:pPr>
              <w:pStyle w:val="15"/>
            </w:pPr>
            <w:r>
              <w:t>本年收入合计</w:t>
            </w:r>
          </w:p>
        </w:tc>
        <w:tc>
          <w:tcPr>
            <w:tcW w:w="2959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2959" w:type="dxa"/>
            <w:vAlign w:val="center"/>
          </w:tcPr>
          <w:p>
            <w:pPr>
              <w:pStyle w:val="15"/>
            </w:pPr>
            <w:r>
              <w:t>本年支出合计</w:t>
            </w:r>
          </w:p>
        </w:tc>
        <w:tc>
          <w:tcPr>
            <w:tcW w:w="2959" w:type="dxa"/>
            <w:vAlign w:val="center"/>
          </w:tcPr>
          <w:p>
            <w:pPr>
              <w:pStyle w:val="16"/>
            </w:pPr>
            <w:r>
              <w:t>162.04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32</w:t>
            </w: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上年结转结余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  <w:tc>
          <w:tcPr>
            <w:tcW w:w="2959" w:type="dxa"/>
            <w:vAlign w:val="center"/>
          </w:tcPr>
          <w:p>
            <w:pPr>
              <w:pStyle w:val="13"/>
            </w:pPr>
            <w:r>
              <w:t>年终结转结余</w:t>
            </w:r>
          </w:p>
        </w:tc>
        <w:tc>
          <w:tcPr>
            <w:tcW w:w="2959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9" w:type="dxa"/>
            <w:vAlign w:val="center"/>
          </w:tcPr>
          <w:p>
            <w:pPr>
              <w:pStyle w:val="12"/>
            </w:pPr>
            <w:r>
              <w:t>33</w:t>
            </w:r>
          </w:p>
        </w:tc>
        <w:tc>
          <w:tcPr>
            <w:tcW w:w="2959" w:type="dxa"/>
            <w:vAlign w:val="center"/>
          </w:tcPr>
          <w:p>
            <w:pPr>
              <w:pStyle w:val="15"/>
            </w:pPr>
            <w:r>
              <w:t>收入总计</w:t>
            </w:r>
          </w:p>
        </w:tc>
        <w:tc>
          <w:tcPr>
            <w:tcW w:w="2959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2959" w:type="dxa"/>
            <w:vAlign w:val="center"/>
          </w:tcPr>
          <w:p>
            <w:pPr>
              <w:pStyle w:val="15"/>
            </w:pPr>
            <w:r>
              <w:t>支出总计</w:t>
            </w:r>
          </w:p>
        </w:tc>
        <w:tc>
          <w:tcPr>
            <w:tcW w:w="2959" w:type="dxa"/>
            <w:vAlign w:val="center"/>
          </w:tcPr>
          <w:p>
            <w:pPr>
              <w:pStyle w:val="16"/>
            </w:pPr>
            <w:r>
              <w:t>162.04</w:t>
            </w:r>
          </w:p>
        </w:tc>
      </w:tr>
    </w:tbl>
    <w:p>
      <w:pPr>
        <w:sectPr>
          <w:pgSz w:w="16840" w:h="11900" w:orient="landscape"/>
          <w:pgMar w:top="1361" w:right="1020" w:bottom="1134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单位预算收入总表</w:t>
      </w:r>
    </w:p>
    <w:tbl>
      <w:tblPr>
        <w:tblStyle w:val="6"/>
        <w:tblW w:w="985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8"/>
        <w:gridCol w:w="758"/>
        <w:gridCol w:w="758"/>
        <w:gridCol w:w="758"/>
        <w:gridCol w:w="758"/>
        <w:gridCol w:w="758"/>
        <w:gridCol w:w="758"/>
        <w:gridCol w:w="758"/>
        <w:gridCol w:w="758"/>
        <w:gridCol w:w="758"/>
        <w:gridCol w:w="758"/>
        <w:gridCol w:w="758"/>
        <w:gridCol w:w="75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379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2274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379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8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1516" w:type="dxa"/>
            <w:gridSpan w:val="2"/>
            <w:vAlign w:val="center"/>
          </w:tcPr>
          <w:p>
            <w:pPr>
              <w:pStyle w:val="11"/>
            </w:pPr>
            <w:r>
              <w:t>功能分类科目</w:t>
            </w:r>
          </w:p>
        </w:tc>
        <w:tc>
          <w:tcPr>
            <w:tcW w:w="758" w:type="dxa"/>
            <w:vMerge w:val="restart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6064" w:type="dxa"/>
            <w:gridSpan w:val="8"/>
            <w:vAlign w:val="center"/>
          </w:tcPr>
          <w:p>
            <w:pPr>
              <w:pStyle w:val="11"/>
            </w:pPr>
            <w:r>
              <w:t>本年收入</w:t>
            </w:r>
          </w:p>
        </w:tc>
        <w:tc>
          <w:tcPr>
            <w:tcW w:w="758" w:type="dxa"/>
            <w:vMerge w:val="restart"/>
            <w:vAlign w:val="center"/>
          </w:tcPr>
          <w:p>
            <w:pPr>
              <w:pStyle w:val="11"/>
            </w:pPr>
            <w:r>
              <w:t>上年结转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8" w:type="dxa"/>
            <w:vMerge w:val="continue"/>
          </w:tcPr>
          <w:p/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科目    编码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科目名称</w:t>
            </w:r>
          </w:p>
        </w:tc>
        <w:tc>
          <w:tcPr>
            <w:tcW w:w="758" w:type="dxa"/>
            <w:vMerge w:val="continue"/>
          </w:tcPr>
          <w:p/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小计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财政拨款 收入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财政专户 收入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事业收入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经营收入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上级补助收入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附属单位上缴收入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其他收入</w:t>
            </w:r>
          </w:p>
        </w:tc>
        <w:tc>
          <w:tcPr>
            <w:tcW w:w="758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8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5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6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7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8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9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10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11</w:t>
            </w:r>
          </w:p>
        </w:tc>
        <w:tc>
          <w:tcPr>
            <w:tcW w:w="758" w:type="dxa"/>
            <w:vAlign w:val="center"/>
          </w:tcPr>
          <w:p>
            <w:pPr>
              <w:pStyle w:val="11"/>
            </w:pPr>
            <w:r>
              <w:t>12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58" w:type="dxa"/>
            <w:vAlign w:val="center"/>
          </w:tcPr>
          <w:p>
            <w:pPr>
              <w:pStyle w:val="12"/>
            </w:pPr>
            <w:r>
              <w:t>1</w:t>
            </w:r>
          </w:p>
        </w:tc>
        <w:tc>
          <w:tcPr>
            <w:tcW w:w="758" w:type="dxa"/>
            <w:vAlign w:val="center"/>
          </w:tcPr>
          <w:p>
            <w:pPr>
              <w:pStyle w:val="17"/>
            </w:pPr>
          </w:p>
        </w:tc>
        <w:tc>
          <w:tcPr>
            <w:tcW w:w="758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758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  <w:tc>
          <w:tcPr>
            <w:tcW w:w="758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58" w:type="dxa"/>
            <w:vAlign w:val="center"/>
          </w:tcPr>
          <w:p>
            <w:pPr>
              <w:pStyle w:val="12"/>
            </w:pPr>
            <w:r>
              <w:t>2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201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一般公共服务支出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58" w:type="dxa"/>
            <w:vAlign w:val="center"/>
          </w:tcPr>
          <w:p>
            <w:pPr>
              <w:pStyle w:val="12"/>
            </w:pPr>
            <w:r>
              <w:t>3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20129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群众团体事务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58" w:type="dxa"/>
            <w:vAlign w:val="center"/>
          </w:tcPr>
          <w:p>
            <w:pPr>
              <w:pStyle w:val="12"/>
            </w:pPr>
            <w:r>
              <w:t>4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2012901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行政运行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58" w:type="dxa"/>
            <w:vAlign w:val="center"/>
          </w:tcPr>
          <w:p>
            <w:pPr>
              <w:pStyle w:val="12"/>
            </w:pPr>
            <w:r>
              <w:t>5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2012902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一般行政管理事务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7.50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7.50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7.50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758" w:type="dxa"/>
            <w:vAlign w:val="center"/>
          </w:tcPr>
          <w:p>
            <w:pPr>
              <w:pStyle w:val="12"/>
            </w:pPr>
            <w:r>
              <w:t>6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2012999</w:t>
            </w:r>
          </w:p>
        </w:tc>
        <w:tc>
          <w:tcPr>
            <w:tcW w:w="758" w:type="dxa"/>
            <w:vAlign w:val="center"/>
          </w:tcPr>
          <w:p>
            <w:pPr>
              <w:pStyle w:val="13"/>
            </w:pPr>
            <w:r>
              <w:t>其他群众团体事务支出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8.50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8.50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  <w:r>
              <w:t>8.50</w:t>
            </w: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  <w:tc>
          <w:tcPr>
            <w:tcW w:w="758" w:type="dxa"/>
            <w:vAlign w:val="center"/>
          </w:tcPr>
          <w:p>
            <w:pPr>
              <w:pStyle w:val="14"/>
            </w:pPr>
          </w:p>
        </w:tc>
      </w:tr>
    </w:tbl>
    <w:p>
      <w:pPr>
        <w:sectPr>
          <w:pgSz w:w="16840" w:h="11900" w:orient="landscape"/>
          <w:pgMar w:top="1361" w:right="1020" w:bottom="1134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单位预算支出总表</w:t>
      </w:r>
    </w:p>
    <w:tbl>
      <w:tblPr>
        <w:tblStyle w:val="6"/>
        <w:tblW w:w="9855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5"/>
        <w:gridCol w:w="1095"/>
        <w:gridCol w:w="1095"/>
        <w:gridCol w:w="1095"/>
        <w:gridCol w:w="1095"/>
        <w:gridCol w:w="1095"/>
        <w:gridCol w:w="1095"/>
        <w:gridCol w:w="1095"/>
        <w:gridCol w:w="109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3285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2190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4380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2190" w:type="dxa"/>
            <w:gridSpan w:val="2"/>
            <w:vAlign w:val="center"/>
          </w:tcPr>
          <w:p>
            <w:pPr>
              <w:pStyle w:val="11"/>
            </w:pPr>
            <w:r>
              <w:t>功能分类科目</w:t>
            </w:r>
          </w:p>
        </w:tc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基本支出</w:t>
            </w:r>
          </w:p>
        </w:tc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项目支出</w:t>
            </w:r>
          </w:p>
        </w:tc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经营支出</w:t>
            </w:r>
          </w:p>
        </w:tc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上解上级     支出</w:t>
            </w:r>
          </w:p>
        </w:tc>
        <w:tc>
          <w:tcPr>
            <w:tcW w:w="1095" w:type="dxa"/>
            <w:vMerge w:val="restart"/>
            <w:vAlign w:val="center"/>
          </w:tcPr>
          <w:p>
            <w:pPr>
              <w:pStyle w:val="11"/>
            </w:pPr>
            <w:r>
              <w:t>对附属单位补助支出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095" w:type="dxa"/>
            <w:vMerge w:val="continue"/>
          </w:tcPr>
          <w:p/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科目    编码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科目名称</w:t>
            </w:r>
          </w:p>
        </w:tc>
        <w:tc>
          <w:tcPr>
            <w:tcW w:w="1095" w:type="dxa"/>
            <w:vMerge w:val="continue"/>
          </w:tcPr>
          <w:p/>
        </w:tc>
        <w:tc>
          <w:tcPr>
            <w:tcW w:w="1095" w:type="dxa"/>
            <w:vMerge w:val="continue"/>
          </w:tcPr>
          <w:p/>
        </w:tc>
        <w:tc>
          <w:tcPr>
            <w:tcW w:w="1095" w:type="dxa"/>
            <w:vMerge w:val="continue"/>
          </w:tcPr>
          <w:p/>
        </w:tc>
        <w:tc>
          <w:tcPr>
            <w:tcW w:w="1095" w:type="dxa"/>
            <w:vMerge w:val="continue"/>
          </w:tcPr>
          <w:p/>
        </w:tc>
        <w:tc>
          <w:tcPr>
            <w:tcW w:w="1095" w:type="dxa"/>
            <w:vMerge w:val="continue"/>
          </w:tcPr>
          <w:p/>
        </w:tc>
        <w:tc>
          <w:tcPr>
            <w:tcW w:w="1095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095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5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6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7</w:t>
            </w:r>
          </w:p>
        </w:tc>
        <w:tc>
          <w:tcPr>
            <w:tcW w:w="1095" w:type="dxa"/>
            <w:vAlign w:val="center"/>
          </w:tcPr>
          <w:p>
            <w:pPr>
              <w:pStyle w:val="11"/>
            </w:pPr>
            <w:r>
              <w:t>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095" w:type="dxa"/>
            <w:vAlign w:val="center"/>
          </w:tcPr>
          <w:p>
            <w:pPr>
              <w:pStyle w:val="12"/>
            </w:pPr>
            <w:r>
              <w:t>1</w:t>
            </w:r>
          </w:p>
        </w:tc>
        <w:tc>
          <w:tcPr>
            <w:tcW w:w="1095" w:type="dxa"/>
            <w:vAlign w:val="center"/>
          </w:tcPr>
          <w:p>
            <w:pPr>
              <w:pStyle w:val="17"/>
            </w:pPr>
          </w:p>
        </w:tc>
        <w:tc>
          <w:tcPr>
            <w:tcW w:w="1095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1095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095" w:type="dxa"/>
            <w:vAlign w:val="center"/>
          </w:tcPr>
          <w:p>
            <w:pPr>
              <w:pStyle w:val="16"/>
            </w:pPr>
            <w:r>
              <w:t>146.04</w:t>
            </w:r>
          </w:p>
        </w:tc>
        <w:tc>
          <w:tcPr>
            <w:tcW w:w="1095" w:type="dxa"/>
            <w:vAlign w:val="center"/>
          </w:tcPr>
          <w:p>
            <w:pPr>
              <w:pStyle w:val="16"/>
            </w:pPr>
            <w:r>
              <w:t>16.00</w:t>
            </w:r>
          </w:p>
        </w:tc>
        <w:tc>
          <w:tcPr>
            <w:tcW w:w="1095" w:type="dxa"/>
            <w:vAlign w:val="center"/>
          </w:tcPr>
          <w:p>
            <w:pPr>
              <w:pStyle w:val="16"/>
            </w:pPr>
          </w:p>
        </w:tc>
        <w:tc>
          <w:tcPr>
            <w:tcW w:w="1095" w:type="dxa"/>
            <w:vAlign w:val="center"/>
          </w:tcPr>
          <w:p>
            <w:pPr>
              <w:pStyle w:val="16"/>
            </w:pPr>
          </w:p>
        </w:tc>
        <w:tc>
          <w:tcPr>
            <w:tcW w:w="1095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095" w:type="dxa"/>
            <w:vAlign w:val="center"/>
          </w:tcPr>
          <w:p>
            <w:pPr>
              <w:pStyle w:val="12"/>
            </w:pPr>
            <w:r>
              <w:t>2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201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一般公共服务支出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16.00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095" w:type="dxa"/>
            <w:vAlign w:val="center"/>
          </w:tcPr>
          <w:p>
            <w:pPr>
              <w:pStyle w:val="12"/>
            </w:pPr>
            <w:r>
              <w:t>3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20129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群众团体事务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16.00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095" w:type="dxa"/>
            <w:vAlign w:val="center"/>
          </w:tcPr>
          <w:p>
            <w:pPr>
              <w:pStyle w:val="12"/>
            </w:pPr>
            <w:r>
              <w:t>4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2012901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行政运行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095" w:type="dxa"/>
            <w:vAlign w:val="center"/>
          </w:tcPr>
          <w:p>
            <w:pPr>
              <w:pStyle w:val="12"/>
            </w:pPr>
            <w:r>
              <w:t>5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2012902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一般行政管理事务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7.50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7.50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095" w:type="dxa"/>
            <w:vAlign w:val="center"/>
          </w:tcPr>
          <w:p>
            <w:pPr>
              <w:pStyle w:val="12"/>
            </w:pPr>
            <w:r>
              <w:t>6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2012999</w:t>
            </w:r>
          </w:p>
        </w:tc>
        <w:tc>
          <w:tcPr>
            <w:tcW w:w="1095" w:type="dxa"/>
            <w:vAlign w:val="center"/>
          </w:tcPr>
          <w:p>
            <w:pPr>
              <w:pStyle w:val="13"/>
            </w:pPr>
            <w:r>
              <w:t>其他群众团体事务支出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8.50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  <w:r>
              <w:t>8.50</w:t>
            </w: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  <w:tc>
          <w:tcPr>
            <w:tcW w:w="1095" w:type="dxa"/>
            <w:vAlign w:val="center"/>
          </w:tcPr>
          <w:p>
            <w:pPr>
              <w:pStyle w:val="14"/>
            </w:pPr>
          </w:p>
        </w:tc>
      </w:tr>
    </w:tbl>
    <w:p>
      <w:pPr>
        <w:sectPr>
          <w:pgSz w:w="16840" w:h="11900" w:orient="landscape"/>
          <w:pgMar w:top="1361" w:right="1020" w:bottom="1134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单位预算财政拨款收支总表</w:t>
      </w:r>
    </w:p>
    <w:tbl>
      <w:tblPr>
        <w:tblStyle w:val="6"/>
        <w:tblW w:w="9856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232"/>
        <w:gridCol w:w="1232"/>
        <w:gridCol w:w="1232"/>
        <w:gridCol w:w="1232"/>
        <w:gridCol w:w="1232"/>
        <w:gridCol w:w="1232"/>
        <w:gridCol w:w="123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3696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1232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492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232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2464" w:type="dxa"/>
            <w:gridSpan w:val="2"/>
            <w:vAlign w:val="center"/>
          </w:tcPr>
          <w:p>
            <w:pPr>
              <w:pStyle w:val="11"/>
            </w:pPr>
            <w:r>
              <w:t>收入</w:t>
            </w:r>
          </w:p>
        </w:tc>
        <w:tc>
          <w:tcPr>
            <w:tcW w:w="6160" w:type="dxa"/>
            <w:gridSpan w:val="5"/>
            <w:vAlign w:val="center"/>
          </w:tcPr>
          <w:p>
            <w:pPr>
              <w:pStyle w:val="11"/>
            </w:pPr>
            <w:r>
              <w:t>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232" w:type="dxa"/>
            <w:vMerge w:val="continue"/>
          </w:tcPr>
          <w:p/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项  目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金额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项  目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一般公共预算财政拨款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政府性基金预算财政    拨款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国有资本经营预算财政拨款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232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5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6</w:t>
            </w:r>
          </w:p>
        </w:tc>
        <w:tc>
          <w:tcPr>
            <w:tcW w:w="1232" w:type="dxa"/>
            <w:vAlign w:val="center"/>
          </w:tcPr>
          <w:p>
            <w:pPr>
              <w:pStyle w:val="11"/>
            </w:pPr>
            <w:r>
              <w:t>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一、一般公共预算拨款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一、一般公共服务支出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二、政府性基金预算拨款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二、外交支出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三、国有资本经营预算拨款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三、国防支出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4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四、公共安全支出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5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五、教育支出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6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六、科学技术支出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7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七、文化旅游体育与传媒支出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8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八、社会保障和就业支出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9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九、社会保险基金支出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10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十、卫生健康支出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11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十一、节能环保支出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12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十二、城乡社区支出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13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十三、农林水支出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14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十四、交通运输支出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15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十五、资源勘探工业信息等支出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16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十六、商业服务业等支出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17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十七、金融支出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18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十八、援助其他地区支出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19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十九、自然资源海洋气象等支出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20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二十、住房保障支出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21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二十一、粮油物资储备支出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22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二十二、国有资本经营预算支出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23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二十三、灾害防治及应急管理支出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24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二十四、预备费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25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二十五、其他支出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26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二十六、转移性支出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27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二十七、债务还本支出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28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二十八、债务付息支出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29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二十九、债务发行费用支出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30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三十、抗疫特别国债安排的支出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31</w:t>
            </w:r>
          </w:p>
        </w:tc>
        <w:tc>
          <w:tcPr>
            <w:tcW w:w="1232" w:type="dxa"/>
            <w:vAlign w:val="center"/>
          </w:tcPr>
          <w:p>
            <w:pPr>
              <w:pStyle w:val="15"/>
            </w:pPr>
            <w:r>
              <w:t>本年收入合计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5"/>
            </w:pPr>
            <w:r>
              <w:t>本年支出合计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</w:p>
        </w:tc>
        <w:tc>
          <w:tcPr>
            <w:tcW w:w="1232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32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年初财政拨款结转和结余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年末财政拨款结转和结余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33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一、一般公共预算拨款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34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二、政府性基金预算拨款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35</w:t>
            </w:r>
          </w:p>
        </w:tc>
        <w:tc>
          <w:tcPr>
            <w:tcW w:w="1232" w:type="dxa"/>
            <w:vAlign w:val="center"/>
          </w:tcPr>
          <w:p>
            <w:pPr>
              <w:pStyle w:val="13"/>
            </w:pPr>
            <w:r>
              <w:t>三、国有资本经营预算拨款</w:t>
            </w: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3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  <w:tc>
          <w:tcPr>
            <w:tcW w:w="1232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32" w:type="dxa"/>
            <w:vAlign w:val="center"/>
          </w:tcPr>
          <w:p>
            <w:pPr>
              <w:pStyle w:val="12"/>
            </w:pPr>
            <w:r>
              <w:t>36</w:t>
            </w:r>
          </w:p>
        </w:tc>
        <w:tc>
          <w:tcPr>
            <w:tcW w:w="1232" w:type="dxa"/>
            <w:vAlign w:val="center"/>
          </w:tcPr>
          <w:p>
            <w:pPr>
              <w:pStyle w:val="15"/>
            </w:pPr>
            <w:r>
              <w:t>收入总计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5"/>
            </w:pPr>
            <w:r>
              <w:t>支出总计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232" w:type="dxa"/>
            <w:vAlign w:val="center"/>
          </w:tcPr>
          <w:p>
            <w:pPr>
              <w:pStyle w:val="16"/>
            </w:pPr>
          </w:p>
        </w:tc>
        <w:tc>
          <w:tcPr>
            <w:tcW w:w="1232" w:type="dxa"/>
            <w:vAlign w:val="center"/>
          </w:tcPr>
          <w:p>
            <w:pPr>
              <w:pStyle w:val="16"/>
            </w:pPr>
          </w:p>
        </w:tc>
      </w:tr>
    </w:tbl>
    <w:p>
      <w:pPr>
        <w:sectPr>
          <w:pgSz w:w="16840" w:h="11900" w:orient="landscape"/>
          <w:pgMar w:top="1361" w:right="1020" w:bottom="1134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单位预算一般公共预算财政拨款支出表</w:t>
      </w:r>
    </w:p>
    <w:tbl>
      <w:tblPr>
        <w:tblStyle w:val="6"/>
        <w:tblW w:w="985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1643"/>
        <w:gridCol w:w="1643"/>
        <w:gridCol w:w="1643"/>
        <w:gridCol w:w="1643"/>
        <w:gridCol w:w="16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4929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16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3286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3286" w:type="dxa"/>
            <w:gridSpan w:val="2"/>
            <w:vAlign w:val="center"/>
          </w:tcPr>
          <w:p>
            <w:pPr>
              <w:pStyle w:val="11"/>
            </w:pPr>
            <w:r>
              <w:t>功能分类科目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基本支出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continue"/>
          </w:tcPr>
          <w:p/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科目编码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科目名称</w:t>
            </w:r>
          </w:p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7"/>
            </w:pPr>
          </w:p>
        </w:tc>
        <w:tc>
          <w:tcPr>
            <w:tcW w:w="1643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1643" w:type="dxa"/>
            <w:vAlign w:val="center"/>
          </w:tcPr>
          <w:p>
            <w:pPr>
              <w:pStyle w:val="16"/>
            </w:pPr>
            <w:r>
              <w:t>162.04</w:t>
            </w:r>
          </w:p>
        </w:tc>
        <w:tc>
          <w:tcPr>
            <w:tcW w:w="1643" w:type="dxa"/>
            <w:vAlign w:val="center"/>
          </w:tcPr>
          <w:p>
            <w:pPr>
              <w:pStyle w:val="16"/>
            </w:pPr>
            <w:r>
              <w:t>146.04</w:t>
            </w:r>
          </w:p>
        </w:tc>
        <w:tc>
          <w:tcPr>
            <w:tcW w:w="1643" w:type="dxa"/>
            <w:vAlign w:val="center"/>
          </w:tcPr>
          <w:p>
            <w:pPr>
              <w:pStyle w:val="16"/>
            </w:pPr>
            <w:r>
              <w:t>16.00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201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一般公共服务支出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20129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群众团体事务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162.04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16.00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2012901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行政运行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146.04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5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2012902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一般行政管理事务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7.50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7.50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6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2012999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其他群众团体事务支出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8.50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8.50</w:t>
            </w:r>
          </w:p>
        </w:tc>
      </w:tr>
    </w:tbl>
    <w:p>
      <w:pPr>
        <w:sectPr>
          <w:pgSz w:w="16840" w:h="11900" w:orient="landscape"/>
          <w:pgMar w:top="1361" w:right="1020" w:bottom="1134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单位预算一般公共预算财政拨款基本支出表</w:t>
      </w:r>
    </w:p>
    <w:tbl>
      <w:tblPr>
        <w:tblStyle w:val="6"/>
        <w:tblW w:w="985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1643"/>
        <w:gridCol w:w="1643"/>
        <w:gridCol w:w="1643"/>
        <w:gridCol w:w="1643"/>
        <w:gridCol w:w="16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4929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16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3286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3286" w:type="dxa"/>
            <w:gridSpan w:val="2"/>
            <w:vAlign w:val="center"/>
          </w:tcPr>
          <w:p>
            <w:pPr>
              <w:pStyle w:val="11"/>
            </w:pPr>
            <w:r>
              <w:t>支出部门经济分类科目</w:t>
            </w:r>
          </w:p>
        </w:tc>
        <w:tc>
          <w:tcPr>
            <w:tcW w:w="4929" w:type="dxa"/>
            <w:gridSpan w:val="3"/>
            <w:vAlign w:val="center"/>
          </w:tcPr>
          <w:p>
            <w:pPr>
              <w:pStyle w:val="11"/>
            </w:pPr>
            <w:r>
              <w:t>一般公共预算基本支出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continue"/>
          </w:tcPr>
          <w:p/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科目编码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科目名称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人员经费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公用经费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7"/>
            </w:pPr>
          </w:p>
        </w:tc>
        <w:tc>
          <w:tcPr>
            <w:tcW w:w="1643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1643" w:type="dxa"/>
            <w:vAlign w:val="center"/>
          </w:tcPr>
          <w:p>
            <w:pPr>
              <w:pStyle w:val="16"/>
            </w:pPr>
            <w:r>
              <w:t>146.04</w:t>
            </w:r>
          </w:p>
        </w:tc>
        <w:tc>
          <w:tcPr>
            <w:tcW w:w="1643" w:type="dxa"/>
            <w:vAlign w:val="center"/>
          </w:tcPr>
          <w:p>
            <w:pPr>
              <w:pStyle w:val="16"/>
            </w:pPr>
            <w:r>
              <w:t>132.29</w:t>
            </w:r>
          </w:p>
        </w:tc>
        <w:tc>
          <w:tcPr>
            <w:tcW w:w="1643" w:type="dxa"/>
            <w:vAlign w:val="center"/>
          </w:tcPr>
          <w:p>
            <w:pPr>
              <w:pStyle w:val="16"/>
            </w:pPr>
            <w:r>
              <w:t>13.75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工资福利支出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132.29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132.29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30101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基本工资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31.29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31.29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30102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津贴补贴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55.66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55.66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5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30103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奖金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2.61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2.61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6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30108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机关事业单位基本养老保险缴费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11.69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11.69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7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30110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职工基本医疗保险缴费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6.14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6.14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8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30111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公务员医疗补助缴费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4.75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4.75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9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30112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其他社会保障缴费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10.48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10.48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10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30113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住房公积金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9.69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9.69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商品和服务支出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13.75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13.75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12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30201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办公费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2.40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2.40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13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30207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邮电费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4.20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4.20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14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30228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工会经费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0.68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0.68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15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30229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福利费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0.78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0.78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16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30239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其他交通费用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5.04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5.04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  <w:r>
              <w:t>17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30299</w:t>
            </w:r>
          </w:p>
        </w:tc>
        <w:tc>
          <w:tcPr>
            <w:tcW w:w="1643" w:type="dxa"/>
            <w:vAlign w:val="center"/>
          </w:tcPr>
          <w:p>
            <w:pPr>
              <w:pStyle w:val="13"/>
            </w:pPr>
            <w:r>
              <w:t>其他商品和服务支出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0.65</w:t>
            </w: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  <w:r>
              <w:t>0.65</w:t>
            </w:r>
          </w:p>
        </w:tc>
      </w:tr>
    </w:tbl>
    <w:p>
      <w:pPr>
        <w:sectPr>
          <w:pgSz w:w="16840" w:h="11900" w:orient="landscape"/>
          <w:pgMar w:top="1361" w:right="1020" w:bottom="1134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单位预算政府基金预算财政拨款支出表</w:t>
      </w:r>
    </w:p>
    <w:tbl>
      <w:tblPr>
        <w:tblStyle w:val="6"/>
        <w:tblW w:w="985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1643"/>
        <w:gridCol w:w="1643"/>
        <w:gridCol w:w="1643"/>
        <w:gridCol w:w="1643"/>
        <w:gridCol w:w="16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4929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16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3286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3286" w:type="dxa"/>
            <w:gridSpan w:val="2"/>
            <w:vAlign w:val="center"/>
          </w:tcPr>
          <w:p>
            <w:pPr>
              <w:pStyle w:val="11"/>
            </w:pPr>
            <w:r>
              <w:t>功能分类科目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基本支出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continue"/>
          </w:tcPr>
          <w:p/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科目编码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科目名称</w:t>
            </w:r>
          </w:p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</w:p>
        </w:tc>
        <w:tc>
          <w:tcPr>
            <w:tcW w:w="1643" w:type="dxa"/>
            <w:vAlign w:val="center"/>
          </w:tcPr>
          <w:p>
            <w:pPr>
              <w:pStyle w:val="13"/>
            </w:pPr>
          </w:p>
        </w:tc>
        <w:tc>
          <w:tcPr>
            <w:tcW w:w="1643" w:type="dxa"/>
            <w:vAlign w:val="center"/>
          </w:tcPr>
          <w:p>
            <w:pPr>
              <w:pStyle w:val="13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</w:tbl>
    <w:p>
      <w:pPr>
        <w:spacing w:before="0" w:after="0" w:line="240" w:lineRule="auto"/>
        <w:ind w:firstLine="420"/>
        <w:jc w:val="left"/>
        <w:outlineLvl w:val="9"/>
        <w:sectPr>
          <w:pgSz w:w="16840" w:h="11900" w:orient="landscape"/>
          <w:pgMar w:top="1361" w:right="1020" w:bottom="1134" w:left="1020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>注：无政府基金预算财政拨款预算，空表列示。</w:t>
      </w: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单位预算国有资本经营预算财政拨款支出表</w:t>
      </w:r>
    </w:p>
    <w:tbl>
      <w:tblPr>
        <w:tblStyle w:val="6"/>
        <w:tblW w:w="985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1643"/>
        <w:gridCol w:w="1643"/>
        <w:gridCol w:w="1643"/>
        <w:gridCol w:w="1643"/>
        <w:gridCol w:w="16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4929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16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3286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3286" w:type="dxa"/>
            <w:gridSpan w:val="2"/>
            <w:vAlign w:val="center"/>
          </w:tcPr>
          <w:p>
            <w:pPr>
              <w:pStyle w:val="11"/>
            </w:pPr>
            <w:r>
              <w:t>功能分类科目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基本支出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项目支出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continue"/>
          </w:tcPr>
          <w:p/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科目编码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科目名称</w:t>
            </w:r>
          </w:p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</w:p>
        </w:tc>
        <w:tc>
          <w:tcPr>
            <w:tcW w:w="1643" w:type="dxa"/>
            <w:vAlign w:val="center"/>
          </w:tcPr>
          <w:p>
            <w:pPr>
              <w:pStyle w:val="13"/>
            </w:pPr>
          </w:p>
        </w:tc>
        <w:tc>
          <w:tcPr>
            <w:tcW w:w="1643" w:type="dxa"/>
            <w:vAlign w:val="center"/>
          </w:tcPr>
          <w:p>
            <w:pPr>
              <w:pStyle w:val="13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</w:tbl>
    <w:p>
      <w:pPr>
        <w:spacing w:before="0" w:after="0" w:line="240" w:lineRule="auto"/>
        <w:ind w:firstLine="420"/>
        <w:jc w:val="left"/>
        <w:outlineLvl w:val="9"/>
        <w:sectPr>
          <w:pgSz w:w="16840" w:h="11900" w:orient="landscape"/>
          <w:pgMar w:top="1361" w:right="1020" w:bottom="1134" w:left="1020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>注：无国有资本经营预算财政拨款预算，空表列示。</w:t>
      </w: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单位预算财政拨款“三公”经费支出表</w:t>
      </w:r>
    </w:p>
    <w:tbl>
      <w:tblPr>
        <w:tblStyle w:val="6"/>
        <w:tblW w:w="985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1643"/>
        <w:gridCol w:w="1643"/>
        <w:gridCol w:w="1643"/>
        <w:gridCol w:w="1643"/>
        <w:gridCol w:w="16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4929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713001石家庄市藁城区妇女联合会本级</w:t>
            </w:r>
          </w:p>
        </w:tc>
        <w:tc>
          <w:tcPr>
            <w:tcW w:w="16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9"/>
            </w:pPr>
            <w:r>
              <w:t>预算年度：2022</w:t>
            </w:r>
          </w:p>
        </w:tc>
        <w:tc>
          <w:tcPr>
            <w:tcW w:w="3286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0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序号</w:t>
            </w:r>
          </w:p>
        </w:tc>
        <w:tc>
          <w:tcPr>
            <w:tcW w:w="1643" w:type="dxa"/>
            <w:vMerge w:val="restart"/>
            <w:vAlign w:val="center"/>
          </w:tcPr>
          <w:p>
            <w:pPr>
              <w:pStyle w:val="11"/>
            </w:pPr>
            <w:r>
              <w:t>项  目</w:t>
            </w:r>
          </w:p>
        </w:tc>
        <w:tc>
          <w:tcPr>
            <w:tcW w:w="6572" w:type="dxa"/>
            <w:gridSpan w:val="4"/>
            <w:vAlign w:val="center"/>
          </w:tcPr>
          <w:p>
            <w:pPr>
              <w:pStyle w:val="11"/>
            </w:pPr>
            <w:r>
              <w:t>资 金 性 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643" w:type="dxa"/>
            <w:vMerge w:val="continue"/>
          </w:tcPr>
          <w:p/>
        </w:tc>
        <w:tc>
          <w:tcPr>
            <w:tcW w:w="1643" w:type="dxa"/>
            <w:vMerge w:val="continue"/>
          </w:tcPr>
          <w:p/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合计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一般公共预算              财政拨款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政府性基金                  预算拨款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国有资本经营              预算财政拨款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643" w:type="dxa"/>
            <w:vAlign w:val="center"/>
          </w:tcPr>
          <w:p>
            <w:pPr>
              <w:pStyle w:val="11"/>
            </w:pPr>
            <w:r>
              <w:t>栏次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1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2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3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4</w:t>
            </w:r>
          </w:p>
        </w:tc>
        <w:tc>
          <w:tcPr>
            <w:tcW w:w="1643" w:type="dxa"/>
            <w:vAlign w:val="center"/>
          </w:tcPr>
          <w:p>
            <w:pPr>
              <w:pStyle w:val="11"/>
            </w:pPr>
            <w: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643" w:type="dxa"/>
            <w:vAlign w:val="center"/>
          </w:tcPr>
          <w:p>
            <w:pPr>
              <w:pStyle w:val="12"/>
            </w:pPr>
          </w:p>
        </w:tc>
        <w:tc>
          <w:tcPr>
            <w:tcW w:w="1643" w:type="dxa"/>
            <w:vAlign w:val="center"/>
          </w:tcPr>
          <w:p>
            <w:pPr>
              <w:pStyle w:val="13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  <w:tc>
          <w:tcPr>
            <w:tcW w:w="1643" w:type="dxa"/>
            <w:vAlign w:val="center"/>
          </w:tcPr>
          <w:p>
            <w:pPr>
              <w:pStyle w:val="14"/>
            </w:pPr>
          </w:p>
        </w:tc>
      </w:tr>
    </w:tbl>
    <w:p>
      <w:pPr>
        <w:spacing w:before="0" w:after="0" w:line="240" w:lineRule="auto"/>
        <w:ind w:firstLine="420"/>
        <w:jc w:val="left"/>
        <w:outlineLvl w:val="9"/>
        <w:sectPr>
          <w:pgSz w:w="16840" w:h="11900" w:orient="landscape"/>
          <w:pgMar w:top="1361" w:right="1020" w:bottom="1361" w:left="1020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>注：无财政拨款“三公”经费支出表预算，空表列示。</w:t>
      </w: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b w:val="0"/>
          <w:color w:val="000000"/>
          <w:sz w:val="44"/>
        </w:rPr>
        <w:t>石家庄市藁城区妇女联合会本级2022年单位预算信息公开情况说明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b w:val="0"/>
          <w:color w:val="000000"/>
          <w:sz w:val="28"/>
        </w:rPr>
        <w:t>按照《预算法》、《地方预决算公开操作规程》和《关于进一步推进预算公开工作的实施意见》规定，现将石家庄市藁城区妇女联合会本级2022年单位预算公开如下：</w:t>
      </w:r>
    </w:p>
    <w:p>
      <w:pPr>
        <w:spacing w:before="10" w:after="10" w:line="240" w:lineRule="auto"/>
        <w:ind w:firstLine="640"/>
        <w:jc w:val="left"/>
        <w:outlineLvl w:val="5"/>
      </w:pPr>
      <w:r>
        <w:rPr>
          <w:rFonts w:ascii="黑体" w:hAnsi="黑体" w:eastAsia="黑体" w:cs="黑体"/>
          <w:color w:val="000000"/>
          <w:sz w:val="32"/>
        </w:rPr>
        <w:t>一、单位职责及机构设置情况</w:t>
      </w:r>
    </w:p>
    <w:p>
      <w:pPr>
        <w:spacing w:before="0" w:after="0" w:line="240" w:lineRule="auto"/>
        <w:ind w:firstLine="640"/>
        <w:jc w:val="left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单位职责：</w:t>
      </w:r>
    </w:p>
    <w:p>
      <w:pPr>
        <w:pStyle w:val="18"/>
      </w:pPr>
      <w:r>
        <w:t>一、坚持正确的政治方向。坚持党的领导，坚持中国特色社会主义妇女发展道路，切实保持和增强妇联组织和妇联工作的政治性、先进性、群众性。</w:t>
      </w:r>
    </w:p>
    <w:p>
      <w:pPr>
        <w:pStyle w:val="18"/>
      </w:pPr>
      <w:r>
        <w:t>二、加强对广大妇女的政治引领和思想引导。团结引领广大妇女听党话、跟党走，在思想上、政治上、行动上同以习近平同志为核心的党中央保持高度一致。教育引导广大妇女继承和发扬中华民族传统美德，弘扬“自尊、自信、自立、自强”精神，自觉培育和践行社会主义核心价值观。</w:t>
      </w:r>
    </w:p>
    <w:p>
      <w:pPr>
        <w:pStyle w:val="18"/>
      </w:pPr>
      <w:r>
        <w:t>三、团结动员广大妇女群众建功立业。坚持创新、协调、绿色、开放、共享发展理念，动员组织妇女群众积极参加社会主义经济建设、政治建设、文化建设、社会建设和生态文明建设，为促进全省改革发展贡献智慧和力量。</w:t>
      </w:r>
    </w:p>
    <w:p>
      <w:pPr>
        <w:pStyle w:val="18"/>
      </w:pPr>
      <w:r>
        <w:t>四、依法代表和维护妇女权益，促进男女平等。深入宣传马克思主义妇女观和男女平等基本国策，积极参与有关妇女儿童政策和法律、法规的制定，建立完善维护妇女儿童权益工作机制。</w:t>
      </w:r>
    </w:p>
    <w:p>
      <w:pPr>
        <w:pStyle w:val="18"/>
      </w:pPr>
      <w:r>
        <w:t>五、深化家庭文明建设。动员组织更多家庭自觉参与“五好家庭”、文明家庭创建活动。深入开展家风建设，以好的家风支撑起好的社会风气。创新家庭教育工作方式。创新巾帼家政服务工作。</w:t>
      </w:r>
    </w:p>
    <w:p>
      <w:pPr>
        <w:pStyle w:val="18"/>
      </w:pPr>
      <w:r>
        <w:t>六、积极参与社会治理。代表妇女参与国家和社会事务的民主协商、民主管理、民主监督；密切关注并加强研究涉及妇女儿童切身利益的热点、难点问题，及时向省委、省政府反映社情民意，提出对策建议。努力推进妇联工作社会化，协调推动社会资源为妇女儿童办实事、办好事。</w:t>
      </w:r>
    </w:p>
    <w:p>
      <w:pPr>
        <w:pStyle w:val="18"/>
      </w:pPr>
      <w:r>
        <w:t xml:space="preserve">七、依法依《中华全国妇女联合会章程》履行职能。领导和指导设区市妇联和省直管县（市）妇联依据《中华全国妇女联合会章程》和妇女代表大会的任务，开展妇女儿童工作。加强对团体会员的联系和指导。加强对妇女儿童社会组织的联系、引导和服务。 </w:t>
      </w:r>
    </w:p>
    <w:p>
      <w:pPr>
        <w:pStyle w:val="18"/>
      </w:pPr>
      <w:r>
        <w:t>八、加强妇联组织自身建设。创新基层组织设置，拓展妇联组织覆盖，夯实联系和服务妇女儿童工作的组织基础。</w:t>
      </w:r>
    </w:p>
    <w:p>
      <w:pPr>
        <w:pStyle w:val="19"/>
      </w:pPr>
    </w:p>
    <w:p>
      <w:pPr>
        <w:spacing w:before="0" w:after="0" w:line="240" w:lineRule="auto"/>
        <w:ind w:firstLine="640"/>
        <w:jc w:val="left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机构设置：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单位机构设置情况</w:t>
      </w:r>
    </w:p>
    <w:tbl>
      <w:tblPr>
        <w:tblStyle w:val="6"/>
        <w:tblW w:w="9856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464" w:type="dxa"/>
            <w:vAlign w:val="center"/>
          </w:tcPr>
          <w:p>
            <w:pPr>
              <w:pStyle w:val="11"/>
            </w:pPr>
            <w:r>
              <w:t>单位名称</w:t>
            </w:r>
          </w:p>
        </w:tc>
        <w:tc>
          <w:tcPr>
            <w:tcW w:w="2464" w:type="dxa"/>
            <w:vAlign w:val="center"/>
          </w:tcPr>
          <w:p>
            <w:pPr>
              <w:pStyle w:val="11"/>
            </w:pPr>
            <w:r>
              <w:t>单位性质</w:t>
            </w:r>
          </w:p>
        </w:tc>
        <w:tc>
          <w:tcPr>
            <w:tcW w:w="2464" w:type="dxa"/>
            <w:vAlign w:val="center"/>
          </w:tcPr>
          <w:p>
            <w:pPr>
              <w:pStyle w:val="11"/>
            </w:pPr>
            <w:r>
              <w:t>单位规格</w:t>
            </w:r>
          </w:p>
        </w:tc>
        <w:tc>
          <w:tcPr>
            <w:tcW w:w="2464" w:type="dxa"/>
            <w:vAlign w:val="center"/>
          </w:tcPr>
          <w:p>
            <w:pPr>
              <w:pStyle w:val="11"/>
            </w:pPr>
            <w: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>
            <w:pPr>
              <w:pStyle w:val="13"/>
            </w:pPr>
            <w:r>
              <w:t>石家庄市藁城区妇女联合会本级</w:t>
            </w:r>
          </w:p>
        </w:tc>
        <w:tc>
          <w:tcPr>
            <w:tcW w:w="2464" w:type="dxa"/>
            <w:vAlign w:val="center"/>
          </w:tcPr>
          <w:p>
            <w:pPr>
              <w:pStyle w:val="12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eastAsia="zh-CN"/>
              </w:rPr>
              <w:t>行政</w:t>
            </w:r>
          </w:p>
        </w:tc>
        <w:tc>
          <w:tcPr>
            <w:tcW w:w="2464" w:type="dxa"/>
            <w:vAlign w:val="center"/>
          </w:tcPr>
          <w:p>
            <w:pPr>
              <w:pStyle w:val="12"/>
            </w:pPr>
            <w:r>
              <w:t>正科级</w:t>
            </w:r>
          </w:p>
        </w:tc>
        <w:tc>
          <w:tcPr>
            <w:tcW w:w="2464" w:type="dxa"/>
            <w:vAlign w:val="center"/>
          </w:tcPr>
          <w:p>
            <w:pPr>
              <w:pStyle w:val="12"/>
              <w:rPr>
                <w:rFonts w:hint="eastAsia" w:eastAsia="方正书宋_GBK"/>
                <w:lang w:eastAsia="zh-CN"/>
              </w:rPr>
            </w:pPr>
            <w:r>
              <w:t>财政</w:t>
            </w:r>
            <w:r>
              <w:rPr>
                <w:rFonts w:hint="eastAsia"/>
                <w:lang w:eastAsia="zh-CN"/>
              </w:rPr>
              <w:t>拨款</w:t>
            </w:r>
          </w:p>
        </w:tc>
      </w:tr>
    </w:tbl>
    <w:p>
      <w:pPr>
        <w:spacing w:before="10" w:after="10" w:line="240" w:lineRule="auto"/>
        <w:ind w:firstLine="640"/>
        <w:jc w:val="left"/>
        <w:outlineLvl w:val="5"/>
      </w:pPr>
      <w:r>
        <w:rPr>
          <w:rFonts w:ascii="黑体" w:hAnsi="黑体" w:eastAsia="黑体" w:cs="黑体"/>
          <w:color w:val="000000"/>
          <w:sz w:val="32"/>
        </w:rPr>
        <w:t>二、单位预算安排的总体情况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b w:val="0"/>
          <w:color w:val="000000"/>
          <w:sz w:val="28"/>
        </w:rPr>
        <w:t>按照预算管理有关规定，目前我省单位预算的编制实行综合预算管理，即全部收入和支出都反映在预算中。</w:t>
      </w:r>
    </w:p>
    <w:p>
      <w:pPr>
        <w:spacing w:before="0" w:after="0" w:line="500" w:lineRule="exact"/>
        <w:ind w:firstLine="560"/>
        <w:jc w:val="left"/>
        <w:outlineLvl w:val="9"/>
        <w:rPr>
          <w:rFonts w:ascii="Times New Roman" w:hAnsi="Times New Roman" w:eastAsia="方正仿宋_GBK" w:cs="Times New Roman"/>
          <w:b w:val="0"/>
          <w:color w:val="000000"/>
          <w:sz w:val="28"/>
        </w:rPr>
      </w:pPr>
      <w:r>
        <w:rPr>
          <w:rFonts w:hint="eastAsia" w:eastAsia="仿宋" w:cs="Times New Roman"/>
          <w:sz w:val="32"/>
          <w:szCs w:val="32"/>
          <w:lang w:val="en-US" w:eastAsia="zh-CN"/>
        </w:rPr>
        <w:t>1、</w:t>
      </w:r>
      <w:r>
        <w:rPr>
          <w:rFonts w:ascii="Times New Roman" w:hAnsi="Times New Roman" w:eastAsia="方正仿宋_GBK" w:cs="Times New Roman"/>
          <w:b w:val="0"/>
          <w:color w:val="000000"/>
          <w:sz w:val="28"/>
        </w:rPr>
        <w:t>收入说明</w:t>
      </w:r>
    </w:p>
    <w:p>
      <w:pPr>
        <w:spacing w:before="0" w:after="0" w:line="500" w:lineRule="exact"/>
        <w:ind w:firstLine="560"/>
        <w:jc w:val="left"/>
        <w:outlineLvl w:val="9"/>
        <w:rPr>
          <w:rFonts w:ascii="Times New Roman" w:hAnsi="Times New Roman" w:eastAsia="方正仿宋_GBK" w:cs="Times New Roman"/>
          <w:b w:val="0"/>
          <w:color w:val="000000"/>
          <w:sz w:val="28"/>
        </w:rPr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反映本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单位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当年全部收入。2022年预算收入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162.04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万元，其中：一般公共预算收入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162.04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万元，基金预算收入0万元，财政专户核拨收入0万元，其他来源收入0万元。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b w:val="0"/>
          <w:color w:val="000000"/>
          <w:sz w:val="28"/>
        </w:rPr>
      </w:pPr>
      <w:r>
        <w:rPr>
          <w:rFonts w:hint="eastAsia" w:eastAsia="仿宋" w:cs="Times New Roman"/>
          <w:sz w:val="32"/>
          <w:szCs w:val="32"/>
          <w:lang w:val="en-US" w:eastAsia="zh-CN"/>
        </w:rPr>
        <w:t>2、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支出说明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b w:val="0"/>
          <w:color w:val="000000"/>
          <w:sz w:val="28"/>
        </w:rPr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收支预算总表支出栏、基本支出表、项目支出表按经济分类和支出功能分类科目编制，反映本</w:t>
      </w:r>
      <w:r>
        <w:rPr>
          <w:rFonts w:hint="eastAsia" w:eastAsia="方正仿宋_GBK" w:cs="Times New Roman"/>
          <w:b w:val="0"/>
          <w:color w:val="000000"/>
          <w:sz w:val="28"/>
          <w:lang w:eastAsia="zh-CN"/>
        </w:rPr>
        <w:t>单位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预算中支出预算的总体情况。2022年</w:t>
      </w:r>
      <w:r>
        <w:rPr>
          <w:rFonts w:hint="eastAsia" w:eastAsia="方正仿宋_GBK" w:cs="Times New Roman"/>
          <w:b w:val="0"/>
          <w:color w:val="000000"/>
          <w:sz w:val="28"/>
          <w:lang w:eastAsia="zh-CN"/>
        </w:rPr>
        <w:t>单位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支出预算为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162.04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万元，其中基本支出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146.04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万元，包括人员经费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132.29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万元和日常公用经费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13.75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万元；项目支出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16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万元，主要为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贫困妇女儿童救助费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3.5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石财行[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2021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]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65号关于提前下达2022年省级妇女之家建设专项资金的通知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8.5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妇女代表大会经费支出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4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万元；其他支出0万元。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b w:val="0"/>
          <w:color w:val="000000"/>
          <w:sz w:val="28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比上年增减情况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b w:val="0"/>
          <w:color w:val="000000"/>
          <w:sz w:val="28"/>
        </w:rPr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2022年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单位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预算收支安排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16.04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万元，较2021年增加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8.01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万元，其中：基本支出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增加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8.01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万元，主要是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人员经费增加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；项目支出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增加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1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万元，主要是增加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eastAsia="zh-CN"/>
        </w:rPr>
        <w:t>贫困妇女儿童救助费</w:t>
      </w:r>
      <w:r>
        <w:rPr>
          <w:rFonts w:hint="eastAsia" w:ascii="Times New Roman" w:hAnsi="Times New Roman" w:eastAsia="方正仿宋_GBK" w:cs="Times New Roman"/>
          <w:b w:val="0"/>
          <w:color w:val="000000"/>
          <w:sz w:val="28"/>
        </w:rPr>
        <w:t>资金；其他支出无增减变化。</w:t>
      </w:r>
    </w:p>
    <w:p>
      <w:pPr>
        <w:spacing w:before="10" w:after="10" w:line="240" w:lineRule="auto"/>
        <w:ind w:firstLine="640"/>
        <w:jc w:val="left"/>
        <w:outlineLvl w:val="5"/>
      </w:pPr>
      <w:r>
        <w:rPr>
          <w:rFonts w:ascii="黑体" w:hAnsi="黑体" w:eastAsia="黑体" w:cs="黑体"/>
          <w:color w:val="000000"/>
          <w:sz w:val="32"/>
        </w:rPr>
        <w:t>三、机关运行经费安排情况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2022年，我单位机关运行经费共计安排13.75万元，主要用于保证机关正常运转的办公及印刷费、邮电费、差旅费、会议费、福利费、专用材料及一般设备购置费、日常维修费等支出。</w:t>
      </w:r>
    </w:p>
    <w:p>
      <w:pPr>
        <w:spacing w:before="10" w:after="10" w:line="240" w:lineRule="auto"/>
        <w:ind w:firstLine="640"/>
        <w:jc w:val="left"/>
        <w:outlineLvl w:val="5"/>
      </w:pPr>
      <w:r>
        <w:rPr>
          <w:rFonts w:ascii="黑体" w:hAnsi="黑体" w:eastAsia="黑体" w:cs="黑体"/>
          <w:color w:val="000000"/>
          <w:sz w:val="32"/>
        </w:rPr>
        <w:t>四、财政拨款“三公”经费预算情况及增减变化原因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lang w:val="en-US" w:eastAsia="zh-CN"/>
        </w:rPr>
        <w:t>2022年，我单位财政拨款“三公”经费预算安排0万元，其中：因公出国（境）费0万元；公务用车购置及运维费0万元（其中：公务用车购置费0万元，公务用车运行维护费0万元)；公务接待费0万元。“三公”经费与上年持平，无增减变化。</w:t>
      </w:r>
    </w:p>
    <w:p>
      <w:pPr>
        <w:spacing w:before="10" w:after="10" w:line="240" w:lineRule="auto"/>
        <w:ind w:firstLine="640"/>
        <w:jc w:val="left"/>
        <w:outlineLvl w:val="5"/>
        <w:rPr>
          <w:rFonts w:ascii="黑体" w:hAnsi="黑体" w:eastAsia="黑体" w:cs="黑体"/>
          <w:color w:val="000000"/>
          <w:sz w:val="32"/>
        </w:rPr>
      </w:pPr>
      <w:r>
        <w:rPr>
          <w:rFonts w:ascii="黑体" w:hAnsi="黑体" w:eastAsia="黑体" w:cs="黑体"/>
          <w:color w:val="000000"/>
          <w:sz w:val="32"/>
        </w:rPr>
        <w:t>五、预算绩效信息</w:t>
      </w:r>
    </w:p>
    <w:p>
      <w:pPr>
        <w:spacing w:before="10" w:after="10" w:line="240" w:lineRule="auto"/>
        <w:ind w:firstLine="640"/>
        <w:jc w:val="left"/>
        <w:outlineLvl w:val="5"/>
        <w:rPr>
          <w:rFonts w:ascii="黑体" w:hAnsi="黑体" w:eastAsia="黑体" w:cs="黑体"/>
          <w:color w:val="000000"/>
          <w:sz w:val="32"/>
        </w:rPr>
      </w:pPr>
    </w:p>
    <w:p>
      <w:pPr>
        <w:spacing w:before="10" w:after="10" w:line="240" w:lineRule="auto"/>
        <w:ind w:firstLine="640"/>
        <w:jc w:val="left"/>
        <w:outlineLvl w:val="5"/>
        <w:rPr>
          <w:rFonts w:ascii="黑体" w:hAnsi="黑体" w:eastAsia="黑体" w:cs="黑体"/>
          <w:color w:val="000000"/>
          <w:sz w:val="32"/>
        </w:rPr>
      </w:pPr>
    </w:p>
    <w:p>
      <w:pPr>
        <w:spacing w:before="10" w:after="10" w:line="240" w:lineRule="auto"/>
        <w:ind w:firstLine="640"/>
        <w:jc w:val="left"/>
        <w:outlineLvl w:val="5"/>
        <w:rPr>
          <w:rFonts w:ascii="黑体" w:hAnsi="黑体" w:eastAsia="黑体" w:cs="黑体"/>
          <w:color w:val="000000"/>
          <w:sz w:val="32"/>
        </w:rPr>
      </w:pPr>
    </w:p>
    <w:p>
      <w:pPr>
        <w:pStyle w:val="20"/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b/>
          <w:color w:val="000000"/>
          <w:sz w:val="28"/>
        </w:rPr>
        <w:t>1、妇女代表大会经费绩效目标表</w:t>
      </w:r>
    </w:p>
    <w:tbl>
      <w:tblPr>
        <w:tblStyle w:val="6"/>
        <w:tblW w:w="1479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auto" w:sz="4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9"/>
        <w:gridCol w:w="7399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auto" w:sz="4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99" w:type="dxa"/>
            <w:tcBorders>
              <w:bottom w:val="single" w:color="FFFFFF" w:sz="6" w:space="0"/>
            </w:tcBorders>
            <w:vAlign w:val="center"/>
          </w:tcPr>
          <w:p>
            <w:pPr>
              <w:pStyle w:val="21"/>
            </w:pPr>
            <w:r>
              <w:t>绩效目标</w:t>
            </w:r>
          </w:p>
        </w:tc>
        <w:tc>
          <w:tcPr>
            <w:tcW w:w="7399" w:type="dxa"/>
            <w:tcBorders>
              <w:bottom w:val="single" w:color="FFFFFF" w:sz="6" w:space="0"/>
            </w:tcBorders>
            <w:vAlign w:val="center"/>
          </w:tcPr>
          <w:p>
            <w:pPr>
              <w:pStyle w:val="22"/>
            </w:pPr>
            <w:r>
              <w:t>1.目标内容1召开妇女代表大会，提升全区妇女整体素质</w:t>
            </w:r>
          </w:p>
        </w:tc>
      </w:tr>
    </w:tbl>
    <w:p>
      <w:pPr>
        <w:pStyle w:val="20"/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6"/>
        <w:tblW w:w="14796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6"/>
        <w:gridCol w:w="2466"/>
        <w:gridCol w:w="2466"/>
        <w:gridCol w:w="2466"/>
        <w:gridCol w:w="2466"/>
        <w:gridCol w:w="246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2466" w:type="dxa"/>
            <w:vAlign w:val="center"/>
          </w:tcPr>
          <w:p>
            <w:pPr>
              <w:pStyle w:val="21"/>
            </w:pPr>
            <w:r>
              <w:t>一级指标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二级指标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三级指标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绩效指标描述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指标值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restart"/>
            <w:vAlign w:val="center"/>
          </w:tcPr>
          <w:p>
            <w:pPr>
              <w:pStyle w:val="23"/>
            </w:pPr>
            <w:r>
              <w:t>产出指标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数量指标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参加妇女代表大会人数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全年参加各类妇女代表大会的人数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≥50人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continue"/>
            <w:vAlign w:val="center"/>
          </w:tcPr>
          <w:p>
            <w:pPr>
              <w:pStyle w:val="20"/>
            </w:pP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质量指标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会议服务与保障完成率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反应完成会议服务保障任务的比例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100%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continue"/>
            <w:vAlign w:val="center"/>
          </w:tcPr>
          <w:p>
            <w:pPr>
              <w:pStyle w:val="20"/>
            </w:pP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时效指标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10月底前举办妇女代表大会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举办三八妇女节等妇女代表大会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10月底前完成各妇女代表大会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continue"/>
            <w:vAlign w:val="center"/>
          </w:tcPr>
          <w:p>
            <w:pPr>
              <w:pStyle w:val="20"/>
            </w:pP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成本指标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会议费成本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妇女代表大会的经费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4万元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Align w:val="center"/>
          </w:tcPr>
          <w:p>
            <w:pPr>
              <w:pStyle w:val="23"/>
            </w:pPr>
            <w:r>
              <w:t>效益指标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社会效益指标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促进全区妇女整体素质提升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通过代表大会及宣传表彰，提高全区妇女综合素质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提升全区妇女整体素质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Align w:val="center"/>
          </w:tcPr>
          <w:p>
            <w:pPr>
              <w:pStyle w:val="23"/>
            </w:pPr>
            <w:r>
              <w:t>满意度指标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服务对象满意度指标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基层妇女代表满意度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基层妇女代表对妇联工作的认可度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≥90%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</w:tbl>
    <w:p>
      <w:pPr>
        <w:pStyle w:val="20"/>
      </w:pPr>
    </w:p>
    <w:p>
      <w:pPr>
        <w:pStyle w:val="20"/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b/>
          <w:color w:val="000000"/>
          <w:sz w:val="28"/>
        </w:rPr>
        <w:t>2、贫困妇女儿童救助费绩效目标表</w:t>
      </w:r>
    </w:p>
    <w:tbl>
      <w:tblPr>
        <w:tblStyle w:val="6"/>
        <w:tblW w:w="14798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auto" w:sz="4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9"/>
        <w:gridCol w:w="7399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auto" w:sz="4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99" w:type="dxa"/>
            <w:tcBorders>
              <w:bottom w:val="single" w:color="FFFFFF" w:sz="6" w:space="0"/>
            </w:tcBorders>
            <w:vAlign w:val="center"/>
          </w:tcPr>
          <w:p>
            <w:pPr>
              <w:pStyle w:val="21"/>
            </w:pPr>
            <w:r>
              <w:t>绩效目标</w:t>
            </w:r>
          </w:p>
        </w:tc>
        <w:tc>
          <w:tcPr>
            <w:tcW w:w="7399" w:type="dxa"/>
            <w:tcBorders>
              <w:bottom w:val="single" w:color="FFFFFF" w:sz="6" w:space="0"/>
            </w:tcBorders>
            <w:vAlign w:val="center"/>
          </w:tcPr>
          <w:p>
            <w:pPr>
              <w:pStyle w:val="22"/>
            </w:pPr>
            <w:r>
              <w:t>1.目标内容1关爱妇女儿童弱势群体，积极为其提供帮助</w:t>
            </w:r>
          </w:p>
        </w:tc>
      </w:tr>
    </w:tbl>
    <w:p>
      <w:pPr>
        <w:pStyle w:val="20"/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6"/>
        <w:tblW w:w="14796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6"/>
        <w:gridCol w:w="2466"/>
        <w:gridCol w:w="2466"/>
        <w:gridCol w:w="2466"/>
        <w:gridCol w:w="2466"/>
        <w:gridCol w:w="246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2466" w:type="dxa"/>
            <w:vAlign w:val="center"/>
          </w:tcPr>
          <w:p>
            <w:pPr>
              <w:pStyle w:val="21"/>
            </w:pPr>
            <w:r>
              <w:t>一级指标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二级指标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三级指标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绩效指标描述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指标值</w:t>
            </w:r>
          </w:p>
        </w:tc>
        <w:tc>
          <w:tcPr>
            <w:tcW w:w="2466" w:type="dxa"/>
            <w:vAlign w:val="center"/>
          </w:tcPr>
          <w:p>
            <w:pPr>
              <w:pStyle w:val="21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restart"/>
            <w:vAlign w:val="center"/>
          </w:tcPr>
          <w:p>
            <w:pPr>
              <w:pStyle w:val="23"/>
            </w:pPr>
            <w:r>
              <w:t>产出指标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数量指标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慰问妇女儿童数量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开展慰问贫困妇女儿童活动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≥50人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continue"/>
            <w:vAlign w:val="center"/>
          </w:tcPr>
          <w:p>
            <w:pPr>
              <w:pStyle w:val="20"/>
            </w:pP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质量指标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妇女来电来访答复率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做好群众来电来访和妇女述求代理工作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≥90%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continue"/>
            <w:vAlign w:val="center"/>
          </w:tcPr>
          <w:p>
            <w:pPr>
              <w:pStyle w:val="20"/>
            </w:pP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时效指标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按时完成慰问活动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对留守和贫困儿童开展金秋助学活动、对贫困妇女开展寒冬送温暖活动。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12月底前完成慰问活动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Merge w:val="continue"/>
            <w:vAlign w:val="center"/>
          </w:tcPr>
          <w:p>
            <w:pPr>
              <w:pStyle w:val="20"/>
            </w:pP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成本指标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慰问品成本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慰问品金额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3.5万元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466" w:type="dxa"/>
            <w:vAlign w:val="center"/>
          </w:tcPr>
          <w:p>
            <w:pPr>
              <w:pStyle w:val="23"/>
            </w:pPr>
            <w:r>
              <w:t>效益指标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社会效益指标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做好妇女信访维稳工作、维护妇女儿童合法权益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妇女信访结案率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≧90%</w:t>
            </w:r>
          </w:p>
        </w:tc>
        <w:tc>
          <w:tcPr>
            <w:tcW w:w="2466" w:type="dxa"/>
            <w:vAlign w:val="center"/>
          </w:tcPr>
          <w:p>
            <w:pPr>
              <w:pStyle w:val="22"/>
            </w:pPr>
            <w:r>
              <w:t>冀组通字【2010】61号文件、石组能字【2011】37号文件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6F1482"/>
    <w:rsid w:val="1C5031EB"/>
    <w:rsid w:val="3B6F1482"/>
    <w:rsid w:val="6B8639CD"/>
    <w:rsid w:val="79690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toc 1"/>
    <w:basedOn w:val="1"/>
    <w:next w:val="1"/>
    <w:qFormat/>
    <w:uiPriority w:val="0"/>
    <w:pPr>
      <w:spacing w:before="120" w:line="240" w:lineRule="auto"/>
      <w:ind w:firstLine="56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5">
    <w:name w:val="toc 4"/>
    <w:basedOn w:val="1"/>
    <w:next w:val="1"/>
    <w:uiPriority w:val="0"/>
    <w:pPr>
      <w:ind w:left="1260" w:leftChars="600"/>
    </w:pPr>
  </w:style>
  <w:style w:type="paragraph" w:customStyle="1" w:styleId="8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9">
    <w:name w:val="单元格样式2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0">
    <w:name w:val="单元格样式22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1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2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3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单元格样式6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6">
    <w:name w:val="单元格样式7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7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8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9">
    <w:name w:val="插入文本样式-插入单位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0">
    <w:name w:val="Normal_0b397621-3f50-4f78-9b1b-98f4ba538b51"/>
    <w:qFormat/>
    <w:uiPriority w:val="0"/>
    <w:rPr>
      <w:rFonts w:ascii="Times New Roman" w:hAnsi="Times New Roman" w:eastAsia="Times New Roman" w:cstheme="minorBidi"/>
      <w:sz w:val="24"/>
      <w:szCs w:val="24"/>
      <w:lang w:val="en-US" w:eastAsia="uk-UA" w:bidi="ar-SA"/>
    </w:rPr>
  </w:style>
  <w:style w:type="paragraph" w:customStyle="1" w:styleId="21">
    <w:name w:val="单元格样式1_c18ee942-7c07-4546-8968-b98b152f584d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22">
    <w:name w:val="单元格样式2_ed1af2f6-dd18-4e79-8312-861c190aee7b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23">
    <w:name w:val="单元格样式3_25558387-76a8-4af4-88e9-ae4c1b368794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2023-09-04T09:48:00Z</dcterms:created>
  <dc:creator>Administrator</dc:creator>
  <cp:lastModifiedBy>Administrator</cp:lastModifiedBy>
  <dcterms:modified xsi:type="dcterms:W3CDTF">2023-09-04T10:13:48Z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