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p>
    <w:p>
      <w:pPr>
        <w:pStyle w:val="36"/>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一、石家庄市藁城区医疗保障局本级收支预算</w:t>
      </w:r>
      <w:r>
        <w:tab/>
      </w:r>
      <w:r>
        <w:fldChar w:fldCharType="begin"/>
      </w:r>
      <w:r>
        <w:instrText xml:space="preserve">PAGEREF _Toc_4_4_0000000019 \h</w:instrText>
      </w:r>
      <w:r>
        <w:fldChar w:fldCharType="separate"/>
      </w:r>
      <w:r>
        <w:t>25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both"/>
        <w:outlineLvl w:val="3"/>
      </w:pPr>
      <w:bookmarkStart w:id="0" w:name="_Toc_4_4_0000000019"/>
      <w:r>
        <w:rPr>
          <w:rFonts w:ascii="方正小标宋_GBK" w:hAnsi="方正小标宋_GBK" w:eastAsia="方正小标宋_GBK" w:cs="方正小标宋_GBK"/>
          <w:color w:val="000000"/>
          <w:sz w:val="44"/>
        </w:rPr>
        <w:t>一、石家庄市藁城区医疗保障局本级收支预算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435001石家庄市藁城区医疗保障局本级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12524.29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12524.29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4"/>
            </w:pPr>
            <w:r>
              <w:t>本年收入合计</w:t>
            </w:r>
          </w:p>
        </w:tc>
        <w:tc>
          <w:tcPr>
            <w:tcW w:w="2126" w:type="dxa"/>
            <w:vAlign w:val="center"/>
          </w:tcPr>
          <w:p>
            <w:pPr>
              <w:pStyle w:val="15"/>
            </w:pPr>
            <w:r>
              <w:t>12524.29</w:t>
            </w:r>
          </w:p>
        </w:tc>
        <w:tc>
          <w:tcPr>
            <w:tcW w:w="4535" w:type="dxa"/>
            <w:vAlign w:val="center"/>
          </w:tcPr>
          <w:p>
            <w:pPr>
              <w:pStyle w:val="14"/>
            </w:pPr>
            <w:r>
              <w:t>本年支出合计</w:t>
            </w:r>
          </w:p>
        </w:tc>
        <w:tc>
          <w:tcPr>
            <w:tcW w:w="2126" w:type="dxa"/>
            <w:vAlign w:val="center"/>
          </w:tcPr>
          <w:p>
            <w:pPr>
              <w:pStyle w:val="15"/>
            </w:pPr>
            <w:r>
              <w:t>12524.29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4"/>
            </w:pPr>
            <w:r>
              <w:t>收入总计</w:t>
            </w:r>
          </w:p>
        </w:tc>
        <w:tc>
          <w:tcPr>
            <w:tcW w:w="2126" w:type="dxa"/>
            <w:vAlign w:val="center"/>
          </w:tcPr>
          <w:p>
            <w:pPr>
              <w:pStyle w:val="15"/>
            </w:pPr>
            <w:r>
              <w:t>12524.29</w:t>
            </w:r>
          </w:p>
        </w:tc>
        <w:tc>
          <w:tcPr>
            <w:tcW w:w="4535" w:type="dxa"/>
            <w:vAlign w:val="center"/>
          </w:tcPr>
          <w:p>
            <w:pPr>
              <w:pStyle w:val="14"/>
            </w:pPr>
            <w:r>
              <w:t>支出总计</w:t>
            </w:r>
          </w:p>
        </w:tc>
        <w:tc>
          <w:tcPr>
            <w:tcW w:w="2126" w:type="dxa"/>
            <w:vAlign w:val="center"/>
          </w:tcPr>
          <w:p>
            <w:pPr>
              <w:pStyle w:val="15"/>
            </w:pPr>
            <w:r>
              <w:t>12524.29</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435001石家庄市藁城区医疗保障局本级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12524.29</w:t>
            </w:r>
          </w:p>
        </w:tc>
        <w:tc>
          <w:tcPr>
            <w:tcW w:w="1134" w:type="dxa"/>
            <w:vAlign w:val="center"/>
          </w:tcPr>
          <w:p>
            <w:pPr>
              <w:pStyle w:val="15"/>
            </w:pPr>
            <w:r>
              <w:t>12524.29</w:t>
            </w:r>
          </w:p>
        </w:tc>
        <w:tc>
          <w:tcPr>
            <w:tcW w:w="1134" w:type="dxa"/>
            <w:vAlign w:val="center"/>
          </w:tcPr>
          <w:p>
            <w:pPr>
              <w:pStyle w:val="15"/>
            </w:pPr>
            <w:r>
              <w:t>12524.29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12524.29</w:t>
            </w:r>
          </w:p>
        </w:tc>
        <w:tc>
          <w:tcPr>
            <w:tcW w:w="1134" w:type="dxa"/>
            <w:vAlign w:val="center"/>
          </w:tcPr>
          <w:p>
            <w:pPr>
              <w:pStyle w:val="11"/>
            </w:pPr>
            <w:r>
              <w:t>12524.29</w:t>
            </w:r>
          </w:p>
        </w:tc>
        <w:tc>
          <w:tcPr>
            <w:tcW w:w="1134" w:type="dxa"/>
            <w:vAlign w:val="center"/>
          </w:tcPr>
          <w:p>
            <w:pPr>
              <w:pStyle w:val="11"/>
            </w:pPr>
            <w:r>
              <w:t>12524.29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800.00</w:t>
            </w:r>
          </w:p>
        </w:tc>
        <w:tc>
          <w:tcPr>
            <w:tcW w:w="1134" w:type="dxa"/>
            <w:vAlign w:val="center"/>
          </w:tcPr>
          <w:p>
            <w:pPr>
              <w:pStyle w:val="11"/>
            </w:pPr>
            <w:r>
              <w:t>800.00</w:t>
            </w:r>
          </w:p>
        </w:tc>
        <w:tc>
          <w:tcPr>
            <w:tcW w:w="1134" w:type="dxa"/>
            <w:vAlign w:val="center"/>
          </w:tcPr>
          <w:p>
            <w:pPr>
              <w:pStyle w:val="11"/>
            </w:pPr>
            <w:r>
              <w:t>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800.00</w:t>
            </w:r>
          </w:p>
        </w:tc>
        <w:tc>
          <w:tcPr>
            <w:tcW w:w="1134" w:type="dxa"/>
            <w:vAlign w:val="center"/>
          </w:tcPr>
          <w:p>
            <w:pPr>
              <w:pStyle w:val="11"/>
            </w:pPr>
            <w:r>
              <w:t>800.00</w:t>
            </w:r>
          </w:p>
        </w:tc>
        <w:tc>
          <w:tcPr>
            <w:tcW w:w="1134" w:type="dxa"/>
            <w:vAlign w:val="center"/>
          </w:tcPr>
          <w:p>
            <w:pPr>
              <w:pStyle w:val="11"/>
            </w:pPr>
            <w:r>
              <w:t>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21012</w:t>
            </w:r>
          </w:p>
        </w:tc>
        <w:tc>
          <w:tcPr>
            <w:tcW w:w="1559" w:type="dxa"/>
            <w:vAlign w:val="center"/>
          </w:tcPr>
          <w:p>
            <w:pPr>
              <w:pStyle w:val="12"/>
            </w:pPr>
            <w:r>
              <w:t>财政对基本医疗保险基金的补助</w:t>
            </w:r>
          </w:p>
        </w:tc>
        <w:tc>
          <w:tcPr>
            <w:tcW w:w="1134" w:type="dxa"/>
            <w:vAlign w:val="center"/>
          </w:tcPr>
          <w:p>
            <w:pPr>
              <w:pStyle w:val="11"/>
            </w:pPr>
            <w:r>
              <w:t>8418.00</w:t>
            </w:r>
          </w:p>
        </w:tc>
        <w:tc>
          <w:tcPr>
            <w:tcW w:w="1134" w:type="dxa"/>
            <w:vAlign w:val="center"/>
          </w:tcPr>
          <w:p>
            <w:pPr>
              <w:pStyle w:val="11"/>
            </w:pPr>
            <w:r>
              <w:t>8418.00</w:t>
            </w:r>
          </w:p>
        </w:tc>
        <w:tc>
          <w:tcPr>
            <w:tcW w:w="1134" w:type="dxa"/>
            <w:vAlign w:val="center"/>
          </w:tcPr>
          <w:p>
            <w:pPr>
              <w:pStyle w:val="11"/>
            </w:pPr>
            <w:r>
              <w:t>8418.00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2101202</w:t>
            </w:r>
          </w:p>
        </w:tc>
        <w:tc>
          <w:tcPr>
            <w:tcW w:w="1559" w:type="dxa"/>
            <w:vAlign w:val="center"/>
          </w:tcPr>
          <w:p>
            <w:pPr>
              <w:pStyle w:val="12"/>
            </w:pPr>
            <w:r>
              <w:t>财政对城乡居民基本医疗保险基金的补助</w:t>
            </w:r>
          </w:p>
        </w:tc>
        <w:tc>
          <w:tcPr>
            <w:tcW w:w="1134" w:type="dxa"/>
            <w:vAlign w:val="center"/>
          </w:tcPr>
          <w:p>
            <w:pPr>
              <w:pStyle w:val="11"/>
            </w:pPr>
            <w:r>
              <w:t>8418.00</w:t>
            </w:r>
          </w:p>
        </w:tc>
        <w:tc>
          <w:tcPr>
            <w:tcW w:w="1134" w:type="dxa"/>
            <w:vAlign w:val="center"/>
          </w:tcPr>
          <w:p>
            <w:pPr>
              <w:pStyle w:val="11"/>
            </w:pPr>
            <w:r>
              <w:t>8418.00</w:t>
            </w:r>
          </w:p>
        </w:tc>
        <w:tc>
          <w:tcPr>
            <w:tcW w:w="1134" w:type="dxa"/>
            <w:vAlign w:val="center"/>
          </w:tcPr>
          <w:p>
            <w:pPr>
              <w:pStyle w:val="11"/>
            </w:pPr>
            <w:r>
              <w:t>8418.00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21013</w:t>
            </w:r>
          </w:p>
        </w:tc>
        <w:tc>
          <w:tcPr>
            <w:tcW w:w="1559" w:type="dxa"/>
            <w:vAlign w:val="center"/>
          </w:tcPr>
          <w:p>
            <w:pPr>
              <w:pStyle w:val="12"/>
            </w:pPr>
            <w:r>
              <w:t>医疗救助</w:t>
            </w:r>
          </w:p>
        </w:tc>
        <w:tc>
          <w:tcPr>
            <w:tcW w:w="1134" w:type="dxa"/>
            <w:vAlign w:val="center"/>
          </w:tcPr>
          <w:p>
            <w:pPr>
              <w:pStyle w:val="11"/>
            </w:pPr>
            <w:r>
              <w:t>2638.00</w:t>
            </w:r>
          </w:p>
        </w:tc>
        <w:tc>
          <w:tcPr>
            <w:tcW w:w="1134" w:type="dxa"/>
            <w:vAlign w:val="center"/>
          </w:tcPr>
          <w:p>
            <w:pPr>
              <w:pStyle w:val="11"/>
            </w:pPr>
            <w:r>
              <w:t>2638.00</w:t>
            </w:r>
          </w:p>
        </w:tc>
        <w:tc>
          <w:tcPr>
            <w:tcW w:w="1134" w:type="dxa"/>
            <w:vAlign w:val="center"/>
          </w:tcPr>
          <w:p>
            <w:pPr>
              <w:pStyle w:val="11"/>
            </w:pPr>
            <w:r>
              <w:t>2638.00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2101301</w:t>
            </w:r>
          </w:p>
        </w:tc>
        <w:tc>
          <w:tcPr>
            <w:tcW w:w="1559" w:type="dxa"/>
            <w:vAlign w:val="center"/>
          </w:tcPr>
          <w:p>
            <w:pPr>
              <w:pStyle w:val="12"/>
            </w:pPr>
            <w:r>
              <w:t>城乡医疗救助</w:t>
            </w:r>
          </w:p>
        </w:tc>
        <w:tc>
          <w:tcPr>
            <w:tcW w:w="1134" w:type="dxa"/>
            <w:vAlign w:val="center"/>
          </w:tcPr>
          <w:p>
            <w:pPr>
              <w:pStyle w:val="11"/>
            </w:pPr>
            <w:r>
              <w:t>2638.00</w:t>
            </w:r>
          </w:p>
        </w:tc>
        <w:tc>
          <w:tcPr>
            <w:tcW w:w="1134" w:type="dxa"/>
            <w:vAlign w:val="center"/>
          </w:tcPr>
          <w:p>
            <w:pPr>
              <w:pStyle w:val="11"/>
            </w:pPr>
            <w:r>
              <w:t>2638.00</w:t>
            </w:r>
          </w:p>
        </w:tc>
        <w:tc>
          <w:tcPr>
            <w:tcW w:w="1134" w:type="dxa"/>
            <w:vAlign w:val="center"/>
          </w:tcPr>
          <w:p>
            <w:pPr>
              <w:pStyle w:val="11"/>
            </w:pPr>
            <w:r>
              <w:t>2638.00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21015</w:t>
            </w:r>
          </w:p>
        </w:tc>
        <w:tc>
          <w:tcPr>
            <w:tcW w:w="1559" w:type="dxa"/>
            <w:vAlign w:val="center"/>
          </w:tcPr>
          <w:p>
            <w:pPr>
              <w:pStyle w:val="12"/>
            </w:pPr>
            <w:r>
              <w:t>医疗保障管理事务</w:t>
            </w:r>
          </w:p>
        </w:tc>
        <w:tc>
          <w:tcPr>
            <w:tcW w:w="1134" w:type="dxa"/>
            <w:vAlign w:val="center"/>
          </w:tcPr>
          <w:p>
            <w:pPr>
              <w:pStyle w:val="11"/>
            </w:pPr>
            <w:r>
              <w:t>668.29</w:t>
            </w:r>
          </w:p>
        </w:tc>
        <w:tc>
          <w:tcPr>
            <w:tcW w:w="1134" w:type="dxa"/>
            <w:vAlign w:val="center"/>
          </w:tcPr>
          <w:p>
            <w:pPr>
              <w:pStyle w:val="11"/>
            </w:pPr>
            <w:r>
              <w:t>668.29</w:t>
            </w:r>
          </w:p>
        </w:tc>
        <w:tc>
          <w:tcPr>
            <w:tcW w:w="1134" w:type="dxa"/>
            <w:vAlign w:val="center"/>
          </w:tcPr>
          <w:p>
            <w:pPr>
              <w:pStyle w:val="11"/>
            </w:pPr>
            <w:r>
              <w:t>668.29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2101501</w:t>
            </w:r>
          </w:p>
        </w:tc>
        <w:tc>
          <w:tcPr>
            <w:tcW w:w="1559" w:type="dxa"/>
            <w:vAlign w:val="center"/>
          </w:tcPr>
          <w:p>
            <w:pPr>
              <w:pStyle w:val="12"/>
            </w:pPr>
            <w:r>
              <w:t>行政运行</w:t>
            </w:r>
          </w:p>
        </w:tc>
        <w:tc>
          <w:tcPr>
            <w:tcW w:w="1134" w:type="dxa"/>
            <w:vAlign w:val="center"/>
          </w:tcPr>
          <w:p>
            <w:pPr>
              <w:pStyle w:val="11"/>
            </w:pPr>
            <w:r>
              <w:t>618.29</w:t>
            </w:r>
          </w:p>
        </w:tc>
        <w:tc>
          <w:tcPr>
            <w:tcW w:w="1134" w:type="dxa"/>
            <w:vAlign w:val="center"/>
          </w:tcPr>
          <w:p>
            <w:pPr>
              <w:pStyle w:val="11"/>
            </w:pPr>
            <w:r>
              <w:t>618.29</w:t>
            </w:r>
          </w:p>
        </w:tc>
        <w:tc>
          <w:tcPr>
            <w:tcW w:w="1134" w:type="dxa"/>
            <w:vAlign w:val="center"/>
          </w:tcPr>
          <w:p>
            <w:pPr>
              <w:pStyle w:val="11"/>
            </w:pPr>
            <w:r>
              <w:t>618.29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2101504</w:t>
            </w:r>
          </w:p>
        </w:tc>
        <w:tc>
          <w:tcPr>
            <w:tcW w:w="1559" w:type="dxa"/>
            <w:vAlign w:val="center"/>
          </w:tcPr>
          <w:p>
            <w:pPr>
              <w:pStyle w:val="12"/>
            </w:pPr>
            <w:r>
              <w:t>信息化建设</w:t>
            </w:r>
          </w:p>
        </w:tc>
        <w:tc>
          <w:tcPr>
            <w:tcW w:w="1134" w:type="dxa"/>
            <w:vAlign w:val="center"/>
          </w:tcPr>
          <w:p>
            <w:pPr>
              <w:pStyle w:val="11"/>
            </w:pPr>
            <w:r>
              <w:t>4.20</w:t>
            </w:r>
          </w:p>
        </w:tc>
        <w:tc>
          <w:tcPr>
            <w:tcW w:w="1134" w:type="dxa"/>
            <w:vAlign w:val="center"/>
          </w:tcPr>
          <w:p>
            <w:pPr>
              <w:pStyle w:val="11"/>
            </w:pPr>
            <w:r>
              <w:t>4.20</w:t>
            </w:r>
          </w:p>
        </w:tc>
        <w:tc>
          <w:tcPr>
            <w:tcW w:w="1134" w:type="dxa"/>
            <w:vAlign w:val="center"/>
          </w:tcPr>
          <w:p>
            <w:pPr>
              <w:pStyle w:val="11"/>
            </w:pPr>
            <w:r>
              <w:t>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2101505</w:t>
            </w:r>
          </w:p>
        </w:tc>
        <w:tc>
          <w:tcPr>
            <w:tcW w:w="1559" w:type="dxa"/>
            <w:vAlign w:val="center"/>
          </w:tcPr>
          <w:p>
            <w:pPr>
              <w:pStyle w:val="12"/>
            </w:pPr>
            <w:r>
              <w:t>医疗保障政策管理</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2101506</w:t>
            </w:r>
          </w:p>
        </w:tc>
        <w:tc>
          <w:tcPr>
            <w:tcW w:w="1559" w:type="dxa"/>
            <w:vAlign w:val="center"/>
          </w:tcPr>
          <w:p>
            <w:pPr>
              <w:pStyle w:val="12"/>
            </w:pPr>
            <w:r>
              <w:t>医疗保障经办事务</w:t>
            </w:r>
          </w:p>
        </w:tc>
        <w:tc>
          <w:tcPr>
            <w:tcW w:w="1134" w:type="dxa"/>
            <w:vAlign w:val="center"/>
          </w:tcPr>
          <w:p>
            <w:pPr>
              <w:pStyle w:val="11"/>
            </w:pPr>
            <w:r>
              <w:t>39.80</w:t>
            </w:r>
          </w:p>
        </w:tc>
        <w:tc>
          <w:tcPr>
            <w:tcW w:w="1134" w:type="dxa"/>
            <w:vAlign w:val="center"/>
          </w:tcPr>
          <w:p>
            <w:pPr>
              <w:pStyle w:val="11"/>
            </w:pPr>
            <w:r>
              <w:t>39.80</w:t>
            </w:r>
          </w:p>
        </w:tc>
        <w:tc>
          <w:tcPr>
            <w:tcW w:w="1134" w:type="dxa"/>
            <w:vAlign w:val="center"/>
          </w:tcPr>
          <w:p>
            <w:pPr>
              <w:pStyle w:val="11"/>
            </w:pPr>
            <w:r>
              <w:t>39.80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435001石家庄市藁城区医疗保障局本级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12524.29</w:t>
            </w:r>
          </w:p>
        </w:tc>
        <w:tc>
          <w:tcPr>
            <w:tcW w:w="1361" w:type="dxa"/>
            <w:vAlign w:val="center"/>
          </w:tcPr>
          <w:p>
            <w:pPr>
              <w:pStyle w:val="15"/>
            </w:pPr>
            <w:r>
              <w:t>618.29</w:t>
            </w:r>
          </w:p>
        </w:tc>
        <w:tc>
          <w:tcPr>
            <w:tcW w:w="1361" w:type="dxa"/>
            <w:vAlign w:val="center"/>
          </w:tcPr>
          <w:p>
            <w:pPr>
              <w:pStyle w:val="15"/>
            </w:pPr>
            <w:r>
              <w:t>11906.00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12524.29</w:t>
            </w:r>
          </w:p>
        </w:tc>
        <w:tc>
          <w:tcPr>
            <w:tcW w:w="1361" w:type="dxa"/>
            <w:vAlign w:val="center"/>
          </w:tcPr>
          <w:p>
            <w:pPr>
              <w:pStyle w:val="11"/>
            </w:pPr>
            <w:r>
              <w:t>618.29</w:t>
            </w:r>
          </w:p>
        </w:tc>
        <w:tc>
          <w:tcPr>
            <w:tcW w:w="1361" w:type="dxa"/>
            <w:vAlign w:val="center"/>
          </w:tcPr>
          <w:p>
            <w:pPr>
              <w:pStyle w:val="11"/>
            </w:pPr>
            <w:r>
              <w:t>11906.00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800.00</w:t>
            </w:r>
          </w:p>
        </w:tc>
        <w:tc>
          <w:tcPr>
            <w:tcW w:w="1361" w:type="dxa"/>
            <w:vAlign w:val="center"/>
          </w:tcPr>
          <w:p>
            <w:pPr>
              <w:pStyle w:val="11"/>
            </w:pPr>
          </w:p>
        </w:tc>
        <w:tc>
          <w:tcPr>
            <w:tcW w:w="1361" w:type="dxa"/>
            <w:vAlign w:val="center"/>
          </w:tcPr>
          <w:p>
            <w:pPr>
              <w:pStyle w:val="11"/>
            </w:pPr>
            <w:r>
              <w:t>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800.00</w:t>
            </w:r>
          </w:p>
        </w:tc>
        <w:tc>
          <w:tcPr>
            <w:tcW w:w="1361" w:type="dxa"/>
            <w:vAlign w:val="center"/>
          </w:tcPr>
          <w:p>
            <w:pPr>
              <w:pStyle w:val="11"/>
            </w:pPr>
          </w:p>
        </w:tc>
        <w:tc>
          <w:tcPr>
            <w:tcW w:w="1361" w:type="dxa"/>
            <w:vAlign w:val="center"/>
          </w:tcPr>
          <w:p>
            <w:pPr>
              <w:pStyle w:val="11"/>
            </w:pPr>
            <w:r>
              <w:t>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21012</w:t>
            </w:r>
          </w:p>
        </w:tc>
        <w:tc>
          <w:tcPr>
            <w:tcW w:w="4536" w:type="dxa"/>
            <w:vAlign w:val="center"/>
          </w:tcPr>
          <w:p>
            <w:pPr>
              <w:pStyle w:val="12"/>
            </w:pPr>
            <w:r>
              <w:t>财政对基本医疗保险基金的补助</w:t>
            </w:r>
          </w:p>
        </w:tc>
        <w:tc>
          <w:tcPr>
            <w:tcW w:w="1361" w:type="dxa"/>
            <w:vAlign w:val="center"/>
          </w:tcPr>
          <w:p>
            <w:pPr>
              <w:pStyle w:val="11"/>
            </w:pPr>
            <w:r>
              <w:t>8418.00</w:t>
            </w:r>
          </w:p>
        </w:tc>
        <w:tc>
          <w:tcPr>
            <w:tcW w:w="1361" w:type="dxa"/>
            <w:vAlign w:val="center"/>
          </w:tcPr>
          <w:p>
            <w:pPr>
              <w:pStyle w:val="11"/>
            </w:pPr>
          </w:p>
        </w:tc>
        <w:tc>
          <w:tcPr>
            <w:tcW w:w="1361" w:type="dxa"/>
            <w:vAlign w:val="center"/>
          </w:tcPr>
          <w:p>
            <w:pPr>
              <w:pStyle w:val="11"/>
            </w:pPr>
            <w:r>
              <w:t>8418.00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2101202</w:t>
            </w:r>
          </w:p>
        </w:tc>
        <w:tc>
          <w:tcPr>
            <w:tcW w:w="4536" w:type="dxa"/>
            <w:vAlign w:val="center"/>
          </w:tcPr>
          <w:p>
            <w:pPr>
              <w:pStyle w:val="12"/>
            </w:pPr>
            <w:r>
              <w:t>财政对城乡居民基本医疗保险基金的补助</w:t>
            </w:r>
          </w:p>
        </w:tc>
        <w:tc>
          <w:tcPr>
            <w:tcW w:w="1361" w:type="dxa"/>
            <w:vAlign w:val="center"/>
          </w:tcPr>
          <w:p>
            <w:pPr>
              <w:pStyle w:val="11"/>
            </w:pPr>
            <w:r>
              <w:t>8418.00</w:t>
            </w:r>
          </w:p>
        </w:tc>
        <w:tc>
          <w:tcPr>
            <w:tcW w:w="1361" w:type="dxa"/>
            <w:vAlign w:val="center"/>
          </w:tcPr>
          <w:p>
            <w:pPr>
              <w:pStyle w:val="11"/>
            </w:pPr>
          </w:p>
        </w:tc>
        <w:tc>
          <w:tcPr>
            <w:tcW w:w="1361" w:type="dxa"/>
            <w:vAlign w:val="center"/>
          </w:tcPr>
          <w:p>
            <w:pPr>
              <w:pStyle w:val="11"/>
            </w:pPr>
            <w:r>
              <w:t>8418.00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21013</w:t>
            </w:r>
          </w:p>
        </w:tc>
        <w:tc>
          <w:tcPr>
            <w:tcW w:w="4536" w:type="dxa"/>
            <w:vAlign w:val="center"/>
          </w:tcPr>
          <w:p>
            <w:pPr>
              <w:pStyle w:val="12"/>
            </w:pPr>
            <w:r>
              <w:t>医疗救助</w:t>
            </w:r>
          </w:p>
        </w:tc>
        <w:tc>
          <w:tcPr>
            <w:tcW w:w="1361" w:type="dxa"/>
            <w:vAlign w:val="center"/>
          </w:tcPr>
          <w:p>
            <w:pPr>
              <w:pStyle w:val="11"/>
            </w:pPr>
            <w:r>
              <w:t>2638.00</w:t>
            </w:r>
          </w:p>
        </w:tc>
        <w:tc>
          <w:tcPr>
            <w:tcW w:w="1361" w:type="dxa"/>
            <w:vAlign w:val="center"/>
          </w:tcPr>
          <w:p>
            <w:pPr>
              <w:pStyle w:val="11"/>
            </w:pPr>
          </w:p>
        </w:tc>
        <w:tc>
          <w:tcPr>
            <w:tcW w:w="1361" w:type="dxa"/>
            <w:vAlign w:val="center"/>
          </w:tcPr>
          <w:p>
            <w:pPr>
              <w:pStyle w:val="11"/>
            </w:pPr>
            <w:r>
              <w:t>2638.00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2101301</w:t>
            </w:r>
          </w:p>
        </w:tc>
        <w:tc>
          <w:tcPr>
            <w:tcW w:w="4536" w:type="dxa"/>
            <w:vAlign w:val="center"/>
          </w:tcPr>
          <w:p>
            <w:pPr>
              <w:pStyle w:val="12"/>
            </w:pPr>
            <w:r>
              <w:t>城乡医疗救助</w:t>
            </w:r>
          </w:p>
        </w:tc>
        <w:tc>
          <w:tcPr>
            <w:tcW w:w="1361" w:type="dxa"/>
            <w:vAlign w:val="center"/>
          </w:tcPr>
          <w:p>
            <w:pPr>
              <w:pStyle w:val="11"/>
            </w:pPr>
            <w:r>
              <w:t>2638.00</w:t>
            </w:r>
          </w:p>
        </w:tc>
        <w:tc>
          <w:tcPr>
            <w:tcW w:w="1361" w:type="dxa"/>
            <w:vAlign w:val="center"/>
          </w:tcPr>
          <w:p>
            <w:pPr>
              <w:pStyle w:val="11"/>
            </w:pPr>
          </w:p>
        </w:tc>
        <w:tc>
          <w:tcPr>
            <w:tcW w:w="1361" w:type="dxa"/>
            <w:vAlign w:val="center"/>
          </w:tcPr>
          <w:p>
            <w:pPr>
              <w:pStyle w:val="11"/>
            </w:pPr>
            <w:r>
              <w:t>2638.00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21015</w:t>
            </w:r>
          </w:p>
        </w:tc>
        <w:tc>
          <w:tcPr>
            <w:tcW w:w="4536" w:type="dxa"/>
            <w:vAlign w:val="center"/>
          </w:tcPr>
          <w:p>
            <w:pPr>
              <w:pStyle w:val="12"/>
            </w:pPr>
            <w:r>
              <w:t>医疗保障管理事务</w:t>
            </w:r>
          </w:p>
        </w:tc>
        <w:tc>
          <w:tcPr>
            <w:tcW w:w="1361" w:type="dxa"/>
            <w:vAlign w:val="center"/>
          </w:tcPr>
          <w:p>
            <w:pPr>
              <w:pStyle w:val="11"/>
            </w:pPr>
            <w:r>
              <w:t>668.29</w:t>
            </w:r>
          </w:p>
        </w:tc>
        <w:tc>
          <w:tcPr>
            <w:tcW w:w="1361" w:type="dxa"/>
            <w:vAlign w:val="center"/>
          </w:tcPr>
          <w:p>
            <w:pPr>
              <w:pStyle w:val="11"/>
            </w:pPr>
            <w:r>
              <w:t>618.29</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2101501</w:t>
            </w:r>
          </w:p>
        </w:tc>
        <w:tc>
          <w:tcPr>
            <w:tcW w:w="4536" w:type="dxa"/>
            <w:vAlign w:val="center"/>
          </w:tcPr>
          <w:p>
            <w:pPr>
              <w:pStyle w:val="12"/>
            </w:pPr>
            <w:r>
              <w:t>行政运行</w:t>
            </w:r>
          </w:p>
        </w:tc>
        <w:tc>
          <w:tcPr>
            <w:tcW w:w="1361" w:type="dxa"/>
            <w:vAlign w:val="center"/>
          </w:tcPr>
          <w:p>
            <w:pPr>
              <w:pStyle w:val="11"/>
            </w:pPr>
            <w:r>
              <w:t>618.29</w:t>
            </w:r>
          </w:p>
        </w:tc>
        <w:tc>
          <w:tcPr>
            <w:tcW w:w="1361" w:type="dxa"/>
            <w:vAlign w:val="center"/>
          </w:tcPr>
          <w:p>
            <w:pPr>
              <w:pStyle w:val="11"/>
            </w:pPr>
            <w:r>
              <w:t>618.29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2101504</w:t>
            </w:r>
          </w:p>
        </w:tc>
        <w:tc>
          <w:tcPr>
            <w:tcW w:w="4536" w:type="dxa"/>
            <w:vAlign w:val="center"/>
          </w:tcPr>
          <w:p>
            <w:pPr>
              <w:pStyle w:val="12"/>
            </w:pPr>
            <w:r>
              <w:t>信息化建设</w:t>
            </w:r>
          </w:p>
        </w:tc>
        <w:tc>
          <w:tcPr>
            <w:tcW w:w="1361" w:type="dxa"/>
            <w:vAlign w:val="center"/>
          </w:tcPr>
          <w:p>
            <w:pPr>
              <w:pStyle w:val="11"/>
            </w:pPr>
            <w:r>
              <w:t>4.20</w:t>
            </w:r>
          </w:p>
        </w:tc>
        <w:tc>
          <w:tcPr>
            <w:tcW w:w="1361" w:type="dxa"/>
            <w:vAlign w:val="center"/>
          </w:tcPr>
          <w:p>
            <w:pPr>
              <w:pStyle w:val="11"/>
            </w:pPr>
          </w:p>
        </w:tc>
        <w:tc>
          <w:tcPr>
            <w:tcW w:w="1361" w:type="dxa"/>
            <w:vAlign w:val="center"/>
          </w:tcPr>
          <w:p>
            <w:pPr>
              <w:pStyle w:val="11"/>
            </w:pPr>
            <w:r>
              <w:t>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2101505</w:t>
            </w:r>
          </w:p>
        </w:tc>
        <w:tc>
          <w:tcPr>
            <w:tcW w:w="4536" w:type="dxa"/>
            <w:vAlign w:val="center"/>
          </w:tcPr>
          <w:p>
            <w:pPr>
              <w:pStyle w:val="12"/>
            </w:pPr>
            <w:r>
              <w:t>医疗保障政策管理</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2101506</w:t>
            </w:r>
          </w:p>
        </w:tc>
        <w:tc>
          <w:tcPr>
            <w:tcW w:w="4536" w:type="dxa"/>
            <w:vAlign w:val="center"/>
          </w:tcPr>
          <w:p>
            <w:pPr>
              <w:pStyle w:val="12"/>
            </w:pPr>
            <w:r>
              <w:t>医疗保障经办事务</w:t>
            </w:r>
          </w:p>
        </w:tc>
        <w:tc>
          <w:tcPr>
            <w:tcW w:w="1361" w:type="dxa"/>
            <w:vAlign w:val="center"/>
          </w:tcPr>
          <w:p>
            <w:pPr>
              <w:pStyle w:val="11"/>
            </w:pPr>
            <w:r>
              <w:t>39.80</w:t>
            </w:r>
          </w:p>
        </w:tc>
        <w:tc>
          <w:tcPr>
            <w:tcW w:w="1361" w:type="dxa"/>
            <w:vAlign w:val="center"/>
          </w:tcPr>
          <w:p>
            <w:pPr>
              <w:pStyle w:val="11"/>
            </w:pPr>
          </w:p>
        </w:tc>
        <w:tc>
          <w:tcPr>
            <w:tcW w:w="1361" w:type="dxa"/>
            <w:vAlign w:val="center"/>
          </w:tcPr>
          <w:p>
            <w:pPr>
              <w:pStyle w:val="11"/>
            </w:pPr>
            <w:r>
              <w:t>39.80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435001石家庄市藁城区医疗保障局本级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12524.29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12524.29</w:t>
            </w:r>
          </w:p>
        </w:tc>
        <w:tc>
          <w:tcPr>
            <w:tcW w:w="1474" w:type="dxa"/>
            <w:vAlign w:val="center"/>
          </w:tcPr>
          <w:p>
            <w:pPr>
              <w:pStyle w:val="11"/>
            </w:pPr>
            <w:r>
              <w:t>12524.29</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12524.29</w:t>
            </w:r>
          </w:p>
        </w:tc>
        <w:tc>
          <w:tcPr>
            <w:tcW w:w="3402" w:type="dxa"/>
            <w:vAlign w:val="center"/>
          </w:tcPr>
          <w:p>
            <w:pPr>
              <w:pStyle w:val="14"/>
            </w:pPr>
            <w:r>
              <w:t>本年支出合计</w:t>
            </w:r>
          </w:p>
        </w:tc>
        <w:tc>
          <w:tcPr>
            <w:tcW w:w="1474" w:type="dxa"/>
            <w:vAlign w:val="center"/>
          </w:tcPr>
          <w:p>
            <w:pPr>
              <w:pStyle w:val="15"/>
            </w:pPr>
            <w:r>
              <w:t>12524.29</w:t>
            </w:r>
          </w:p>
        </w:tc>
        <w:tc>
          <w:tcPr>
            <w:tcW w:w="1474" w:type="dxa"/>
            <w:vAlign w:val="center"/>
          </w:tcPr>
          <w:p>
            <w:pPr>
              <w:pStyle w:val="15"/>
            </w:pPr>
            <w:r>
              <w:t>12524.29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12524.29</w:t>
            </w:r>
          </w:p>
        </w:tc>
        <w:tc>
          <w:tcPr>
            <w:tcW w:w="3402" w:type="dxa"/>
            <w:vAlign w:val="center"/>
          </w:tcPr>
          <w:p>
            <w:pPr>
              <w:pStyle w:val="14"/>
            </w:pPr>
            <w:r>
              <w:t>支出总计</w:t>
            </w:r>
          </w:p>
        </w:tc>
        <w:tc>
          <w:tcPr>
            <w:tcW w:w="1474" w:type="dxa"/>
            <w:vAlign w:val="center"/>
          </w:tcPr>
          <w:p>
            <w:pPr>
              <w:pStyle w:val="15"/>
            </w:pPr>
            <w:r>
              <w:t>12524.29</w:t>
            </w:r>
          </w:p>
        </w:tc>
        <w:tc>
          <w:tcPr>
            <w:tcW w:w="1474" w:type="dxa"/>
            <w:vAlign w:val="center"/>
          </w:tcPr>
          <w:p>
            <w:pPr>
              <w:pStyle w:val="15"/>
            </w:pPr>
            <w:r>
              <w:t>12524.29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435001石家庄市藁城区医疗保障局本级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12524.29</w:t>
            </w:r>
          </w:p>
        </w:tc>
        <w:tc>
          <w:tcPr>
            <w:tcW w:w="2551" w:type="dxa"/>
            <w:vAlign w:val="center"/>
          </w:tcPr>
          <w:p>
            <w:pPr>
              <w:pStyle w:val="15"/>
            </w:pPr>
            <w:r>
              <w:t>618.29</w:t>
            </w:r>
          </w:p>
        </w:tc>
        <w:tc>
          <w:tcPr>
            <w:tcW w:w="2551" w:type="dxa"/>
            <w:vAlign w:val="center"/>
          </w:tcPr>
          <w:p>
            <w:pPr>
              <w:pStyle w:val="15"/>
            </w:pPr>
            <w:r>
              <w:t>11906.00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12524.29</w:t>
            </w:r>
          </w:p>
        </w:tc>
        <w:tc>
          <w:tcPr>
            <w:tcW w:w="2551" w:type="dxa"/>
            <w:vAlign w:val="center"/>
          </w:tcPr>
          <w:p>
            <w:pPr>
              <w:pStyle w:val="11"/>
            </w:pPr>
            <w:r>
              <w:t>618.29</w:t>
            </w:r>
          </w:p>
        </w:tc>
        <w:tc>
          <w:tcPr>
            <w:tcW w:w="2551" w:type="dxa"/>
            <w:vAlign w:val="center"/>
          </w:tcPr>
          <w:p>
            <w:pPr>
              <w:pStyle w:val="11"/>
            </w:pPr>
            <w:r>
              <w:t>11906.00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800.00</w:t>
            </w:r>
          </w:p>
        </w:tc>
        <w:tc>
          <w:tcPr>
            <w:tcW w:w="2551" w:type="dxa"/>
            <w:vAlign w:val="center"/>
          </w:tcPr>
          <w:p>
            <w:pPr>
              <w:pStyle w:val="11"/>
            </w:pPr>
          </w:p>
        </w:tc>
        <w:tc>
          <w:tcPr>
            <w:tcW w:w="2551" w:type="dxa"/>
            <w:vAlign w:val="center"/>
          </w:tcPr>
          <w:p>
            <w:pPr>
              <w:pStyle w:val="11"/>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800.00</w:t>
            </w:r>
          </w:p>
        </w:tc>
        <w:tc>
          <w:tcPr>
            <w:tcW w:w="2551" w:type="dxa"/>
            <w:vAlign w:val="center"/>
          </w:tcPr>
          <w:p>
            <w:pPr>
              <w:pStyle w:val="11"/>
            </w:pPr>
          </w:p>
        </w:tc>
        <w:tc>
          <w:tcPr>
            <w:tcW w:w="2551" w:type="dxa"/>
            <w:vAlign w:val="center"/>
          </w:tcPr>
          <w:p>
            <w:pPr>
              <w:pStyle w:val="11"/>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21012</w:t>
            </w:r>
          </w:p>
        </w:tc>
        <w:tc>
          <w:tcPr>
            <w:tcW w:w="4535" w:type="dxa"/>
            <w:vAlign w:val="center"/>
          </w:tcPr>
          <w:p>
            <w:pPr>
              <w:pStyle w:val="12"/>
            </w:pPr>
            <w:r>
              <w:t>财政对基本医疗保险基金的补助</w:t>
            </w:r>
          </w:p>
        </w:tc>
        <w:tc>
          <w:tcPr>
            <w:tcW w:w="2551" w:type="dxa"/>
            <w:vAlign w:val="center"/>
          </w:tcPr>
          <w:p>
            <w:pPr>
              <w:pStyle w:val="11"/>
            </w:pPr>
            <w:r>
              <w:t>8418.00</w:t>
            </w:r>
          </w:p>
        </w:tc>
        <w:tc>
          <w:tcPr>
            <w:tcW w:w="2551" w:type="dxa"/>
            <w:vAlign w:val="center"/>
          </w:tcPr>
          <w:p>
            <w:pPr>
              <w:pStyle w:val="11"/>
            </w:pPr>
          </w:p>
        </w:tc>
        <w:tc>
          <w:tcPr>
            <w:tcW w:w="2551" w:type="dxa"/>
            <w:vAlign w:val="center"/>
          </w:tcPr>
          <w:p>
            <w:pPr>
              <w:pStyle w:val="11"/>
            </w:pPr>
            <w:r>
              <w:t>8418.00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2101202</w:t>
            </w:r>
          </w:p>
        </w:tc>
        <w:tc>
          <w:tcPr>
            <w:tcW w:w="4535" w:type="dxa"/>
            <w:vAlign w:val="center"/>
          </w:tcPr>
          <w:p>
            <w:pPr>
              <w:pStyle w:val="12"/>
            </w:pPr>
            <w:r>
              <w:t>财政对城乡居民基本医疗保险基金的补助</w:t>
            </w:r>
          </w:p>
        </w:tc>
        <w:tc>
          <w:tcPr>
            <w:tcW w:w="2551" w:type="dxa"/>
            <w:vAlign w:val="center"/>
          </w:tcPr>
          <w:p>
            <w:pPr>
              <w:pStyle w:val="11"/>
            </w:pPr>
            <w:r>
              <w:t>8418.00</w:t>
            </w:r>
          </w:p>
        </w:tc>
        <w:tc>
          <w:tcPr>
            <w:tcW w:w="2551" w:type="dxa"/>
            <w:vAlign w:val="center"/>
          </w:tcPr>
          <w:p>
            <w:pPr>
              <w:pStyle w:val="11"/>
            </w:pPr>
          </w:p>
        </w:tc>
        <w:tc>
          <w:tcPr>
            <w:tcW w:w="2551" w:type="dxa"/>
            <w:vAlign w:val="center"/>
          </w:tcPr>
          <w:p>
            <w:pPr>
              <w:pStyle w:val="11"/>
            </w:pPr>
            <w:r>
              <w:t>8418.00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21013</w:t>
            </w:r>
          </w:p>
        </w:tc>
        <w:tc>
          <w:tcPr>
            <w:tcW w:w="4535" w:type="dxa"/>
            <w:vAlign w:val="center"/>
          </w:tcPr>
          <w:p>
            <w:pPr>
              <w:pStyle w:val="12"/>
            </w:pPr>
            <w:r>
              <w:t>医疗救助</w:t>
            </w:r>
          </w:p>
        </w:tc>
        <w:tc>
          <w:tcPr>
            <w:tcW w:w="2551" w:type="dxa"/>
            <w:vAlign w:val="center"/>
          </w:tcPr>
          <w:p>
            <w:pPr>
              <w:pStyle w:val="11"/>
            </w:pPr>
            <w:r>
              <w:t>2638.00</w:t>
            </w:r>
          </w:p>
        </w:tc>
        <w:tc>
          <w:tcPr>
            <w:tcW w:w="2551" w:type="dxa"/>
            <w:vAlign w:val="center"/>
          </w:tcPr>
          <w:p>
            <w:pPr>
              <w:pStyle w:val="11"/>
            </w:pPr>
          </w:p>
        </w:tc>
        <w:tc>
          <w:tcPr>
            <w:tcW w:w="2551" w:type="dxa"/>
            <w:vAlign w:val="center"/>
          </w:tcPr>
          <w:p>
            <w:pPr>
              <w:pStyle w:val="11"/>
            </w:pPr>
            <w:r>
              <w:t>2638.00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2101301</w:t>
            </w:r>
          </w:p>
        </w:tc>
        <w:tc>
          <w:tcPr>
            <w:tcW w:w="4535" w:type="dxa"/>
            <w:vAlign w:val="center"/>
          </w:tcPr>
          <w:p>
            <w:pPr>
              <w:pStyle w:val="12"/>
            </w:pPr>
            <w:r>
              <w:t>城乡医疗救助</w:t>
            </w:r>
          </w:p>
        </w:tc>
        <w:tc>
          <w:tcPr>
            <w:tcW w:w="2551" w:type="dxa"/>
            <w:vAlign w:val="center"/>
          </w:tcPr>
          <w:p>
            <w:pPr>
              <w:pStyle w:val="11"/>
            </w:pPr>
            <w:r>
              <w:t>2638.00</w:t>
            </w:r>
          </w:p>
        </w:tc>
        <w:tc>
          <w:tcPr>
            <w:tcW w:w="2551" w:type="dxa"/>
            <w:vAlign w:val="center"/>
          </w:tcPr>
          <w:p>
            <w:pPr>
              <w:pStyle w:val="11"/>
            </w:pPr>
          </w:p>
        </w:tc>
        <w:tc>
          <w:tcPr>
            <w:tcW w:w="2551" w:type="dxa"/>
            <w:vAlign w:val="center"/>
          </w:tcPr>
          <w:p>
            <w:pPr>
              <w:pStyle w:val="11"/>
            </w:pPr>
            <w:r>
              <w:t>2638.00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21015</w:t>
            </w:r>
          </w:p>
        </w:tc>
        <w:tc>
          <w:tcPr>
            <w:tcW w:w="4535" w:type="dxa"/>
            <w:vAlign w:val="center"/>
          </w:tcPr>
          <w:p>
            <w:pPr>
              <w:pStyle w:val="12"/>
            </w:pPr>
            <w:r>
              <w:t>医疗保障管理事务</w:t>
            </w:r>
          </w:p>
        </w:tc>
        <w:tc>
          <w:tcPr>
            <w:tcW w:w="2551" w:type="dxa"/>
            <w:vAlign w:val="center"/>
          </w:tcPr>
          <w:p>
            <w:pPr>
              <w:pStyle w:val="11"/>
            </w:pPr>
            <w:r>
              <w:t>668.29</w:t>
            </w:r>
          </w:p>
        </w:tc>
        <w:tc>
          <w:tcPr>
            <w:tcW w:w="2551" w:type="dxa"/>
            <w:vAlign w:val="center"/>
          </w:tcPr>
          <w:p>
            <w:pPr>
              <w:pStyle w:val="11"/>
            </w:pPr>
            <w:r>
              <w:t>618.29</w:t>
            </w: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2101501</w:t>
            </w:r>
          </w:p>
        </w:tc>
        <w:tc>
          <w:tcPr>
            <w:tcW w:w="4535" w:type="dxa"/>
            <w:vAlign w:val="center"/>
          </w:tcPr>
          <w:p>
            <w:pPr>
              <w:pStyle w:val="12"/>
            </w:pPr>
            <w:r>
              <w:t>行政运行</w:t>
            </w:r>
          </w:p>
        </w:tc>
        <w:tc>
          <w:tcPr>
            <w:tcW w:w="2551" w:type="dxa"/>
            <w:vAlign w:val="center"/>
          </w:tcPr>
          <w:p>
            <w:pPr>
              <w:pStyle w:val="11"/>
            </w:pPr>
            <w:r>
              <w:t>618.29</w:t>
            </w:r>
          </w:p>
        </w:tc>
        <w:tc>
          <w:tcPr>
            <w:tcW w:w="2551" w:type="dxa"/>
            <w:vAlign w:val="center"/>
          </w:tcPr>
          <w:p>
            <w:pPr>
              <w:pStyle w:val="11"/>
            </w:pPr>
            <w:r>
              <w:t>618.29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2101504</w:t>
            </w:r>
          </w:p>
        </w:tc>
        <w:tc>
          <w:tcPr>
            <w:tcW w:w="4535" w:type="dxa"/>
            <w:vAlign w:val="center"/>
          </w:tcPr>
          <w:p>
            <w:pPr>
              <w:pStyle w:val="12"/>
            </w:pPr>
            <w:r>
              <w:t>信息化建设</w:t>
            </w:r>
          </w:p>
        </w:tc>
        <w:tc>
          <w:tcPr>
            <w:tcW w:w="2551" w:type="dxa"/>
            <w:vAlign w:val="center"/>
          </w:tcPr>
          <w:p>
            <w:pPr>
              <w:pStyle w:val="11"/>
            </w:pPr>
            <w:r>
              <w:t>4.20</w:t>
            </w:r>
          </w:p>
        </w:tc>
        <w:tc>
          <w:tcPr>
            <w:tcW w:w="2551" w:type="dxa"/>
            <w:vAlign w:val="center"/>
          </w:tcPr>
          <w:p>
            <w:pPr>
              <w:pStyle w:val="11"/>
            </w:pPr>
          </w:p>
        </w:tc>
        <w:tc>
          <w:tcPr>
            <w:tcW w:w="2551"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2101505</w:t>
            </w:r>
          </w:p>
        </w:tc>
        <w:tc>
          <w:tcPr>
            <w:tcW w:w="4535" w:type="dxa"/>
            <w:vAlign w:val="center"/>
          </w:tcPr>
          <w:p>
            <w:pPr>
              <w:pStyle w:val="12"/>
            </w:pPr>
            <w:r>
              <w:t>医疗保障政策管理</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2101506</w:t>
            </w:r>
          </w:p>
        </w:tc>
        <w:tc>
          <w:tcPr>
            <w:tcW w:w="4535" w:type="dxa"/>
            <w:vAlign w:val="center"/>
          </w:tcPr>
          <w:p>
            <w:pPr>
              <w:pStyle w:val="12"/>
            </w:pPr>
            <w:r>
              <w:t>医疗保障经办事务</w:t>
            </w:r>
          </w:p>
        </w:tc>
        <w:tc>
          <w:tcPr>
            <w:tcW w:w="2551" w:type="dxa"/>
            <w:vAlign w:val="center"/>
          </w:tcPr>
          <w:p>
            <w:pPr>
              <w:pStyle w:val="11"/>
            </w:pPr>
            <w:r>
              <w:t>39.80</w:t>
            </w:r>
          </w:p>
        </w:tc>
        <w:tc>
          <w:tcPr>
            <w:tcW w:w="2551" w:type="dxa"/>
            <w:vAlign w:val="center"/>
          </w:tcPr>
          <w:p>
            <w:pPr>
              <w:pStyle w:val="11"/>
            </w:pPr>
          </w:p>
        </w:tc>
        <w:tc>
          <w:tcPr>
            <w:tcW w:w="2551" w:type="dxa"/>
            <w:vAlign w:val="center"/>
          </w:tcPr>
          <w:p>
            <w:pPr>
              <w:pStyle w:val="11"/>
            </w:pPr>
            <w:r>
              <w:t>39.80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435001石家庄市藁城区医疗保障局本级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618.29</w:t>
            </w:r>
          </w:p>
        </w:tc>
        <w:tc>
          <w:tcPr>
            <w:tcW w:w="2551" w:type="dxa"/>
            <w:vAlign w:val="center"/>
          </w:tcPr>
          <w:p>
            <w:pPr>
              <w:pStyle w:val="15"/>
            </w:pPr>
            <w:r>
              <w:t>584.43</w:t>
            </w:r>
          </w:p>
        </w:tc>
        <w:tc>
          <w:tcPr>
            <w:tcW w:w="2552" w:type="dxa"/>
            <w:vAlign w:val="center"/>
          </w:tcPr>
          <w:p>
            <w:pPr>
              <w:pStyle w:val="15"/>
            </w:pPr>
            <w:r>
              <w:t>33.86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584.40</w:t>
            </w:r>
          </w:p>
        </w:tc>
        <w:tc>
          <w:tcPr>
            <w:tcW w:w="2551" w:type="dxa"/>
            <w:vAlign w:val="center"/>
          </w:tcPr>
          <w:p>
            <w:pPr>
              <w:pStyle w:val="11"/>
            </w:pPr>
            <w:r>
              <w:t>584.40</w:t>
            </w:r>
          </w:p>
        </w:tc>
        <w:tc>
          <w:tcPr>
            <w:tcW w:w="255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142.76</w:t>
            </w:r>
          </w:p>
        </w:tc>
        <w:tc>
          <w:tcPr>
            <w:tcW w:w="2551" w:type="dxa"/>
            <w:vAlign w:val="center"/>
          </w:tcPr>
          <w:p>
            <w:pPr>
              <w:pStyle w:val="11"/>
            </w:pPr>
            <w:r>
              <w:t>142.76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172.64</w:t>
            </w:r>
          </w:p>
        </w:tc>
        <w:tc>
          <w:tcPr>
            <w:tcW w:w="2551" w:type="dxa"/>
            <w:vAlign w:val="center"/>
          </w:tcPr>
          <w:p>
            <w:pPr>
              <w:pStyle w:val="11"/>
            </w:pPr>
            <w:r>
              <w:t>172.64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2.61</w:t>
            </w:r>
          </w:p>
        </w:tc>
        <w:tc>
          <w:tcPr>
            <w:tcW w:w="2551" w:type="dxa"/>
            <w:vAlign w:val="center"/>
          </w:tcPr>
          <w:p>
            <w:pPr>
              <w:pStyle w:val="11"/>
            </w:pPr>
            <w:r>
              <w:t>2.61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77.75</w:t>
            </w:r>
          </w:p>
        </w:tc>
        <w:tc>
          <w:tcPr>
            <w:tcW w:w="2551" w:type="dxa"/>
            <w:vAlign w:val="center"/>
          </w:tcPr>
          <w:p>
            <w:pPr>
              <w:pStyle w:val="11"/>
            </w:pPr>
            <w:r>
              <w:t>77.75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51.30</w:t>
            </w:r>
          </w:p>
        </w:tc>
        <w:tc>
          <w:tcPr>
            <w:tcW w:w="2551" w:type="dxa"/>
            <w:vAlign w:val="center"/>
          </w:tcPr>
          <w:p>
            <w:pPr>
              <w:pStyle w:val="11"/>
            </w:pPr>
            <w:r>
              <w:t>51.30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26.93</w:t>
            </w:r>
          </w:p>
        </w:tc>
        <w:tc>
          <w:tcPr>
            <w:tcW w:w="2551" w:type="dxa"/>
            <w:vAlign w:val="center"/>
          </w:tcPr>
          <w:p>
            <w:pPr>
              <w:pStyle w:val="11"/>
            </w:pPr>
            <w:r>
              <w:t>26.93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20.84</w:t>
            </w:r>
          </w:p>
        </w:tc>
        <w:tc>
          <w:tcPr>
            <w:tcW w:w="2551" w:type="dxa"/>
            <w:vAlign w:val="center"/>
          </w:tcPr>
          <w:p>
            <w:pPr>
              <w:pStyle w:val="11"/>
            </w:pPr>
            <w:r>
              <w:t>20.84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47.05</w:t>
            </w:r>
          </w:p>
        </w:tc>
        <w:tc>
          <w:tcPr>
            <w:tcW w:w="2551" w:type="dxa"/>
            <w:vAlign w:val="center"/>
          </w:tcPr>
          <w:p>
            <w:pPr>
              <w:pStyle w:val="11"/>
            </w:pPr>
            <w:r>
              <w:t>47.05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42.53</w:t>
            </w:r>
          </w:p>
        </w:tc>
        <w:tc>
          <w:tcPr>
            <w:tcW w:w="2551" w:type="dxa"/>
            <w:vAlign w:val="center"/>
          </w:tcPr>
          <w:p>
            <w:pPr>
              <w:pStyle w:val="11"/>
            </w:pPr>
            <w:r>
              <w:t>42.53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33.86</w:t>
            </w:r>
          </w:p>
        </w:tc>
        <w:tc>
          <w:tcPr>
            <w:tcW w:w="2551" w:type="dxa"/>
            <w:vAlign w:val="center"/>
          </w:tcPr>
          <w:p>
            <w:pPr>
              <w:pStyle w:val="11"/>
            </w:pPr>
          </w:p>
        </w:tc>
        <w:tc>
          <w:tcPr>
            <w:tcW w:w="2552" w:type="dxa"/>
            <w:vAlign w:val="center"/>
          </w:tcPr>
          <w:p>
            <w:pPr>
              <w:pStyle w:val="11"/>
            </w:pPr>
            <w:r>
              <w:t>33.86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4.10</w:t>
            </w:r>
          </w:p>
        </w:tc>
        <w:tc>
          <w:tcPr>
            <w:tcW w:w="2551" w:type="dxa"/>
            <w:vAlign w:val="center"/>
          </w:tcPr>
          <w:p>
            <w:pPr>
              <w:pStyle w:val="11"/>
            </w:pPr>
          </w:p>
        </w:tc>
        <w:tc>
          <w:tcPr>
            <w:tcW w:w="2552" w:type="dxa"/>
            <w:vAlign w:val="center"/>
          </w:tcPr>
          <w:p>
            <w:pPr>
              <w:pStyle w:val="11"/>
            </w:pPr>
            <w:r>
              <w:t>4.10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3.00</w:t>
            </w:r>
          </w:p>
        </w:tc>
        <w:tc>
          <w:tcPr>
            <w:tcW w:w="2551" w:type="dxa"/>
            <w:vAlign w:val="center"/>
          </w:tcPr>
          <w:p>
            <w:pPr>
              <w:pStyle w:val="11"/>
            </w:pPr>
          </w:p>
        </w:tc>
        <w:tc>
          <w:tcPr>
            <w:tcW w:w="2552"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4.56</w:t>
            </w:r>
          </w:p>
        </w:tc>
        <w:tc>
          <w:tcPr>
            <w:tcW w:w="2551" w:type="dxa"/>
            <w:vAlign w:val="center"/>
          </w:tcPr>
          <w:p>
            <w:pPr>
              <w:pStyle w:val="11"/>
            </w:pPr>
          </w:p>
        </w:tc>
        <w:tc>
          <w:tcPr>
            <w:tcW w:w="2552" w:type="dxa"/>
            <w:vAlign w:val="center"/>
          </w:tcPr>
          <w:p>
            <w:pPr>
              <w:pStyle w:val="11"/>
            </w:pPr>
            <w: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0.50</w:t>
            </w:r>
          </w:p>
        </w:tc>
        <w:tc>
          <w:tcPr>
            <w:tcW w:w="2551" w:type="dxa"/>
            <w:vAlign w:val="center"/>
          </w:tcPr>
          <w:p>
            <w:pPr>
              <w:pStyle w:val="11"/>
            </w:pPr>
          </w:p>
        </w:tc>
        <w:tc>
          <w:tcPr>
            <w:tcW w:w="2552"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5.50</w:t>
            </w:r>
          </w:p>
        </w:tc>
        <w:tc>
          <w:tcPr>
            <w:tcW w:w="2551" w:type="dxa"/>
            <w:vAlign w:val="center"/>
          </w:tcPr>
          <w:p>
            <w:pPr>
              <w:pStyle w:val="11"/>
            </w:pPr>
          </w:p>
        </w:tc>
        <w:tc>
          <w:tcPr>
            <w:tcW w:w="2552" w:type="dxa"/>
            <w:vAlign w:val="center"/>
          </w:tcPr>
          <w:p>
            <w:pPr>
              <w:pStyle w:val="11"/>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2.98</w:t>
            </w:r>
          </w:p>
        </w:tc>
        <w:tc>
          <w:tcPr>
            <w:tcW w:w="2551" w:type="dxa"/>
            <w:vAlign w:val="center"/>
          </w:tcPr>
          <w:p>
            <w:pPr>
              <w:pStyle w:val="11"/>
            </w:pPr>
          </w:p>
        </w:tc>
        <w:tc>
          <w:tcPr>
            <w:tcW w:w="2552" w:type="dxa"/>
            <w:vAlign w:val="center"/>
          </w:tcPr>
          <w:p>
            <w:pPr>
              <w:pStyle w:val="11"/>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3.57</w:t>
            </w:r>
          </w:p>
        </w:tc>
        <w:tc>
          <w:tcPr>
            <w:tcW w:w="2551" w:type="dxa"/>
            <w:vAlign w:val="center"/>
          </w:tcPr>
          <w:p>
            <w:pPr>
              <w:pStyle w:val="11"/>
            </w:pPr>
          </w:p>
        </w:tc>
        <w:tc>
          <w:tcPr>
            <w:tcW w:w="2552" w:type="dxa"/>
            <w:vAlign w:val="center"/>
          </w:tcPr>
          <w:p>
            <w:pPr>
              <w:pStyle w:val="11"/>
            </w:pPr>
            <w:r>
              <w:t>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2.20</w:t>
            </w:r>
          </w:p>
        </w:tc>
        <w:tc>
          <w:tcPr>
            <w:tcW w:w="2551" w:type="dxa"/>
            <w:vAlign w:val="center"/>
          </w:tcPr>
          <w:p>
            <w:pPr>
              <w:pStyle w:val="11"/>
            </w:pPr>
          </w:p>
        </w:tc>
        <w:tc>
          <w:tcPr>
            <w:tcW w:w="2552" w:type="dxa"/>
            <w:vAlign w:val="center"/>
          </w:tcPr>
          <w:p>
            <w:pPr>
              <w:pStyle w:val="11"/>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5.52</w:t>
            </w:r>
          </w:p>
        </w:tc>
        <w:tc>
          <w:tcPr>
            <w:tcW w:w="2551" w:type="dxa"/>
            <w:vAlign w:val="center"/>
          </w:tcPr>
          <w:p>
            <w:pPr>
              <w:pStyle w:val="11"/>
            </w:pPr>
          </w:p>
        </w:tc>
        <w:tc>
          <w:tcPr>
            <w:tcW w:w="2552" w:type="dxa"/>
            <w:vAlign w:val="center"/>
          </w:tcPr>
          <w:p>
            <w:pPr>
              <w:pStyle w:val="11"/>
            </w:pPr>
            <w:r>
              <w:t>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1.93</w:t>
            </w:r>
          </w:p>
        </w:tc>
        <w:tc>
          <w:tcPr>
            <w:tcW w:w="2551" w:type="dxa"/>
            <w:vAlign w:val="center"/>
          </w:tcPr>
          <w:p>
            <w:pPr>
              <w:pStyle w:val="11"/>
            </w:pPr>
          </w:p>
        </w:tc>
        <w:tc>
          <w:tcPr>
            <w:tcW w:w="2552" w:type="dxa"/>
            <w:vAlign w:val="center"/>
          </w:tcPr>
          <w:p>
            <w:pPr>
              <w:pStyle w:val="11"/>
            </w:pPr>
            <w:r>
              <w:t>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0.04</w:t>
            </w:r>
          </w:p>
        </w:tc>
        <w:tc>
          <w:tcPr>
            <w:tcW w:w="2551" w:type="dxa"/>
            <w:vAlign w:val="center"/>
          </w:tcPr>
          <w:p>
            <w:pPr>
              <w:pStyle w:val="11"/>
            </w:pPr>
            <w:r>
              <w:t>0.04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0.04</w:t>
            </w:r>
          </w:p>
        </w:tc>
        <w:tc>
          <w:tcPr>
            <w:tcW w:w="2551" w:type="dxa"/>
            <w:vAlign w:val="center"/>
          </w:tcPr>
          <w:p>
            <w:pPr>
              <w:pStyle w:val="11"/>
            </w:pPr>
            <w:r>
              <w:t>0.04</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435001石家庄市藁城区医疗保障局本级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435001石家庄市藁城区医疗保障局本级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435001石家庄市藁城区医疗保障局本级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rPr>
                <w:rFonts w:hint="eastAsia" w:eastAsiaTheme="minorEastAsia"/>
                <w:lang w:eastAsia="zh-CN"/>
              </w:rPr>
            </w:pPr>
            <w:r>
              <w:rPr>
                <w:rFonts w:hint="eastAsia" w:eastAsiaTheme="minorEastAsia"/>
                <w:lang w:eastAsia="zh-CN"/>
              </w:rPr>
              <w:t>2.2</w:t>
            </w:r>
          </w:p>
        </w:tc>
        <w:tc>
          <w:tcPr>
            <w:tcW w:w="2381" w:type="dxa"/>
            <w:vAlign w:val="center"/>
          </w:tcPr>
          <w:p>
            <w:pPr>
              <w:pStyle w:val="15"/>
              <w:rPr>
                <w:lang w:eastAsia="zh-CN"/>
              </w:rPr>
            </w:pPr>
            <w:r>
              <w:rPr>
                <w:rFonts w:hint="eastAsia"/>
                <w:lang w:eastAsia="zh-CN"/>
              </w:rPr>
              <w:t>2.2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rPr>
                <w:rFonts w:hint="eastAsia" w:eastAsiaTheme="minorEastAsia"/>
                <w:lang w:eastAsia="zh-CN"/>
              </w:rPr>
            </w:pPr>
            <w:r>
              <w:rPr>
                <w:rFonts w:hint="eastAsia" w:eastAsiaTheme="minorEastAsia"/>
                <w:lang w:eastAsia="zh-CN"/>
              </w:rPr>
              <w:t>2.2</w:t>
            </w:r>
          </w:p>
        </w:tc>
        <w:tc>
          <w:tcPr>
            <w:tcW w:w="2381" w:type="dxa"/>
            <w:vAlign w:val="center"/>
          </w:tcPr>
          <w:p>
            <w:pPr>
              <w:pStyle w:val="11"/>
              <w:rPr>
                <w:rFonts w:hint="eastAsia" w:eastAsiaTheme="minorEastAsia"/>
                <w:lang w:eastAsia="zh-CN"/>
              </w:rPr>
            </w:pPr>
            <w:r>
              <w:rPr>
                <w:rFonts w:hint="eastAsia" w:eastAsiaTheme="minorEastAsia"/>
                <w:lang w:eastAsia="zh-CN"/>
              </w:rPr>
              <w:t>2.2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rPr>
                <w:rFonts w:hint="eastAsia" w:eastAsiaTheme="minorEastAsia"/>
                <w:lang w:eastAsia="zh-CN"/>
              </w:rPr>
            </w:pPr>
            <w:r>
              <w:rPr>
                <w:rFonts w:hint="eastAsia" w:eastAsiaTheme="minorEastAsia"/>
                <w:lang w:eastAsia="zh-CN"/>
              </w:rPr>
              <w:t>2.2</w:t>
            </w:r>
          </w:p>
        </w:tc>
        <w:tc>
          <w:tcPr>
            <w:tcW w:w="2381" w:type="dxa"/>
            <w:vAlign w:val="center"/>
          </w:tcPr>
          <w:p>
            <w:pPr>
              <w:pStyle w:val="11"/>
              <w:rPr>
                <w:rFonts w:hint="eastAsia" w:eastAsiaTheme="minorEastAsia"/>
                <w:lang w:eastAsia="zh-CN"/>
              </w:rPr>
            </w:pPr>
            <w:r>
              <w:rPr>
                <w:rFonts w:hint="eastAsia" w:eastAsiaTheme="minorEastAsia"/>
                <w:lang w:eastAsia="zh-CN"/>
              </w:rPr>
              <w:t>2.2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2.20</w:t>
            </w:r>
          </w:p>
        </w:tc>
        <w:tc>
          <w:tcPr>
            <w:tcW w:w="2381" w:type="dxa"/>
            <w:vAlign w:val="center"/>
          </w:tcPr>
          <w:p>
            <w:pPr>
              <w:pStyle w:val="11"/>
            </w:pPr>
            <w:r>
              <w:t>2.20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bookmarkStart w:id="1" w:name="_GoBack"/>
      <w:bookmarkEnd w:id="1"/>
    </w:p>
    <w:p>
      <w:pPr>
        <w:jc w:val="center"/>
        <w:outlineLvl w:val="4"/>
      </w:pPr>
      <w:r>
        <w:rPr>
          <w:rFonts w:ascii="方正小标宋_GBK" w:hAnsi="方正小标宋_GBK" w:eastAsia="方正小标宋_GBK" w:cs="方正小标宋_GBK"/>
          <w:color w:val="000000"/>
          <w:sz w:val="44"/>
        </w:rPr>
        <w:t>石家庄市藁城区医疗保障局本级2022年单位预算信息公开情况说明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按照《预算法》、《地方预决算公开操作规程》和《关于进一步推进预算公开工作的实施意见》规定，现将石家庄市藁城区医疗保障局本级2022年单位预算公开如下：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spacing w:line="600" w:lineRule="exact"/>
        <w:ind w:firstLine="640" w:firstLineChars="200"/>
        <w:rPr>
          <w:rFonts w:ascii="仿宋" w:hAnsi="仿宋" w:eastAsia="仿宋" w:cs="Arial Black"/>
          <w:sz w:val="32"/>
          <w:szCs w:val="32"/>
        </w:rPr>
      </w:pPr>
      <w:r>
        <w:rPr>
          <w:rFonts w:hint="eastAsia" w:ascii="仿宋" w:hAnsi="仿宋" w:eastAsia="仿宋" w:cs="仿宋"/>
          <w:sz w:val="32"/>
          <w:szCs w:val="32"/>
        </w:rPr>
        <w:t>(</w:t>
      </w:r>
      <w:r>
        <w:rPr>
          <w:rFonts w:hint="eastAsia" w:ascii="仿宋" w:hAnsi="仿宋" w:eastAsia="仿宋" w:cs="Arial Black"/>
          <w:sz w:val="32"/>
          <w:szCs w:val="32"/>
        </w:rPr>
        <w:t>一)贯彻落实省市城镇职工和城乡居民医疗保险、生育保险、长期护理保险、医疗救助等医疗保障法规、政府规章以及政策、制度、规划和标准。</w:t>
      </w:r>
    </w:p>
    <w:p>
      <w:pPr>
        <w:spacing w:line="600" w:lineRule="exact"/>
        <w:ind w:firstLine="640" w:firstLineChars="200"/>
        <w:rPr>
          <w:rFonts w:ascii="仿宋" w:hAnsi="仿宋" w:eastAsia="仿宋" w:cs="Arial Black"/>
          <w:sz w:val="32"/>
          <w:szCs w:val="32"/>
        </w:rPr>
      </w:pPr>
      <w:r>
        <w:rPr>
          <w:rFonts w:hint="eastAsia" w:ascii="仿宋" w:hAnsi="仿宋" w:eastAsia="仿宋" w:cs="Arial Black"/>
          <w:sz w:val="32"/>
          <w:szCs w:val="32"/>
        </w:rPr>
        <w:t>(二) 贯彻落实省市医疗保障基金监督管理办法、医疗保障基金安全防控机制，做好医疗保障基金支付方式改革。</w:t>
      </w:r>
    </w:p>
    <w:p>
      <w:pPr>
        <w:spacing w:line="600" w:lineRule="exact"/>
        <w:ind w:firstLine="640" w:firstLineChars="200"/>
        <w:rPr>
          <w:rFonts w:ascii="仿宋" w:hAnsi="仿宋" w:eastAsia="仿宋" w:cs="Arial Black"/>
          <w:sz w:val="32"/>
          <w:szCs w:val="32"/>
        </w:rPr>
      </w:pPr>
      <w:r>
        <w:rPr>
          <w:rFonts w:hint="eastAsia" w:ascii="仿宋" w:hAnsi="仿宋" w:eastAsia="仿宋" w:cs="Arial Black"/>
          <w:sz w:val="32"/>
          <w:szCs w:val="32"/>
        </w:rPr>
        <w:t>(三) 贯彻执行省市城镇职工、城乡居民参保筹资和保障待遇政策，执行好城乡医疗保障政策标准。</w:t>
      </w:r>
    </w:p>
    <w:p>
      <w:pPr>
        <w:spacing w:line="600" w:lineRule="exact"/>
        <w:ind w:firstLine="640" w:firstLineChars="200"/>
        <w:rPr>
          <w:rFonts w:ascii="仿宋" w:hAnsi="仿宋" w:eastAsia="仿宋" w:cs="Arial Black"/>
          <w:sz w:val="32"/>
          <w:szCs w:val="32"/>
        </w:rPr>
      </w:pPr>
      <w:r>
        <w:rPr>
          <w:rFonts w:hint="eastAsia" w:ascii="仿宋" w:hAnsi="仿宋" w:eastAsia="仿宋" w:cs="Arial Black"/>
          <w:sz w:val="32"/>
          <w:szCs w:val="32"/>
        </w:rPr>
        <w:t>（四）贯彻执行城乡统一的药品、医用药材、医疗服务项目、医疗服务设施等医保支付标准。</w:t>
      </w:r>
    </w:p>
    <w:p>
      <w:pPr>
        <w:spacing w:line="600" w:lineRule="exact"/>
        <w:ind w:firstLine="640" w:firstLineChars="200"/>
        <w:rPr>
          <w:rFonts w:ascii="仿宋" w:hAnsi="仿宋" w:eastAsia="仿宋" w:cs="Arial Black"/>
          <w:sz w:val="32"/>
          <w:szCs w:val="32"/>
        </w:rPr>
      </w:pPr>
      <w:r>
        <w:rPr>
          <w:rFonts w:hint="eastAsia" w:ascii="仿宋" w:hAnsi="仿宋" w:eastAsia="仿宋" w:cs="Arial Black"/>
          <w:sz w:val="32"/>
          <w:szCs w:val="32"/>
        </w:rPr>
        <w:t>（五）贯彻执行药品、医用耗材价格和医疗服务项目、医疗服务设施收费等政策。依法管理药品、医用耗材、医疗服务价格政策执行情况。</w:t>
      </w:r>
    </w:p>
    <w:p>
      <w:pPr>
        <w:spacing w:line="600" w:lineRule="exact"/>
        <w:ind w:firstLine="640" w:firstLineChars="200"/>
        <w:rPr>
          <w:rFonts w:ascii="仿宋" w:hAnsi="仿宋" w:eastAsia="仿宋" w:cs="Arial Black"/>
          <w:sz w:val="32"/>
          <w:szCs w:val="32"/>
        </w:rPr>
      </w:pPr>
      <w:r>
        <w:rPr>
          <w:rFonts w:hint="eastAsia" w:ascii="仿宋" w:hAnsi="仿宋" w:eastAsia="仿宋" w:cs="Arial Black"/>
          <w:sz w:val="32"/>
          <w:szCs w:val="32"/>
        </w:rPr>
        <w:t>（六）贯彻执行定点医药机构协议和支付管理办法。执行好医疗保障信用评价体系和信息披露制度，监督管理定点医药机构的医疗服务行为、医疗费用和医药价格，依法查处医疗保障领域违法违规行为。</w:t>
      </w:r>
    </w:p>
    <w:p>
      <w:pPr>
        <w:spacing w:line="600" w:lineRule="exact"/>
        <w:ind w:firstLine="640" w:firstLineChars="200"/>
        <w:rPr>
          <w:rFonts w:ascii="仿宋" w:hAnsi="仿宋" w:eastAsia="仿宋" w:cs="Arial Black"/>
          <w:sz w:val="32"/>
          <w:szCs w:val="32"/>
        </w:rPr>
      </w:pPr>
      <w:r>
        <w:rPr>
          <w:rFonts w:hint="eastAsia" w:ascii="仿宋" w:hAnsi="仿宋" w:eastAsia="仿宋" w:cs="Arial Black"/>
          <w:sz w:val="32"/>
          <w:szCs w:val="32"/>
        </w:rPr>
        <w:t>（七）负责医疗保障经办管理、公共服务体系和信息化建设。执行好异地就医管理、费用结算政策和医疗保障关系转移接续制度。</w:t>
      </w:r>
    </w:p>
    <w:p>
      <w:pPr>
        <w:spacing w:line="600" w:lineRule="exact"/>
        <w:ind w:firstLine="640" w:firstLineChars="200"/>
        <w:rPr>
          <w:rFonts w:ascii="仿宋" w:hAnsi="仿宋" w:eastAsia="仿宋" w:cs="Arial Black"/>
          <w:sz w:val="32"/>
          <w:szCs w:val="32"/>
        </w:rPr>
      </w:pPr>
      <w:r>
        <w:rPr>
          <w:rFonts w:hint="eastAsia" w:ascii="仿宋" w:hAnsi="仿宋" w:eastAsia="仿宋" w:cs="Arial Black"/>
          <w:sz w:val="32"/>
          <w:szCs w:val="32"/>
        </w:rPr>
        <w:t>（八）完成区委、区政府交办的其他任务。</w:t>
      </w:r>
    </w:p>
    <w:p>
      <w:pPr>
        <w:pStyle w:val="29"/>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石家庄市藁城区医疗保障局本级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spacing w:line="460" w:lineRule="exact"/>
        <w:ind w:firstLine="640"/>
        <w:rPr>
          <w:rFonts w:eastAsia="仿宋"/>
          <w:sz w:val="32"/>
          <w:szCs w:val="32"/>
          <w:lang w:eastAsia="zh-CN"/>
        </w:rPr>
      </w:pPr>
      <w:r>
        <w:rPr>
          <w:rFonts w:hint="eastAsia" w:eastAsia="仿宋"/>
          <w:sz w:val="32"/>
          <w:szCs w:val="32"/>
        </w:rPr>
        <w:t>1、</w:t>
      </w:r>
      <w:r>
        <w:rPr>
          <w:rFonts w:eastAsia="仿宋"/>
          <w:sz w:val="32"/>
          <w:szCs w:val="32"/>
        </w:rPr>
        <w:t>收入说明</w:t>
      </w:r>
    </w:p>
    <w:p>
      <w:pPr>
        <w:spacing w:line="460" w:lineRule="exact"/>
        <w:ind w:firstLine="640"/>
        <w:rPr>
          <w:rFonts w:eastAsia="仿宋"/>
          <w:sz w:val="32"/>
          <w:szCs w:val="32"/>
        </w:rPr>
      </w:pPr>
      <w:r>
        <w:rPr>
          <w:rFonts w:hint="eastAsia" w:eastAsia="仿宋"/>
          <w:sz w:val="32"/>
          <w:szCs w:val="32"/>
        </w:rPr>
        <w:t>反映本</w:t>
      </w:r>
      <w:r>
        <w:rPr>
          <w:rFonts w:hint="eastAsia" w:eastAsia="仿宋"/>
          <w:sz w:val="32"/>
          <w:szCs w:val="32"/>
          <w:lang w:eastAsia="zh-CN"/>
        </w:rPr>
        <w:t>单位</w:t>
      </w:r>
      <w:r>
        <w:rPr>
          <w:rFonts w:hint="eastAsia" w:eastAsia="仿宋"/>
          <w:sz w:val="32"/>
          <w:szCs w:val="32"/>
        </w:rPr>
        <w:t>当年全部收入。2022年预算收入</w:t>
      </w:r>
      <w:r>
        <w:rPr>
          <w:rFonts w:hint="eastAsia" w:eastAsia="仿宋"/>
          <w:sz w:val="32"/>
          <w:szCs w:val="32"/>
          <w:lang w:eastAsia="zh-CN"/>
        </w:rPr>
        <w:t>12524.29</w:t>
      </w:r>
      <w:r>
        <w:rPr>
          <w:rFonts w:hint="eastAsia" w:eastAsia="仿宋"/>
          <w:sz w:val="32"/>
          <w:szCs w:val="32"/>
        </w:rPr>
        <w:t>万元，其中：一般公共预算收入</w:t>
      </w:r>
      <w:r>
        <w:rPr>
          <w:rFonts w:hint="eastAsia" w:eastAsia="仿宋"/>
          <w:sz w:val="32"/>
          <w:szCs w:val="32"/>
          <w:lang w:eastAsia="zh-CN"/>
        </w:rPr>
        <w:t>12524.29</w:t>
      </w:r>
      <w:r>
        <w:rPr>
          <w:rFonts w:hint="eastAsia" w:eastAsia="仿宋"/>
          <w:sz w:val="32"/>
          <w:szCs w:val="32"/>
        </w:rPr>
        <w:t>万元，基金预算收入0万元，财政专户核拨收入0万元，其他来源收入0万元。</w:t>
      </w:r>
    </w:p>
    <w:p>
      <w:pPr>
        <w:spacing w:line="460" w:lineRule="exact"/>
        <w:ind w:firstLine="640"/>
        <w:rPr>
          <w:rFonts w:eastAsia="仿宋"/>
          <w:sz w:val="32"/>
          <w:szCs w:val="32"/>
          <w:lang w:eastAsia="zh-CN"/>
        </w:rPr>
      </w:pPr>
      <w:r>
        <w:rPr>
          <w:rFonts w:hint="eastAsia" w:eastAsia="仿宋"/>
          <w:sz w:val="32"/>
          <w:szCs w:val="32"/>
        </w:rPr>
        <w:t>2、</w:t>
      </w:r>
      <w:r>
        <w:rPr>
          <w:rFonts w:eastAsia="仿宋"/>
          <w:sz w:val="32"/>
          <w:szCs w:val="32"/>
        </w:rPr>
        <w:t>支出说明</w:t>
      </w:r>
    </w:p>
    <w:p>
      <w:pPr>
        <w:spacing w:line="460" w:lineRule="exact"/>
        <w:ind w:firstLine="640"/>
        <w:rPr>
          <w:rFonts w:eastAsia="仿宋"/>
          <w:sz w:val="32"/>
          <w:szCs w:val="32"/>
        </w:rPr>
      </w:pPr>
      <w:r>
        <w:rPr>
          <w:rFonts w:hint="eastAsia" w:eastAsia="仿宋"/>
          <w:sz w:val="32"/>
          <w:szCs w:val="32"/>
        </w:rPr>
        <w:t>收支预算总表支出栏、基本支出表、项目支出表按经济分类和支出功能分类科目编制，反映本</w:t>
      </w:r>
      <w:r>
        <w:rPr>
          <w:rFonts w:hint="eastAsia" w:eastAsia="仿宋"/>
          <w:sz w:val="32"/>
          <w:szCs w:val="32"/>
          <w:lang w:eastAsia="zh-CN"/>
        </w:rPr>
        <w:t>单位</w:t>
      </w:r>
      <w:r>
        <w:rPr>
          <w:rFonts w:hint="eastAsia" w:eastAsia="仿宋"/>
          <w:sz w:val="32"/>
          <w:szCs w:val="32"/>
        </w:rPr>
        <w:t>预算中支出预算的总体情况。2022年</w:t>
      </w:r>
      <w:r>
        <w:rPr>
          <w:rFonts w:hint="eastAsia" w:eastAsia="仿宋"/>
          <w:sz w:val="32"/>
          <w:szCs w:val="32"/>
          <w:lang w:eastAsia="zh-CN"/>
        </w:rPr>
        <w:t>单位</w:t>
      </w:r>
      <w:r>
        <w:rPr>
          <w:rFonts w:hint="eastAsia" w:eastAsia="仿宋"/>
          <w:sz w:val="32"/>
          <w:szCs w:val="32"/>
        </w:rPr>
        <w:t>支出预算为</w:t>
      </w:r>
      <w:r>
        <w:rPr>
          <w:rFonts w:hint="eastAsia" w:eastAsia="仿宋"/>
          <w:sz w:val="32"/>
          <w:szCs w:val="32"/>
          <w:lang w:eastAsia="zh-CN"/>
        </w:rPr>
        <w:t>12524.29</w:t>
      </w:r>
      <w:r>
        <w:rPr>
          <w:rFonts w:hint="eastAsia" w:eastAsia="仿宋"/>
          <w:sz w:val="32"/>
          <w:szCs w:val="32"/>
        </w:rPr>
        <w:t>万元，其中基本支出</w:t>
      </w:r>
      <w:r>
        <w:rPr>
          <w:rFonts w:hint="eastAsia" w:eastAsia="仿宋"/>
          <w:sz w:val="32"/>
          <w:szCs w:val="32"/>
          <w:lang w:eastAsia="zh-CN"/>
        </w:rPr>
        <w:t>618.29</w:t>
      </w:r>
      <w:r>
        <w:rPr>
          <w:rFonts w:hint="eastAsia" w:eastAsia="仿宋"/>
          <w:sz w:val="32"/>
          <w:szCs w:val="32"/>
        </w:rPr>
        <w:t>万元，包括人员经费</w:t>
      </w:r>
      <w:r>
        <w:rPr>
          <w:rFonts w:hint="eastAsia" w:eastAsia="仿宋"/>
          <w:sz w:val="32"/>
          <w:szCs w:val="32"/>
          <w:lang w:eastAsia="zh-CN"/>
        </w:rPr>
        <w:t>584.43</w:t>
      </w:r>
      <w:r>
        <w:rPr>
          <w:rFonts w:hint="eastAsia" w:eastAsia="仿宋"/>
          <w:sz w:val="32"/>
          <w:szCs w:val="32"/>
        </w:rPr>
        <w:t>万元和日常公用经费</w:t>
      </w:r>
      <w:r>
        <w:rPr>
          <w:rFonts w:hint="eastAsia" w:eastAsia="仿宋"/>
          <w:sz w:val="32"/>
          <w:szCs w:val="32"/>
          <w:lang w:eastAsia="zh-CN"/>
        </w:rPr>
        <w:t>33.86</w:t>
      </w:r>
      <w:r>
        <w:rPr>
          <w:rFonts w:hint="eastAsia" w:eastAsia="仿宋"/>
          <w:sz w:val="32"/>
          <w:szCs w:val="32"/>
        </w:rPr>
        <w:t>万元；项目支出</w:t>
      </w:r>
      <w:r>
        <w:rPr>
          <w:rFonts w:hint="eastAsia" w:eastAsia="仿宋"/>
          <w:sz w:val="32"/>
          <w:szCs w:val="32"/>
          <w:lang w:eastAsia="zh-CN"/>
        </w:rPr>
        <w:t>11906</w:t>
      </w:r>
      <w:r>
        <w:rPr>
          <w:rFonts w:hint="eastAsia" w:eastAsia="仿宋"/>
          <w:sz w:val="32"/>
          <w:szCs w:val="32"/>
        </w:rPr>
        <w:t>万元，主要为</w:t>
      </w:r>
      <w:r>
        <w:rPr>
          <w:rFonts w:hint="eastAsia" w:eastAsia="仿宋"/>
          <w:sz w:val="32"/>
          <w:szCs w:val="32"/>
          <w:lang w:eastAsia="zh-CN"/>
        </w:rPr>
        <w:t>城乡居民医疗保险本级配套资金8418</w:t>
      </w:r>
      <w:r>
        <w:rPr>
          <w:rFonts w:hint="eastAsia" w:eastAsia="仿宋"/>
          <w:sz w:val="32"/>
          <w:szCs w:val="32"/>
        </w:rPr>
        <w:t>万元，</w:t>
      </w:r>
      <w:r>
        <w:rPr>
          <w:rFonts w:hint="eastAsia" w:eastAsia="仿宋"/>
          <w:sz w:val="32"/>
          <w:szCs w:val="32"/>
          <w:lang w:eastAsia="zh-CN"/>
        </w:rPr>
        <w:t>城乡医疗救助2638</w:t>
      </w:r>
      <w:r>
        <w:rPr>
          <w:rFonts w:hint="eastAsia" w:eastAsia="仿宋"/>
          <w:sz w:val="32"/>
          <w:szCs w:val="32"/>
        </w:rPr>
        <w:t>万元，</w:t>
      </w:r>
      <w:r>
        <w:rPr>
          <w:rFonts w:hint="eastAsia" w:eastAsia="仿宋"/>
          <w:sz w:val="32"/>
          <w:szCs w:val="32"/>
          <w:lang w:eastAsia="zh-CN"/>
        </w:rPr>
        <w:t>离休、中华人民共和国成立前老工人、1-6级伤残军人医疗费用800</w:t>
      </w:r>
      <w:r>
        <w:rPr>
          <w:rFonts w:hint="eastAsia" w:eastAsia="仿宋"/>
          <w:sz w:val="32"/>
          <w:szCs w:val="32"/>
        </w:rPr>
        <w:t>万元，</w:t>
      </w:r>
      <w:r>
        <w:rPr>
          <w:rFonts w:hint="eastAsia" w:eastAsia="仿宋"/>
          <w:sz w:val="32"/>
          <w:szCs w:val="32"/>
          <w:lang w:eastAsia="zh-CN"/>
        </w:rPr>
        <w:t>医疗服务与保障能力提升资金15</w:t>
      </w:r>
      <w:r>
        <w:rPr>
          <w:rFonts w:hint="eastAsia" w:eastAsia="仿宋"/>
          <w:sz w:val="32"/>
          <w:szCs w:val="32"/>
        </w:rPr>
        <w:t>万元，</w:t>
      </w:r>
      <w:r>
        <w:rPr>
          <w:rFonts w:hint="eastAsia" w:eastAsia="仿宋"/>
          <w:sz w:val="32"/>
          <w:szCs w:val="32"/>
          <w:lang w:eastAsia="zh-CN"/>
        </w:rPr>
        <w:t>职工及城乡居民医疗管理经费35</w:t>
      </w:r>
      <w:r>
        <w:rPr>
          <w:rFonts w:hint="eastAsia" w:eastAsia="仿宋"/>
          <w:sz w:val="32"/>
          <w:szCs w:val="32"/>
        </w:rPr>
        <w:t>万元；其他支出0万元。</w:t>
      </w:r>
    </w:p>
    <w:p>
      <w:pPr>
        <w:spacing w:line="460" w:lineRule="exact"/>
        <w:ind w:firstLine="640"/>
        <w:rPr>
          <w:rFonts w:eastAsia="仿宋"/>
          <w:sz w:val="32"/>
          <w:szCs w:val="32"/>
          <w:lang w:eastAsia="zh-CN"/>
        </w:rPr>
      </w:pPr>
      <w:r>
        <w:rPr>
          <w:rFonts w:hint="eastAsia" w:eastAsia="仿宋"/>
          <w:sz w:val="32"/>
          <w:szCs w:val="32"/>
        </w:rPr>
        <w:t>3、</w:t>
      </w:r>
      <w:r>
        <w:rPr>
          <w:rFonts w:eastAsia="仿宋"/>
          <w:sz w:val="32"/>
          <w:szCs w:val="32"/>
        </w:rPr>
        <w:t>比上年增减情况</w:t>
      </w:r>
    </w:p>
    <w:p>
      <w:pPr>
        <w:spacing w:line="460" w:lineRule="exact"/>
        <w:ind w:firstLine="640"/>
        <w:rPr>
          <w:rFonts w:eastAsia="仿宋"/>
          <w:sz w:val="32"/>
          <w:szCs w:val="32"/>
        </w:rPr>
      </w:pPr>
      <w:r>
        <w:rPr>
          <w:rFonts w:hint="eastAsia" w:eastAsia="仿宋"/>
          <w:color w:val="000000"/>
          <w:sz w:val="32"/>
          <w:szCs w:val="32"/>
        </w:rPr>
        <w:t>2022年单位预算收支安排</w:t>
      </w:r>
      <w:r>
        <w:rPr>
          <w:rFonts w:hint="eastAsia" w:eastAsia="仿宋"/>
          <w:sz w:val="32"/>
          <w:szCs w:val="32"/>
          <w:lang w:eastAsia="zh-CN"/>
        </w:rPr>
        <w:t>12524.29</w:t>
      </w:r>
      <w:r>
        <w:rPr>
          <w:rFonts w:hint="eastAsia" w:eastAsia="仿宋"/>
          <w:color w:val="000000"/>
          <w:sz w:val="32"/>
          <w:szCs w:val="32"/>
        </w:rPr>
        <w:t>万元，</w:t>
      </w:r>
      <w:r>
        <w:rPr>
          <w:rFonts w:hint="eastAsia" w:eastAsia="仿宋"/>
          <w:sz w:val="32"/>
          <w:szCs w:val="32"/>
        </w:rPr>
        <w:t>较2021年增加</w:t>
      </w:r>
      <w:r>
        <w:rPr>
          <w:rFonts w:hint="eastAsia" w:eastAsia="仿宋"/>
          <w:sz w:val="32"/>
          <w:szCs w:val="32"/>
          <w:lang w:eastAsia="zh-CN"/>
        </w:rPr>
        <w:t>2506.64</w:t>
      </w:r>
      <w:r>
        <w:rPr>
          <w:rFonts w:hint="eastAsia" w:eastAsia="仿宋"/>
          <w:sz w:val="32"/>
          <w:szCs w:val="32"/>
        </w:rPr>
        <w:t>万元，其中：基本支出</w:t>
      </w:r>
      <w:r>
        <w:rPr>
          <w:rFonts w:hint="eastAsia" w:eastAsia="仿宋"/>
          <w:sz w:val="32"/>
          <w:szCs w:val="32"/>
          <w:lang w:eastAsia="zh-CN"/>
        </w:rPr>
        <w:t>增加56.64</w:t>
      </w:r>
      <w:r>
        <w:rPr>
          <w:rFonts w:hint="eastAsia" w:eastAsia="仿宋"/>
          <w:sz w:val="32"/>
          <w:szCs w:val="32"/>
        </w:rPr>
        <w:t>万元，主要是人员</w:t>
      </w:r>
      <w:r>
        <w:rPr>
          <w:rFonts w:hint="eastAsia" w:eastAsia="仿宋"/>
          <w:sz w:val="32"/>
          <w:szCs w:val="32"/>
          <w:lang w:eastAsia="zh-CN"/>
        </w:rPr>
        <w:t>增加4人</w:t>
      </w:r>
      <w:r>
        <w:rPr>
          <w:rFonts w:hint="eastAsia" w:eastAsia="仿宋"/>
          <w:sz w:val="32"/>
          <w:szCs w:val="32"/>
        </w:rPr>
        <w:t>，相应</w:t>
      </w:r>
      <w:r>
        <w:rPr>
          <w:rFonts w:hint="eastAsia" w:eastAsia="仿宋"/>
          <w:sz w:val="32"/>
          <w:szCs w:val="32"/>
          <w:lang w:eastAsia="zh-CN"/>
        </w:rPr>
        <w:t>增加</w:t>
      </w:r>
      <w:r>
        <w:rPr>
          <w:rFonts w:hint="eastAsia" w:eastAsia="仿宋"/>
          <w:sz w:val="32"/>
          <w:szCs w:val="32"/>
        </w:rPr>
        <w:t>人员经费和日常公用经费；项目支出增加</w:t>
      </w:r>
      <w:r>
        <w:rPr>
          <w:rFonts w:hint="eastAsia" w:eastAsia="仿宋"/>
          <w:sz w:val="32"/>
          <w:szCs w:val="32"/>
          <w:lang w:eastAsia="zh-CN"/>
        </w:rPr>
        <w:t>2450</w:t>
      </w:r>
      <w:r>
        <w:rPr>
          <w:rFonts w:hint="eastAsia" w:eastAsia="仿宋"/>
          <w:sz w:val="32"/>
          <w:szCs w:val="32"/>
        </w:rPr>
        <w:t>万元，主要是</w:t>
      </w:r>
      <w:r>
        <w:rPr>
          <w:rFonts w:hint="eastAsia" w:eastAsia="仿宋"/>
          <w:sz w:val="32"/>
          <w:szCs w:val="32"/>
          <w:lang w:eastAsia="zh-CN"/>
        </w:rPr>
        <w:t>城乡居民基本医疗保险区级配套提高标准</w:t>
      </w:r>
      <w:r>
        <w:rPr>
          <w:rFonts w:hint="eastAsia" w:eastAsia="仿宋"/>
          <w:sz w:val="32"/>
          <w:szCs w:val="32"/>
        </w:rPr>
        <w:t>增加</w:t>
      </w:r>
      <w:r>
        <w:rPr>
          <w:rFonts w:hint="eastAsia" w:eastAsia="仿宋"/>
          <w:sz w:val="32"/>
          <w:szCs w:val="32"/>
          <w:lang w:eastAsia="zh-CN"/>
        </w:rPr>
        <w:t>828元</w:t>
      </w:r>
      <w:r>
        <w:rPr>
          <w:rFonts w:hint="eastAsia" w:eastAsia="仿宋"/>
          <w:sz w:val="32"/>
          <w:szCs w:val="32"/>
        </w:rPr>
        <w:t>；</w:t>
      </w:r>
      <w:r>
        <w:rPr>
          <w:rFonts w:hint="eastAsia" w:eastAsia="仿宋"/>
          <w:sz w:val="32"/>
          <w:szCs w:val="32"/>
          <w:lang w:eastAsia="zh-CN"/>
        </w:rPr>
        <w:t>城乡医疗救助增加1603万元；职工及居民医疗管理经费增加10万元；医保服务及能力提升增加9万元；</w:t>
      </w:r>
      <w:r>
        <w:rPr>
          <w:rFonts w:hint="eastAsia" w:eastAsia="仿宋"/>
          <w:sz w:val="32"/>
          <w:szCs w:val="32"/>
        </w:rPr>
        <w:t>其他支出无增减变化。</w:t>
      </w:r>
    </w:p>
    <w:p>
      <w:pPr>
        <w:pStyle w:val="30"/>
      </w:pPr>
    </w:p>
    <w:p>
      <w:pPr>
        <w:spacing w:before="10" w:after="10"/>
        <w:ind w:firstLine="640"/>
        <w:outlineLvl w:val="5"/>
      </w:pPr>
      <w:r>
        <w:rPr>
          <w:rFonts w:ascii="黑体" w:hAnsi="黑体" w:eastAsia="黑体" w:cs="黑体"/>
          <w:color w:val="000000"/>
          <w:sz w:val="32"/>
        </w:rPr>
        <w:t>三、机关运行经费安排情况</w:t>
      </w:r>
    </w:p>
    <w:p>
      <w:pPr>
        <w:spacing w:line="460" w:lineRule="exact"/>
        <w:ind w:firstLine="640" w:firstLineChars="200"/>
        <w:rPr>
          <w:rFonts w:ascii="仿宋" w:hAnsi="仿宋" w:eastAsia="仿宋"/>
          <w:sz w:val="32"/>
          <w:szCs w:val="32"/>
        </w:rPr>
      </w:pPr>
      <w:r>
        <w:rPr>
          <w:rFonts w:hint="eastAsia" w:eastAsia="仿宋"/>
          <w:sz w:val="32"/>
          <w:szCs w:val="32"/>
        </w:rPr>
        <w:t>2022年，我</w:t>
      </w:r>
      <w:r>
        <w:rPr>
          <w:rFonts w:hint="eastAsia" w:eastAsia="仿宋"/>
          <w:sz w:val="32"/>
          <w:szCs w:val="32"/>
          <w:lang w:eastAsia="zh-CN"/>
        </w:rPr>
        <w:t>单位</w:t>
      </w:r>
      <w:r>
        <w:rPr>
          <w:rFonts w:hint="eastAsia" w:eastAsia="仿宋"/>
          <w:sz w:val="32"/>
          <w:szCs w:val="32"/>
        </w:rPr>
        <w:t>机关运行经费共计安排</w:t>
      </w:r>
      <w:r>
        <w:rPr>
          <w:rFonts w:hint="eastAsia" w:eastAsia="仿宋"/>
          <w:sz w:val="32"/>
          <w:szCs w:val="32"/>
          <w:lang w:eastAsia="zh-CN"/>
        </w:rPr>
        <w:t>68.86</w:t>
      </w:r>
      <w:r>
        <w:rPr>
          <w:rFonts w:hint="eastAsia" w:eastAsia="仿宋"/>
          <w:sz w:val="32"/>
          <w:szCs w:val="32"/>
        </w:rPr>
        <w:t>万元，主要用于保证机关正常运转的办公及印刷费、邮电费、差旅费、会议费、福利费、专用材料及一般设备购置费、办公用房水电费、日常维修费、公务车运行维护费等支出。</w:t>
      </w:r>
    </w:p>
    <w:p>
      <w:pPr>
        <w:pStyle w:val="31"/>
      </w:pPr>
    </w:p>
    <w:p>
      <w:pPr>
        <w:spacing w:before="10" w:after="10"/>
        <w:ind w:firstLine="640"/>
        <w:outlineLvl w:val="5"/>
      </w:pPr>
      <w:r>
        <w:rPr>
          <w:rFonts w:ascii="黑体" w:hAnsi="黑体" w:eastAsia="黑体" w:cs="黑体"/>
          <w:color w:val="000000"/>
          <w:sz w:val="32"/>
        </w:rPr>
        <w:t>四、财政拨款“三公”经费预算情况及增减变化原因</w:t>
      </w:r>
    </w:p>
    <w:p>
      <w:pPr>
        <w:spacing w:line="460" w:lineRule="exact"/>
        <w:ind w:firstLine="640" w:firstLineChars="200"/>
        <w:rPr>
          <w:rFonts w:ascii="仿宋" w:hAnsi="仿宋" w:eastAsia="仿宋"/>
          <w:sz w:val="32"/>
          <w:szCs w:val="32"/>
        </w:rPr>
      </w:pPr>
      <w:r>
        <w:rPr>
          <w:rFonts w:hint="eastAsia" w:eastAsia="仿宋"/>
          <w:sz w:val="32"/>
          <w:szCs w:val="32"/>
        </w:rPr>
        <w:t>2022年，我</w:t>
      </w:r>
      <w:r>
        <w:rPr>
          <w:rFonts w:hint="eastAsia" w:eastAsia="仿宋"/>
          <w:sz w:val="32"/>
          <w:szCs w:val="32"/>
          <w:lang w:eastAsia="zh-CN"/>
        </w:rPr>
        <w:t>单位</w:t>
      </w:r>
      <w:r>
        <w:rPr>
          <w:rFonts w:hint="eastAsia" w:eastAsia="仿宋"/>
          <w:sz w:val="32"/>
          <w:szCs w:val="32"/>
        </w:rPr>
        <w:t>财政拨款“三公”经费预算安排</w:t>
      </w:r>
      <w:r>
        <w:rPr>
          <w:rFonts w:hint="eastAsia" w:eastAsia="仿宋"/>
          <w:sz w:val="32"/>
          <w:szCs w:val="32"/>
          <w:lang w:eastAsia="zh-CN"/>
        </w:rPr>
        <w:t>2.2</w:t>
      </w:r>
      <w:r>
        <w:rPr>
          <w:rFonts w:hint="eastAsia" w:eastAsia="仿宋"/>
          <w:sz w:val="32"/>
          <w:szCs w:val="32"/>
        </w:rPr>
        <w:t>万元，其中：因公出国（境）费</w:t>
      </w:r>
      <w:r>
        <w:rPr>
          <w:rFonts w:hint="eastAsia" w:eastAsia="仿宋"/>
          <w:sz w:val="32"/>
          <w:szCs w:val="32"/>
          <w:lang w:eastAsia="zh-CN"/>
        </w:rPr>
        <w:t>0</w:t>
      </w:r>
      <w:r>
        <w:rPr>
          <w:rFonts w:hint="eastAsia" w:eastAsia="仿宋"/>
          <w:sz w:val="32"/>
          <w:szCs w:val="32"/>
        </w:rPr>
        <w:t>万元；公务用车购置及运维费</w:t>
      </w:r>
      <w:r>
        <w:rPr>
          <w:rFonts w:hint="eastAsia" w:eastAsia="仿宋"/>
          <w:sz w:val="32"/>
          <w:szCs w:val="32"/>
          <w:lang w:eastAsia="zh-CN"/>
        </w:rPr>
        <w:t>2.2</w:t>
      </w:r>
      <w:r>
        <w:rPr>
          <w:rFonts w:hint="eastAsia" w:eastAsia="仿宋"/>
          <w:sz w:val="32"/>
          <w:szCs w:val="32"/>
        </w:rPr>
        <w:t>万元（其中：公务用车购置费0万元，公务用车运行维护费</w:t>
      </w:r>
      <w:r>
        <w:rPr>
          <w:rFonts w:hint="eastAsia" w:eastAsia="仿宋"/>
          <w:sz w:val="32"/>
          <w:szCs w:val="32"/>
          <w:lang w:eastAsia="zh-CN"/>
        </w:rPr>
        <w:t>2.2</w:t>
      </w:r>
      <w:r>
        <w:rPr>
          <w:rFonts w:hint="eastAsia" w:eastAsia="仿宋"/>
          <w:sz w:val="32"/>
          <w:szCs w:val="32"/>
        </w:rPr>
        <w:t>万元)；公务接待费</w:t>
      </w:r>
      <w:r>
        <w:rPr>
          <w:rFonts w:hint="eastAsia" w:eastAsia="仿宋"/>
          <w:sz w:val="32"/>
          <w:szCs w:val="32"/>
          <w:lang w:eastAsia="zh-CN"/>
        </w:rPr>
        <w:t>0</w:t>
      </w:r>
      <w:r>
        <w:rPr>
          <w:rFonts w:hint="eastAsia" w:eastAsia="仿宋"/>
          <w:sz w:val="32"/>
          <w:szCs w:val="32"/>
        </w:rPr>
        <w:t>万元。“三公”经费与上年持平，无增减变化。</w:t>
      </w:r>
    </w:p>
    <w:p>
      <w:pPr>
        <w:pStyle w:val="32"/>
      </w:pPr>
    </w:p>
    <w:p>
      <w:pPr>
        <w:spacing w:before="10" w:after="10"/>
        <w:ind w:firstLine="640"/>
        <w:outlineLvl w:val="5"/>
      </w:pPr>
      <w:r>
        <w:rPr>
          <w:rFonts w:ascii="黑体" w:hAnsi="黑体" w:eastAsia="黑体" w:cs="黑体"/>
          <w:color w:val="000000"/>
          <w:sz w:val="32"/>
        </w:rPr>
        <w:t>五、预算绩效信息</w:t>
      </w:r>
    </w:p>
    <w:p>
      <w:pPr>
        <w:pStyle w:val="24"/>
        <w:ind w:firstLine="560"/>
      </w:pPr>
      <w:r>
        <w:rPr>
          <w:rFonts w:ascii="方正仿宋_GBK" w:hAnsi="方正仿宋_GBK" w:eastAsia="方正仿宋_GBK" w:cs="方正仿宋_GBK"/>
          <w:b/>
          <w:color w:val="000000"/>
          <w:sz w:val="28"/>
        </w:rPr>
        <w:t>1、职工及城乡居民医疗管理经费绩效目标表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1.提升医保服务能力，改善服务场所环境。</w:t>
            </w:r>
          </w:p>
        </w:tc>
      </w:tr>
    </w:tbl>
    <w:p>
      <w:pPr>
        <w:pStyle w:val="24"/>
        <w:spacing w:line="2" w:lineRule="exact"/>
        <w:jc w:val="center"/>
      </w:pP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质量指标</w:t>
            </w:r>
          </w:p>
        </w:tc>
        <w:tc>
          <w:tcPr>
            <w:tcW w:w="2835" w:type="dxa"/>
            <w:vAlign w:val="center"/>
          </w:tcPr>
          <w:p>
            <w:pPr>
              <w:pStyle w:val="26"/>
            </w:pPr>
            <w:r>
              <w:t>异地就医及时结算比率</w:t>
            </w:r>
          </w:p>
        </w:tc>
        <w:tc>
          <w:tcPr>
            <w:tcW w:w="2835" w:type="dxa"/>
            <w:vAlign w:val="center"/>
          </w:tcPr>
          <w:p>
            <w:pPr>
              <w:pStyle w:val="26"/>
            </w:pPr>
            <w:r>
              <w:t>异地就医及时结算人数与已发生的异地就医人数之间的比率</w:t>
            </w:r>
          </w:p>
        </w:tc>
        <w:tc>
          <w:tcPr>
            <w:tcW w:w="2551" w:type="dxa"/>
            <w:vAlign w:val="center"/>
          </w:tcPr>
          <w:p>
            <w:pPr>
              <w:pStyle w:val="26"/>
            </w:pPr>
            <w:r>
              <w:t>≥90%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硬件采购数量</w:t>
            </w:r>
          </w:p>
        </w:tc>
        <w:tc>
          <w:tcPr>
            <w:tcW w:w="2835" w:type="dxa"/>
            <w:vAlign w:val="center"/>
          </w:tcPr>
          <w:p>
            <w:pPr>
              <w:pStyle w:val="26"/>
            </w:pPr>
            <w:r>
              <w:t>当年采购硬件的数量</w:t>
            </w:r>
          </w:p>
        </w:tc>
        <w:tc>
          <w:tcPr>
            <w:tcW w:w="2551" w:type="dxa"/>
            <w:vAlign w:val="center"/>
          </w:tcPr>
          <w:p>
            <w:pPr>
              <w:pStyle w:val="26"/>
            </w:pPr>
            <w:r>
              <w:t>≥70套</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印刷、设备购置等购买支出节减率</w:t>
            </w:r>
          </w:p>
        </w:tc>
        <w:tc>
          <w:tcPr>
            <w:tcW w:w="2835" w:type="dxa"/>
            <w:vAlign w:val="center"/>
          </w:tcPr>
          <w:p>
            <w:pPr>
              <w:pStyle w:val="26"/>
            </w:pPr>
            <w:r>
              <w:t>印刷、设备购置等购买要货比三家实际购买支出节减率</w:t>
            </w:r>
          </w:p>
        </w:tc>
        <w:tc>
          <w:tcPr>
            <w:tcW w:w="2551" w:type="dxa"/>
            <w:vAlign w:val="center"/>
          </w:tcPr>
          <w:p>
            <w:pPr>
              <w:pStyle w:val="26"/>
            </w:pPr>
            <w:r>
              <w:t>≥10%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及时性</w:t>
            </w:r>
          </w:p>
        </w:tc>
        <w:tc>
          <w:tcPr>
            <w:tcW w:w="2835" w:type="dxa"/>
            <w:vAlign w:val="center"/>
          </w:tcPr>
          <w:p>
            <w:pPr>
              <w:pStyle w:val="26"/>
            </w:pPr>
            <w:r>
              <w:t>及时性</w:t>
            </w:r>
          </w:p>
        </w:tc>
        <w:tc>
          <w:tcPr>
            <w:tcW w:w="2551" w:type="dxa"/>
            <w:vAlign w:val="center"/>
          </w:tcPr>
          <w:p>
            <w:pPr>
              <w:pStyle w:val="26"/>
            </w:pPr>
            <w:r>
              <w:t>100%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设备使用率</w:t>
            </w:r>
          </w:p>
        </w:tc>
        <w:tc>
          <w:tcPr>
            <w:tcW w:w="2835" w:type="dxa"/>
            <w:vAlign w:val="center"/>
          </w:tcPr>
          <w:p>
            <w:pPr>
              <w:pStyle w:val="26"/>
            </w:pPr>
            <w:r>
              <w:t>设备使用台数占设备总数百分比</w:t>
            </w:r>
          </w:p>
        </w:tc>
        <w:tc>
          <w:tcPr>
            <w:tcW w:w="2551" w:type="dxa"/>
            <w:vAlign w:val="center"/>
          </w:tcPr>
          <w:p>
            <w:pPr>
              <w:pStyle w:val="26"/>
            </w:pPr>
            <w:r>
              <w:t>100%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完善医疗保障政策，确保待遇落实</w:t>
            </w:r>
          </w:p>
        </w:tc>
        <w:tc>
          <w:tcPr>
            <w:tcW w:w="2835" w:type="dxa"/>
            <w:vAlign w:val="center"/>
          </w:tcPr>
          <w:p>
            <w:pPr>
              <w:pStyle w:val="26"/>
            </w:pPr>
            <w:r>
              <w:t>完善医疗保障政策，确保待遇落实到位</w:t>
            </w:r>
          </w:p>
        </w:tc>
        <w:tc>
          <w:tcPr>
            <w:tcW w:w="2551" w:type="dxa"/>
            <w:vAlign w:val="center"/>
          </w:tcPr>
          <w:p>
            <w:pPr>
              <w:pStyle w:val="26"/>
            </w:pPr>
            <w:r>
              <w:t>100%</w:t>
            </w:r>
          </w:p>
        </w:tc>
        <w:tc>
          <w:tcPr>
            <w:tcW w:w="2268" w:type="dxa"/>
            <w:vAlign w:val="center"/>
          </w:tcPr>
          <w:p>
            <w:pPr>
              <w:pStyle w:val="26"/>
            </w:pPr>
            <w:r>
              <w:t>年度计划</w:t>
            </w:r>
          </w:p>
        </w:tc>
      </w:tr>
    </w:tbl>
    <w:p>
      <w:pPr>
        <w:pStyle w:val="24"/>
      </w:pPr>
    </w:p>
    <w:p>
      <w:pPr>
        <w:pStyle w:val="24"/>
        <w:ind w:firstLine="560"/>
      </w:pPr>
      <w:r>
        <w:rPr>
          <w:rFonts w:ascii="方正仿宋_GBK" w:hAnsi="方正仿宋_GBK" w:eastAsia="方正仿宋_GBK" w:cs="方正仿宋_GBK"/>
          <w:b/>
          <w:color w:val="000000"/>
          <w:sz w:val="28"/>
        </w:rPr>
        <w:t>2、城乡居民医疗保险本级配套资金绩效目标表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1.城乡参保居民本级配套资金，按参保城乡居民参保人数足额配套</w:t>
            </w:r>
          </w:p>
        </w:tc>
      </w:tr>
    </w:tbl>
    <w:p>
      <w:pPr>
        <w:pStyle w:val="24"/>
        <w:spacing w:line="2" w:lineRule="exact"/>
        <w:jc w:val="center"/>
      </w:pP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城乡居民医保参保人数</w:t>
            </w:r>
          </w:p>
        </w:tc>
        <w:tc>
          <w:tcPr>
            <w:tcW w:w="2835" w:type="dxa"/>
            <w:vAlign w:val="center"/>
          </w:tcPr>
          <w:p>
            <w:pPr>
              <w:pStyle w:val="26"/>
            </w:pPr>
            <w:r>
              <w:t>城乡居民医保参保人数</w:t>
            </w:r>
          </w:p>
        </w:tc>
        <w:tc>
          <w:tcPr>
            <w:tcW w:w="2551" w:type="dxa"/>
            <w:vAlign w:val="center"/>
          </w:tcPr>
          <w:p>
            <w:pPr>
              <w:pStyle w:val="26"/>
            </w:pPr>
            <w:r>
              <w:t>≤69万人</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城乡居民基本医保参保率</w:t>
            </w:r>
          </w:p>
        </w:tc>
        <w:tc>
          <w:tcPr>
            <w:tcW w:w="2835" w:type="dxa"/>
            <w:vAlign w:val="center"/>
          </w:tcPr>
          <w:p>
            <w:pPr>
              <w:pStyle w:val="26"/>
            </w:pPr>
            <w:r>
              <w:t>反映城乡居民基本医保参保率情况</w:t>
            </w:r>
          </w:p>
        </w:tc>
        <w:tc>
          <w:tcPr>
            <w:tcW w:w="2551" w:type="dxa"/>
            <w:vAlign w:val="center"/>
          </w:tcPr>
          <w:p>
            <w:pPr>
              <w:pStyle w:val="26"/>
            </w:pPr>
            <w:r>
              <w:t>≥95%</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城乡居民医疗保险基金财政补助到位及时率</w:t>
            </w:r>
          </w:p>
        </w:tc>
        <w:tc>
          <w:tcPr>
            <w:tcW w:w="2835" w:type="dxa"/>
            <w:vAlign w:val="center"/>
          </w:tcPr>
          <w:p>
            <w:pPr>
              <w:pStyle w:val="26"/>
            </w:pPr>
            <w:r>
              <w:t>考核各级财政对城乡居民医疗保险基金的补助是否及时足额拨付到财政专户</w:t>
            </w:r>
          </w:p>
        </w:tc>
        <w:tc>
          <w:tcPr>
            <w:tcW w:w="2551" w:type="dxa"/>
            <w:vAlign w:val="center"/>
          </w:tcPr>
          <w:p>
            <w:pPr>
              <w:pStyle w:val="26"/>
            </w:pPr>
            <w:r>
              <w:t>100%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资金成本</w:t>
            </w:r>
          </w:p>
        </w:tc>
        <w:tc>
          <w:tcPr>
            <w:tcW w:w="2835" w:type="dxa"/>
            <w:vAlign w:val="center"/>
          </w:tcPr>
          <w:p>
            <w:pPr>
              <w:pStyle w:val="26"/>
            </w:pPr>
            <w:r>
              <w:t>资金成本</w:t>
            </w:r>
          </w:p>
        </w:tc>
        <w:tc>
          <w:tcPr>
            <w:tcW w:w="2551" w:type="dxa"/>
            <w:vAlign w:val="center"/>
          </w:tcPr>
          <w:p>
            <w:pPr>
              <w:pStyle w:val="26"/>
            </w:pPr>
            <w:r>
              <w:t>122元</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强化基金监管</w:t>
            </w:r>
          </w:p>
        </w:tc>
        <w:tc>
          <w:tcPr>
            <w:tcW w:w="2835" w:type="dxa"/>
            <w:vAlign w:val="center"/>
          </w:tcPr>
          <w:p>
            <w:pPr>
              <w:pStyle w:val="26"/>
            </w:pPr>
            <w:r>
              <w:t>强化基金监管，确保医疗保障基金运行安全</w:t>
            </w:r>
          </w:p>
        </w:tc>
        <w:tc>
          <w:tcPr>
            <w:tcW w:w="2551" w:type="dxa"/>
            <w:vAlign w:val="center"/>
          </w:tcPr>
          <w:p>
            <w:pPr>
              <w:pStyle w:val="26"/>
            </w:pPr>
            <w:r>
              <w:t>100%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接受医保服务的人群对医保服务的满意程度</w:t>
            </w:r>
          </w:p>
        </w:tc>
        <w:tc>
          <w:tcPr>
            <w:tcW w:w="2551" w:type="dxa"/>
            <w:vAlign w:val="center"/>
          </w:tcPr>
          <w:p>
            <w:pPr>
              <w:pStyle w:val="26"/>
            </w:pPr>
            <w:r>
              <w:t>≥98%</w:t>
            </w:r>
          </w:p>
        </w:tc>
        <w:tc>
          <w:tcPr>
            <w:tcW w:w="2268" w:type="dxa"/>
            <w:vAlign w:val="center"/>
          </w:tcPr>
          <w:p>
            <w:pPr>
              <w:pStyle w:val="26"/>
            </w:pPr>
            <w:r>
              <w:t>年度计划</w:t>
            </w:r>
          </w:p>
        </w:tc>
      </w:tr>
    </w:tbl>
    <w:p>
      <w:pPr>
        <w:pStyle w:val="24"/>
      </w:pPr>
    </w:p>
    <w:p>
      <w:pPr>
        <w:pStyle w:val="24"/>
        <w:ind w:firstLine="560"/>
      </w:pPr>
      <w:r>
        <w:rPr>
          <w:rFonts w:ascii="方正仿宋_GBK" w:hAnsi="方正仿宋_GBK" w:eastAsia="方正仿宋_GBK" w:cs="方正仿宋_GBK"/>
          <w:b/>
          <w:color w:val="000000"/>
          <w:sz w:val="28"/>
        </w:rPr>
        <w:t>3、城乡医疗救助绩效目标表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1.落实国家政策，防止因病返贫,年度救助对象人次规模与上年持平</w:t>
            </w:r>
          </w:p>
        </w:tc>
      </w:tr>
    </w:tbl>
    <w:p>
      <w:pPr>
        <w:pStyle w:val="24"/>
        <w:spacing w:line="2" w:lineRule="exact"/>
        <w:jc w:val="center"/>
      </w:pP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医疗救助待遇保障人数</w:t>
            </w:r>
          </w:p>
        </w:tc>
        <w:tc>
          <w:tcPr>
            <w:tcW w:w="2835" w:type="dxa"/>
            <w:vAlign w:val="center"/>
          </w:tcPr>
          <w:p>
            <w:pPr>
              <w:pStyle w:val="26"/>
            </w:pPr>
            <w:r>
              <w:t>实际享受待遇额人数</w:t>
            </w:r>
          </w:p>
        </w:tc>
        <w:tc>
          <w:tcPr>
            <w:tcW w:w="2551" w:type="dxa"/>
            <w:vAlign w:val="center"/>
          </w:tcPr>
          <w:p>
            <w:pPr>
              <w:pStyle w:val="26"/>
            </w:pPr>
            <w:r>
              <w:t>小于1.4万人</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医疗保障报销及时率</w:t>
            </w:r>
          </w:p>
        </w:tc>
        <w:tc>
          <w:tcPr>
            <w:tcW w:w="2835" w:type="dxa"/>
            <w:vAlign w:val="center"/>
          </w:tcPr>
          <w:p>
            <w:pPr>
              <w:pStyle w:val="26"/>
            </w:pPr>
            <w:r>
              <w:t>医疗救助报销规定时限内及时办结情况</w:t>
            </w:r>
          </w:p>
        </w:tc>
        <w:tc>
          <w:tcPr>
            <w:tcW w:w="2551" w:type="dxa"/>
            <w:vAlign w:val="center"/>
          </w:tcPr>
          <w:p>
            <w:pPr>
              <w:pStyle w:val="26"/>
            </w:pPr>
            <w:r>
              <w:t>100%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“一站式”即时结算覆盖率</w:t>
            </w:r>
          </w:p>
        </w:tc>
        <w:tc>
          <w:tcPr>
            <w:tcW w:w="2835" w:type="dxa"/>
            <w:vAlign w:val="center"/>
          </w:tcPr>
          <w:p>
            <w:pPr>
              <w:pStyle w:val="26"/>
            </w:pPr>
            <w:r>
              <w:t>即时结算人次占总救助人次的比率</w:t>
            </w:r>
          </w:p>
        </w:tc>
        <w:tc>
          <w:tcPr>
            <w:tcW w:w="2551" w:type="dxa"/>
            <w:vAlign w:val="center"/>
          </w:tcPr>
          <w:p>
            <w:pPr>
              <w:pStyle w:val="26"/>
            </w:pPr>
            <w:r>
              <w:t>≥95%</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人均发放水平</w:t>
            </w:r>
          </w:p>
        </w:tc>
        <w:tc>
          <w:tcPr>
            <w:tcW w:w="2835" w:type="dxa"/>
            <w:vAlign w:val="center"/>
          </w:tcPr>
          <w:p>
            <w:pPr>
              <w:pStyle w:val="26"/>
            </w:pPr>
            <w:r>
              <w:t>人均发放水平</w:t>
            </w:r>
          </w:p>
        </w:tc>
        <w:tc>
          <w:tcPr>
            <w:tcW w:w="2551" w:type="dxa"/>
            <w:vAlign w:val="center"/>
          </w:tcPr>
          <w:p>
            <w:pPr>
              <w:pStyle w:val="26"/>
            </w:pPr>
            <w:r>
              <w:t>≥1920元</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提高药品招采占比</w:t>
            </w:r>
          </w:p>
        </w:tc>
        <w:tc>
          <w:tcPr>
            <w:tcW w:w="2835" w:type="dxa"/>
            <w:vAlign w:val="center"/>
          </w:tcPr>
          <w:p>
            <w:pPr>
              <w:pStyle w:val="26"/>
            </w:pPr>
            <w:r>
              <w:t>提高药品招采占比，确保医疗保障待遇落实到位。</w:t>
            </w:r>
          </w:p>
        </w:tc>
        <w:tc>
          <w:tcPr>
            <w:tcW w:w="2551" w:type="dxa"/>
            <w:vAlign w:val="center"/>
          </w:tcPr>
          <w:p>
            <w:pPr>
              <w:pStyle w:val="26"/>
            </w:pPr>
            <w:r>
              <w:t>≥95%</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确保政策落地生效</w:t>
            </w:r>
          </w:p>
        </w:tc>
        <w:tc>
          <w:tcPr>
            <w:tcW w:w="2835" w:type="dxa"/>
            <w:vAlign w:val="center"/>
          </w:tcPr>
          <w:p>
            <w:pPr>
              <w:pStyle w:val="26"/>
            </w:pPr>
            <w:r>
              <w:t>巩固医疗救助覆盖范围，确保政策落地生效</w:t>
            </w:r>
          </w:p>
        </w:tc>
        <w:tc>
          <w:tcPr>
            <w:tcW w:w="2551" w:type="dxa"/>
            <w:vAlign w:val="center"/>
          </w:tcPr>
          <w:p>
            <w:pPr>
              <w:pStyle w:val="26"/>
            </w:pPr>
            <w:r>
              <w:t>≥98满意率</w:t>
            </w:r>
          </w:p>
        </w:tc>
        <w:tc>
          <w:tcPr>
            <w:tcW w:w="2268" w:type="dxa"/>
            <w:vAlign w:val="center"/>
          </w:tcPr>
          <w:p>
            <w:pPr>
              <w:pStyle w:val="26"/>
            </w:pPr>
            <w:r>
              <w:t>年度计划</w:t>
            </w:r>
          </w:p>
        </w:tc>
      </w:tr>
    </w:tbl>
    <w:p>
      <w:pPr>
        <w:pStyle w:val="24"/>
      </w:pPr>
    </w:p>
    <w:p>
      <w:pPr>
        <w:pStyle w:val="24"/>
        <w:ind w:firstLine="560"/>
      </w:pPr>
      <w:r>
        <w:rPr>
          <w:rFonts w:ascii="方正仿宋_GBK" w:hAnsi="方正仿宋_GBK" w:eastAsia="方正仿宋_GBK" w:cs="方正仿宋_GBK"/>
          <w:b/>
          <w:color w:val="000000"/>
          <w:sz w:val="28"/>
        </w:rPr>
        <w:t>4、冀财社[2021]164号关于提前下达2022年中央财政医疗服务与保障能力提升补助资金绩效目标表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1.国家统一医保信息平台正常运行，定点医药机构监督检查全覆盖，推行医保支付方式改革和DRG。</w:t>
            </w:r>
          </w:p>
        </w:tc>
      </w:tr>
    </w:tbl>
    <w:p>
      <w:pPr>
        <w:pStyle w:val="24"/>
        <w:spacing w:line="2" w:lineRule="exact"/>
        <w:jc w:val="center"/>
      </w:pP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质量指标</w:t>
            </w:r>
          </w:p>
        </w:tc>
        <w:tc>
          <w:tcPr>
            <w:tcW w:w="2835" w:type="dxa"/>
            <w:vAlign w:val="center"/>
          </w:tcPr>
          <w:p>
            <w:pPr>
              <w:pStyle w:val="26"/>
            </w:pPr>
            <w:r>
              <w:t>医保信息系统正常运行率</w:t>
            </w:r>
          </w:p>
        </w:tc>
        <w:tc>
          <w:tcPr>
            <w:tcW w:w="2835" w:type="dxa"/>
            <w:vAlign w:val="center"/>
          </w:tcPr>
          <w:p>
            <w:pPr>
              <w:pStyle w:val="26"/>
            </w:pPr>
            <w:r>
              <w:t>医保信息系统正常运行天数占总天数的比例</w:t>
            </w:r>
          </w:p>
        </w:tc>
        <w:tc>
          <w:tcPr>
            <w:tcW w:w="2551" w:type="dxa"/>
            <w:vAlign w:val="center"/>
          </w:tcPr>
          <w:p>
            <w:pPr>
              <w:pStyle w:val="26"/>
            </w:pPr>
            <w:r>
              <w:t>≥90百分比</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定点医药机构监督检查次数</w:t>
            </w:r>
          </w:p>
        </w:tc>
        <w:tc>
          <w:tcPr>
            <w:tcW w:w="2835" w:type="dxa"/>
            <w:vAlign w:val="center"/>
          </w:tcPr>
          <w:p>
            <w:pPr>
              <w:pStyle w:val="26"/>
            </w:pPr>
            <w:r>
              <w:t>对定点医药机构检查的次数</w:t>
            </w:r>
          </w:p>
        </w:tc>
        <w:tc>
          <w:tcPr>
            <w:tcW w:w="2551" w:type="dxa"/>
            <w:vAlign w:val="center"/>
          </w:tcPr>
          <w:p>
            <w:pPr>
              <w:pStyle w:val="26"/>
            </w:pPr>
            <w:r>
              <w:t>≥2次</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电子医保凭证运行时间</w:t>
            </w:r>
          </w:p>
        </w:tc>
        <w:tc>
          <w:tcPr>
            <w:tcW w:w="2835" w:type="dxa"/>
            <w:vAlign w:val="center"/>
          </w:tcPr>
          <w:p>
            <w:pPr>
              <w:pStyle w:val="26"/>
            </w:pPr>
            <w:r>
              <w:t>电子医保凭证使用时间</w:t>
            </w:r>
          </w:p>
        </w:tc>
        <w:tc>
          <w:tcPr>
            <w:tcW w:w="2551" w:type="dxa"/>
            <w:vAlign w:val="center"/>
          </w:tcPr>
          <w:p>
            <w:pPr>
              <w:pStyle w:val="26"/>
            </w:pPr>
            <w:r>
              <w:t>≤12月</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总成本</w:t>
            </w:r>
          </w:p>
        </w:tc>
        <w:tc>
          <w:tcPr>
            <w:tcW w:w="2835" w:type="dxa"/>
            <w:vAlign w:val="center"/>
          </w:tcPr>
          <w:p>
            <w:pPr>
              <w:pStyle w:val="26"/>
            </w:pPr>
            <w:r>
              <w:t xml:space="preserve">租赁房屋支出总成本 </w:t>
            </w:r>
          </w:p>
        </w:tc>
        <w:tc>
          <w:tcPr>
            <w:tcW w:w="2551" w:type="dxa"/>
            <w:vAlign w:val="center"/>
          </w:tcPr>
          <w:p>
            <w:pPr>
              <w:pStyle w:val="26"/>
            </w:pPr>
            <w:r>
              <w:t>≤5万元</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跨省异地就医直接结算率</w:t>
            </w:r>
          </w:p>
        </w:tc>
        <w:tc>
          <w:tcPr>
            <w:tcW w:w="2835" w:type="dxa"/>
            <w:vAlign w:val="center"/>
          </w:tcPr>
          <w:p>
            <w:pPr>
              <w:pStyle w:val="26"/>
            </w:pPr>
            <w:r>
              <w:t>跨省就医直接结算人数占跨省就医人数比例</w:t>
            </w:r>
          </w:p>
        </w:tc>
        <w:tc>
          <w:tcPr>
            <w:tcW w:w="2551" w:type="dxa"/>
            <w:vAlign w:val="center"/>
          </w:tcPr>
          <w:p>
            <w:pPr>
              <w:pStyle w:val="26"/>
            </w:pPr>
            <w:r>
              <w:t>≥95百分比</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服务对象满意度</w:t>
            </w:r>
          </w:p>
        </w:tc>
        <w:tc>
          <w:tcPr>
            <w:tcW w:w="2551" w:type="dxa"/>
            <w:vAlign w:val="center"/>
          </w:tcPr>
          <w:p>
            <w:pPr>
              <w:pStyle w:val="26"/>
            </w:pPr>
            <w:r>
              <w:t>≥95百分比</w:t>
            </w:r>
          </w:p>
        </w:tc>
        <w:tc>
          <w:tcPr>
            <w:tcW w:w="2268" w:type="dxa"/>
            <w:vAlign w:val="center"/>
          </w:tcPr>
          <w:p>
            <w:pPr>
              <w:pStyle w:val="26"/>
            </w:pPr>
            <w:r>
              <w:t>年度计划</w:t>
            </w:r>
          </w:p>
        </w:tc>
      </w:tr>
    </w:tbl>
    <w:p>
      <w:pPr>
        <w:pStyle w:val="24"/>
      </w:pPr>
    </w:p>
    <w:p>
      <w:pPr>
        <w:pStyle w:val="24"/>
        <w:ind w:firstLine="560"/>
      </w:pPr>
      <w:r>
        <w:rPr>
          <w:rFonts w:ascii="方正仿宋_GBK" w:hAnsi="方正仿宋_GBK" w:eastAsia="方正仿宋_GBK" w:cs="方正仿宋_GBK"/>
          <w:b/>
          <w:color w:val="000000"/>
          <w:sz w:val="28"/>
        </w:rPr>
        <w:t>5、离休、</w:t>
      </w:r>
      <w:r>
        <w:rPr>
          <w:rFonts w:hint="eastAsia" w:ascii="方正仿宋_GBK" w:hAnsi="方正仿宋_GBK" w:eastAsia="方正仿宋_GBK" w:cs="方正仿宋_GBK"/>
          <w:b/>
          <w:color w:val="000000"/>
          <w:sz w:val="28"/>
          <w:lang w:eastAsia="zh-CN"/>
        </w:rPr>
        <w:t>中华人民共和国成立前</w:t>
      </w:r>
      <w:r>
        <w:rPr>
          <w:rFonts w:ascii="方正仿宋_GBK" w:hAnsi="方正仿宋_GBK" w:eastAsia="方正仿宋_GBK" w:cs="方正仿宋_GBK"/>
          <w:b/>
          <w:color w:val="000000"/>
          <w:sz w:val="28"/>
        </w:rPr>
        <w:t>老工人、1-6级伤残军人医疗费绩效目标表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1.报销离休、</w:t>
            </w:r>
            <w:r>
              <w:rPr>
                <w:rFonts w:hint="eastAsia"/>
                <w:lang w:eastAsia="zh-CN"/>
              </w:rPr>
              <w:t>中华人民共和国成立前</w:t>
            </w:r>
            <w:r>
              <w:t>老工人、劳模人员和1-6级伤残军人药费</w:t>
            </w:r>
          </w:p>
        </w:tc>
      </w:tr>
    </w:tbl>
    <w:p>
      <w:pPr>
        <w:pStyle w:val="24"/>
        <w:spacing w:line="2" w:lineRule="exact"/>
        <w:jc w:val="center"/>
      </w:pP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质量指标</w:t>
            </w:r>
          </w:p>
        </w:tc>
        <w:tc>
          <w:tcPr>
            <w:tcW w:w="2835" w:type="dxa"/>
            <w:vAlign w:val="center"/>
          </w:tcPr>
          <w:p>
            <w:pPr>
              <w:pStyle w:val="26"/>
            </w:pPr>
            <w:r>
              <w:t>补助发放覆盖率</w:t>
            </w:r>
          </w:p>
        </w:tc>
        <w:tc>
          <w:tcPr>
            <w:tcW w:w="2835" w:type="dxa"/>
            <w:vAlign w:val="center"/>
          </w:tcPr>
          <w:p>
            <w:pPr>
              <w:pStyle w:val="26"/>
            </w:pPr>
            <w:r>
              <w:t>补助发放覆盖率</w:t>
            </w:r>
          </w:p>
        </w:tc>
        <w:tc>
          <w:tcPr>
            <w:tcW w:w="2551" w:type="dxa"/>
            <w:vAlign w:val="center"/>
          </w:tcPr>
          <w:p>
            <w:pPr>
              <w:pStyle w:val="26"/>
            </w:pPr>
            <w:r>
              <w:t>100%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补助发放效率</w:t>
            </w:r>
          </w:p>
        </w:tc>
        <w:tc>
          <w:tcPr>
            <w:tcW w:w="2835" w:type="dxa"/>
            <w:vAlign w:val="center"/>
          </w:tcPr>
          <w:p>
            <w:pPr>
              <w:pStyle w:val="26"/>
            </w:pPr>
            <w:r>
              <w:t>按时拨付待遇款</w:t>
            </w:r>
          </w:p>
        </w:tc>
        <w:tc>
          <w:tcPr>
            <w:tcW w:w="2551" w:type="dxa"/>
            <w:vAlign w:val="center"/>
          </w:tcPr>
          <w:p>
            <w:pPr>
              <w:pStyle w:val="26"/>
            </w:pPr>
            <w:r>
              <w:t>≥98%</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数量指标</w:t>
            </w:r>
          </w:p>
        </w:tc>
        <w:tc>
          <w:tcPr>
            <w:tcW w:w="2835" w:type="dxa"/>
            <w:vAlign w:val="center"/>
          </w:tcPr>
          <w:p>
            <w:pPr>
              <w:pStyle w:val="26"/>
            </w:pPr>
            <w:r>
              <w:t>支出覆盖人群数量</w:t>
            </w:r>
          </w:p>
        </w:tc>
        <w:tc>
          <w:tcPr>
            <w:tcW w:w="2835" w:type="dxa"/>
            <w:vAlign w:val="center"/>
          </w:tcPr>
          <w:p>
            <w:pPr>
              <w:pStyle w:val="26"/>
            </w:pPr>
            <w:r>
              <w:t>应享受待遇人口数量</w:t>
            </w:r>
          </w:p>
        </w:tc>
        <w:tc>
          <w:tcPr>
            <w:tcW w:w="2551" w:type="dxa"/>
            <w:vAlign w:val="center"/>
          </w:tcPr>
          <w:p>
            <w:pPr>
              <w:pStyle w:val="26"/>
            </w:pPr>
            <w:r>
              <w:t>≥221人</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人均发放水平</w:t>
            </w:r>
          </w:p>
        </w:tc>
        <w:tc>
          <w:tcPr>
            <w:tcW w:w="2835" w:type="dxa"/>
            <w:vAlign w:val="center"/>
          </w:tcPr>
          <w:p>
            <w:pPr>
              <w:pStyle w:val="26"/>
            </w:pPr>
            <w:r>
              <w:t>人均发放水平</w:t>
            </w:r>
          </w:p>
        </w:tc>
        <w:tc>
          <w:tcPr>
            <w:tcW w:w="2551" w:type="dxa"/>
            <w:vAlign w:val="center"/>
          </w:tcPr>
          <w:p>
            <w:pPr>
              <w:pStyle w:val="26"/>
            </w:pPr>
            <w:r>
              <w:t>≥3.6万元</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基本医疗保险政策范围内住院费用支付比例</w:t>
            </w:r>
          </w:p>
        </w:tc>
        <w:tc>
          <w:tcPr>
            <w:tcW w:w="2835" w:type="dxa"/>
            <w:vAlign w:val="center"/>
          </w:tcPr>
          <w:p>
            <w:pPr>
              <w:pStyle w:val="26"/>
            </w:pPr>
            <w:r>
              <w:t>考核政策范围内住院费用支付比例是否满足政策要求</w:t>
            </w:r>
          </w:p>
        </w:tc>
        <w:tc>
          <w:tcPr>
            <w:tcW w:w="2551" w:type="dxa"/>
            <w:vAlign w:val="center"/>
          </w:tcPr>
          <w:p>
            <w:pPr>
              <w:pStyle w:val="26"/>
            </w:pPr>
            <w:r>
              <w:t>≥100%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保障对象满意率</w:t>
            </w:r>
          </w:p>
        </w:tc>
        <w:tc>
          <w:tcPr>
            <w:tcW w:w="2835" w:type="dxa"/>
            <w:vAlign w:val="center"/>
          </w:tcPr>
          <w:p>
            <w:pPr>
              <w:pStyle w:val="26"/>
            </w:pPr>
            <w:r>
              <w:t>保障对象满意率</w:t>
            </w:r>
          </w:p>
        </w:tc>
        <w:tc>
          <w:tcPr>
            <w:tcW w:w="2551" w:type="dxa"/>
            <w:vAlign w:val="center"/>
          </w:tcPr>
          <w:p>
            <w:pPr>
              <w:pStyle w:val="26"/>
            </w:pPr>
            <w:r>
              <w:t>≥98%</w:t>
            </w:r>
          </w:p>
        </w:tc>
        <w:tc>
          <w:tcPr>
            <w:tcW w:w="2268" w:type="dxa"/>
            <w:vAlign w:val="center"/>
          </w:tcPr>
          <w:p>
            <w:pPr>
              <w:pStyle w:val="26"/>
            </w:pPr>
            <w:r>
              <w:t>年度计划</w:t>
            </w:r>
          </w:p>
        </w:tc>
      </w:tr>
    </w:tbl>
    <w:p>
      <w:pPr>
        <w:pStyle w:val="24"/>
      </w:pPr>
    </w:p>
    <w:p>
      <w:pPr>
        <w:pStyle w:val="24"/>
        <w:ind w:firstLine="560"/>
      </w:pPr>
      <w:r>
        <w:rPr>
          <w:rFonts w:ascii="方正仿宋_GBK" w:hAnsi="方正仿宋_GBK" w:eastAsia="方正仿宋_GBK" w:cs="方正仿宋_GBK"/>
          <w:b/>
          <w:color w:val="000000"/>
          <w:sz w:val="28"/>
        </w:rPr>
        <w:t>6、石财社[2021]125号关于提前下达2022年市级医疗救助补助资金绩效目标表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1.资助符合条件的缴费困难群体参加城乡居民医疗保险</w:t>
            </w:r>
          </w:p>
        </w:tc>
      </w:tr>
    </w:tbl>
    <w:p>
      <w:pPr>
        <w:pStyle w:val="24"/>
        <w:spacing w:line="2" w:lineRule="exact"/>
        <w:jc w:val="center"/>
      </w:pP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医疗救助待遇保障人数</w:t>
            </w:r>
          </w:p>
        </w:tc>
        <w:tc>
          <w:tcPr>
            <w:tcW w:w="2835" w:type="dxa"/>
            <w:vAlign w:val="center"/>
          </w:tcPr>
          <w:p>
            <w:pPr>
              <w:pStyle w:val="26"/>
            </w:pPr>
            <w:r>
              <w:t>实际享受待遇额人数</w:t>
            </w:r>
          </w:p>
        </w:tc>
        <w:tc>
          <w:tcPr>
            <w:tcW w:w="2551" w:type="dxa"/>
            <w:vAlign w:val="center"/>
          </w:tcPr>
          <w:p>
            <w:pPr>
              <w:pStyle w:val="26"/>
            </w:pPr>
            <w:r>
              <w:t>小于1.3万人</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医疗保障报销及时率</w:t>
            </w:r>
          </w:p>
        </w:tc>
        <w:tc>
          <w:tcPr>
            <w:tcW w:w="2835" w:type="dxa"/>
            <w:vAlign w:val="center"/>
          </w:tcPr>
          <w:p>
            <w:pPr>
              <w:pStyle w:val="26"/>
            </w:pPr>
            <w:r>
              <w:t>医疗救助报销规定时限内及时办结情况</w:t>
            </w:r>
          </w:p>
        </w:tc>
        <w:tc>
          <w:tcPr>
            <w:tcW w:w="2551" w:type="dxa"/>
            <w:vAlign w:val="center"/>
          </w:tcPr>
          <w:p>
            <w:pPr>
              <w:pStyle w:val="26"/>
            </w:pPr>
            <w:r>
              <w:t>100%</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“一站式”即时结算覆盖率</w:t>
            </w:r>
          </w:p>
        </w:tc>
        <w:tc>
          <w:tcPr>
            <w:tcW w:w="2835" w:type="dxa"/>
            <w:vAlign w:val="center"/>
          </w:tcPr>
          <w:p>
            <w:pPr>
              <w:pStyle w:val="26"/>
            </w:pPr>
            <w:r>
              <w:t>即时结算人次占总救助人次的比率</w:t>
            </w:r>
          </w:p>
        </w:tc>
        <w:tc>
          <w:tcPr>
            <w:tcW w:w="2551" w:type="dxa"/>
            <w:vAlign w:val="center"/>
          </w:tcPr>
          <w:p>
            <w:pPr>
              <w:pStyle w:val="26"/>
            </w:pPr>
            <w:r>
              <w:t>≥99%</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人均发放水平</w:t>
            </w:r>
          </w:p>
        </w:tc>
        <w:tc>
          <w:tcPr>
            <w:tcW w:w="2835" w:type="dxa"/>
            <w:vAlign w:val="center"/>
          </w:tcPr>
          <w:p>
            <w:pPr>
              <w:pStyle w:val="26"/>
            </w:pPr>
            <w:r>
              <w:t>人均发放水平</w:t>
            </w:r>
          </w:p>
        </w:tc>
        <w:tc>
          <w:tcPr>
            <w:tcW w:w="2551" w:type="dxa"/>
            <w:vAlign w:val="center"/>
          </w:tcPr>
          <w:p>
            <w:pPr>
              <w:pStyle w:val="26"/>
            </w:pPr>
            <w:r>
              <w:t>≤10000元</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提高药品招采占比</w:t>
            </w:r>
          </w:p>
        </w:tc>
        <w:tc>
          <w:tcPr>
            <w:tcW w:w="2835" w:type="dxa"/>
            <w:vAlign w:val="center"/>
          </w:tcPr>
          <w:p>
            <w:pPr>
              <w:pStyle w:val="26"/>
            </w:pPr>
            <w:r>
              <w:t>提高药品招采占比，确保医疗保障待遇落实到位。</w:t>
            </w:r>
          </w:p>
        </w:tc>
        <w:tc>
          <w:tcPr>
            <w:tcW w:w="2551" w:type="dxa"/>
            <w:vAlign w:val="center"/>
          </w:tcPr>
          <w:p>
            <w:pPr>
              <w:pStyle w:val="26"/>
            </w:pPr>
            <w:r>
              <w:t>≥95%</w:t>
            </w:r>
          </w:p>
        </w:tc>
        <w:tc>
          <w:tcPr>
            <w:tcW w:w="2268" w:type="dxa"/>
            <w:vAlign w:val="center"/>
          </w:tcPr>
          <w:p>
            <w:pPr>
              <w:pStyle w:val="2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确保政策落地生效</w:t>
            </w:r>
          </w:p>
        </w:tc>
        <w:tc>
          <w:tcPr>
            <w:tcW w:w="2835" w:type="dxa"/>
            <w:vAlign w:val="center"/>
          </w:tcPr>
          <w:p>
            <w:pPr>
              <w:pStyle w:val="26"/>
            </w:pPr>
            <w:r>
              <w:t>巩固医疗救助覆盖范围，确保政策落地生效</w:t>
            </w:r>
          </w:p>
        </w:tc>
        <w:tc>
          <w:tcPr>
            <w:tcW w:w="2551" w:type="dxa"/>
            <w:vAlign w:val="center"/>
          </w:tcPr>
          <w:p>
            <w:pPr>
              <w:pStyle w:val="26"/>
            </w:pPr>
            <w:r>
              <w:t>≥98满意率</w:t>
            </w:r>
          </w:p>
        </w:tc>
        <w:tc>
          <w:tcPr>
            <w:tcW w:w="2268" w:type="dxa"/>
            <w:vAlign w:val="center"/>
          </w:tcPr>
          <w:p>
            <w:pPr>
              <w:pStyle w:val="26"/>
            </w:pPr>
            <w:r>
              <w:t>年度计划</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2022年，石家庄市藁城区医疗保障局本级安排政府采购预算0.00万元。具体内容见下表。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435001石家庄市藁城区医疗保障局本级</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ind w:firstLine="560" w:firstLineChars="200"/>
        <w:rPr>
          <w:rFonts w:ascii="仿宋" w:hAnsi="仿宋" w:eastAsia="仿宋"/>
          <w:color w:val="000000"/>
          <w:sz w:val="32"/>
          <w:szCs w:val="32"/>
          <w:lang w:val="uk-UA"/>
        </w:rPr>
      </w:pPr>
      <w:r>
        <w:rPr>
          <w:rFonts w:eastAsia="方正仿宋_GBK"/>
          <w:color w:val="000000"/>
          <w:sz w:val="28"/>
        </w:rPr>
        <w:t>石家庄市藁城区医疗保障局本级上年末固定资产金额为121.68万元（详见下表）。本年度拟购置固定资产总额为28.70万元，</w:t>
      </w:r>
      <w:r>
        <w:rPr>
          <w:rFonts w:hint="eastAsia" w:ascii="仿宋" w:hAnsi="仿宋" w:eastAsia="仿宋"/>
          <w:color w:val="000000"/>
          <w:sz w:val="32"/>
          <w:szCs w:val="32"/>
          <w:lang w:val="uk-UA"/>
        </w:rPr>
        <w:t>主要为计算机、打印机</w:t>
      </w:r>
      <w:r>
        <w:rPr>
          <w:rFonts w:hint="eastAsia" w:ascii="仿宋" w:hAnsi="仿宋" w:eastAsia="仿宋"/>
          <w:color w:val="000000"/>
          <w:sz w:val="32"/>
          <w:szCs w:val="32"/>
          <w:lang w:val="uk-UA" w:eastAsia="zh-CN"/>
        </w:rPr>
        <w:t>、杀毒软件、办公桌椅、电视机</w:t>
      </w:r>
      <w:r>
        <w:rPr>
          <w:rFonts w:hint="eastAsia" w:ascii="仿宋" w:hAnsi="仿宋" w:eastAsia="仿宋"/>
          <w:color w:val="000000"/>
          <w:sz w:val="32"/>
          <w:szCs w:val="32"/>
          <w:lang w:val="uk-UA"/>
        </w:rPr>
        <w:t>等，因未达到政府采购限额，故未列入政府采购预算。</w:t>
      </w:r>
    </w:p>
    <w:p>
      <w:pPr>
        <w:spacing w:line="500" w:lineRule="exact"/>
        <w:ind w:firstLine="560"/>
      </w:pP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435001石家庄市藁城区医疗保障局本级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rPr>
                <w:rFonts w:hint="eastAsia" w:eastAsiaTheme="minorEastAsia"/>
                <w:lang w:eastAsia="zh-CN"/>
              </w:rPr>
            </w:pPr>
            <w:r>
              <w:rPr>
                <w:rFonts w:hint="eastAsia" w:eastAsiaTheme="minorEastAsia"/>
                <w:lang w:eastAsia="zh-CN"/>
              </w:rPr>
              <w:t>35.55</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Arial Black">
    <w:panose1 w:val="020B0A04020102020204"/>
    <w:charset w:val="00"/>
    <w:family w:val="swiss"/>
    <w:pitch w:val="default"/>
    <w:sig w:usb0="A00002AF" w:usb1="400078FB" w:usb2="00000000" w:usb3="00000000" w:csb0="6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3"/>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3035"/>
    <w:rsid w:val="00081B90"/>
    <w:rsid w:val="001E4B9D"/>
    <w:rsid w:val="001E6595"/>
    <w:rsid w:val="00251C33"/>
    <w:rsid w:val="002E5A5E"/>
    <w:rsid w:val="0031485F"/>
    <w:rsid w:val="00440919"/>
    <w:rsid w:val="00451DDC"/>
    <w:rsid w:val="00465C0E"/>
    <w:rsid w:val="00482580"/>
    <w:rsid w:val="004E263F"/>
    <w:rsid w:val="005301E4"/>
    <w:rsid w:val="006132BC"/>
    <w:rsid w:val="006D71D1"/>
    <w:rsid w:val="00711F1C"/>
    <w:rsid w:val="007324E8"/>
    <w:rsid w:val="007E175A"/>
    <w:rsid w:val="008033B6"/>
    <w:rsid w:val="008061A3"/>
    <w:rsid w:val="008065F4"/>
    <w:rsid w:val="00853035"/>
    <w:rsid w:val="00890300"/>
    <w:rsid w:val="008E2B7C"/>
    <w:rsid w:val="00937A59"/>
    <w:rsid w:val="009625B9"/>
    <w:rsid w:val="009F2E6F"/>
    <w:rsid w:val="00A404B6"/>
    <w:rsid w:val="00A97995"/>
    <w:rsid w:val="00D57F75"/>
    <w:rsid w:val="00D766D1"/>
    <w:rsid w:val="00E73A6D"/>
    <w:rsid w:val="00F22A1D"/>
    <w:rsid w:val="00F6451B"/>
    <w:rsid w:val="059009A2"/>
    <w:rsid w:val="141D0570"/>
    <w:rsid w:val="155C524B"/>
    <w:rsid w:val="1DE14C64"/>
    <w:rsid w:val="47243B9D"/>
    <w:rsid w:val="50345284"/>
    <w:rsid w:val="788E5F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38"/>
    <w:semiHidden/>
    <w:unhideWhenUsed/>
    <w:qFormat/>
    <w:uiPriority w:val="99"/>
    <w:pPr>
      <w:tabs>
        <w:tab w:val="center" w:pos="4153"/>
        <w:tab w:val="right" w:pos="8306"/>
      </w:tabs>
      <w:snapToGrid w:val="0"/>
    </w:pPr>
    <w:rPr>
      <w:sz w:val="18"/>
      <w:szCs w:val="18"/>
    </w:rPr>
  </w:style>
  <w:style w:type="paragraph" w:styleId="3">
    <w:name w:val="header"/>
    <w:basedOn w:val="1"/>
    <w:link w:val="37"/>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cf94d1ab-9c04-4bcc-926b-f3a2ef972e58"/>
    <w:qFormat/>
    <w:uiPriority w:val="0"/>
    <w:rPr>
      <w:rFonts w:ascii="Times New Roman" w:hAnsi="Times New Roman" w:eastAsia="Times New Roman" w:cs="Times New Roman"/>
      <w:sz w:val="24"/>
      <w:szCs w:val="24"/>
      <w:lang w:val="en-US" w:eastAsia="uk-UA" w:bidi="ar-SA"/>
    </w:rPr>
  </w:style>
  <w:style w:type="paragraph" w:customStyle="1" w:styleId="25">
    <w:name w:val="单元格样式1_7fc91349-865f-4475-b932-912f99bbad8c"/>
    <w:basedOn w:val="1"/>
    <w:qFormat/>
    <w:uiPriority w:val="0"/>
    <w:pPr>
      <w:jc w:val="center"/>
    </w:pPr>
    <w:rPr>
      <w:rFonts w:ascii="方正书宋_GBK" w:hAnsi="方正书宋_GBK" w:eastAsia="方正书宋_GBK" w:cs="方正书宋_GBK"/>
      <w:b/>
      <w:sz w:val="21"/>
    </w:rPr>
  </w:style>
  <w:style w:type="paragraph" w:customStyle="1" w:styleId="26">
    <w:name w:val="单元格样式2_cc394d7a-ae0a-417b-bc32-3f77d5996d53"/>
    <w:basedOn w:val="1"/>
    <w:qFormat/>
    <w:uiPriority w:val="0"/>
    <w:rPr>
      <w:rFonts w:ascii="方正书宋_GBK" w:hAnsi="方正书宋_GBK" w:eastAsia="方正书宋_GBK" w:cs="方正书宋_GBK"/>
      <w:sz w:val="21"/>
    </w:rPr>
  </w:style>
  <w:style w:type="paragraph" w:customStyle="1" w:styleId="27">
    <w:name w:val="单元格样式3_6f61e535-90ba-4927-880d-6941427015a5"/>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6"/>
    <w:link w:val="3"/>
    <w:semiHidden/>
    <w:qFormat/>
    <w:uiPriority w:val="99"/>
    <w:rPr>
      <w:rFonts w:eastAsia="Times New Roman"/>
      <w:sz w:val="18"/>
      <w:szCs w:val="18"/>
      <w:lang w:eastAsia="uk-UA"/>
    </w:rPr>
  </w:style>
  <w:style w:type="character" w:customStyle="1" w:styleId="38">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2022-02-14T17:42:08Z</dcterms:created>
  <dcterms:modified xsi:type="dcterms:W3CDTF">2022-02-14T09:42:08Z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2022-02-14T17:42:16Z</dcterms:created>
  <dcterms:modified xsi:type="dcterms:W3CDTF">2022-02-14T09:42:16Z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2022-02-14T17:42:05Z</dcterms:created>
  <dcterms:modified xsi:type="dcterms:W3CDTF">2022-02-14T09:42:05Z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2022-02-14T17:42:13Z</dcterms:created>
  <dcterms:modified xsi:type="dcterms:W3CDTF">2022-02-14T09:42:13Z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E4389B80-D7E4-48EC-A8C9-D5570184817B}">
  <ds:schemaRefs/>
</ds:datastoreItem>
</file>

<file path=customXml/itemProps2.xml><?xml version="1.0" encoding="utf-8"?>
<ds:datastoreItem xmlns:ds="http://schemas.openxmlformats.org/officeDocument/2006/customXml" ds:itemID="{23044629-11BE-4220-A444-AC8625A76370}">
  <ds:schemaRefs/>
</ds:datastoreItem>
</file>

<file path=customXml/itemProps3.xml><?xml version="1.0" encoding="utf-8"?>
<ds:datastoreItem xmlns:ds="http://schemas.openxmlformats.org/officeDocument/2006/customXml" ds:itemID="{580EBD90-A926-4C89-A7C3-B55DF1ED1DB2}">
  <ds:schemaRefs/>
</ds:datastoreItem>
</file>

<file path=customXml/itemProps4.xml><?xml version="1.0" encoding="utf-8"?>
<ds:datastoreItem xmlns:ds="http://schemas.openxmlformats.org/officeDocument/2006/customXml" ds:itemID="{87B11511-ACC2-42C7-84C5-31E493FAF7C6}">
  <ds:schemaRefs/>
</ds:datastoreItem>
</file>

<file path=customXml/itemProps5.xml><?xml version="1.0" encoding="utf-8"?>
<ds:datastoreItem xmlns:ds="http://schemas.openxmlformats.org/officeDocument/2006/customXml" ds:itemID="{5F8D1396-0F7A-4D97-90A1-2D777917C491}">
  <ds:schemaRefs/>
</ds:datastoreItem>
</file>

<file path=customXml/itemProps6.xml><?xml version="1.0" encoding="utf-8"?>
<ds:datastoreItem xmlns:ds="http://schemas.openxmlformats.org/officeDocument/2006/customXml" ds:itemID="{75C0EE64-34D1-43C7-A2E1-623A680457C2}">
  <ds:schemaRefs/>
</ds:datastoreItem>
</file>

<file path=customXml/itemProps7.xml><?xml version="1.0" encoding="utf-8"?>
<ds:datastoreItem xmlns:ds="http://schemas.openxmlformats.org/officeDocument/2006/customXml" ds:itemID="{11AE8EE1-C7EF-432A-9C1A-257389D018BB}">
  <ds:schemaRefs/>
</ds:datastoreItem>
</file>

<file path=customXml/itemProps8.xml><?xml version="1.0" encoding="utf-8"?>
<ds:datastoreItem xmlns:ds="http://schemas.openxmlformats.org/officeDocument/2006/customXml" ds:itemID="{D794EE4A-A358-4F29-AF87-39DEF2A66FAD}">
  <ds:schemaRefs/>
</ds:datastoreItem>
</file>

<file path=customXml/itemProps9.xml><?xml version="1.0" encoding="utf-8"?>
<ds:datastoreItem xmlns:ds="http://schemas.openxmlformats.org/officeDocument/2006/customXml" ds:itemID="{CF3B3E81-61FD-4764-A68D-661F1CC5B602}">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49</Pages>
  <Words>3604</Words>
  <Characters>20544</Characters>
  <Lines>171</Lines>
  <Paragraphs>48</Paragraphs>
  <TotalTime>0</TotalTime>
  <ScaleCrop>false</ScaleCrop>
  <LinksUpToDate>false</LinksUpToDate>
  <CharactersWithSpaces>24100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2022-02-14T17:42:00Z</dcterms:created>
  <dc:creator>Administrator</dc:creator>
  <cp:lastModifiedBy>Administrator</cp:lastModifiedBy>
  <dcterms:modified xsi:type="dcterms:W3CDTF">2023-09-04T05:54:26Z</dcterms:modified>
  <cp:revision>36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