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jc w:val="center"/>
        <w:rPr>
          <w:rFonts w:hint="default"/>
          <w:lang w:val="en-US" w:eastAsia="zh-CN"/>
        </w:rPr>
      </w:pPr>
      <w:r>
        <w:rPr>
          <w:rFonts w:hint="eastAsia"/>
          <w:lang w:val="en-US" w:eastAsia="zh-CN"/>
        </w:rPr>
        <w:t>石家庄</w:t>
      </w:r>
      <w:bookmarkStart w:id="1" w:name="_GoBack"/>
      <w:bookmarkEnd w:id="1"/>
      <w:r>
        <w:rPr>
          <w:rFonts w:hint="eastAsia"/>
          <w:lang w:val="en-US" w:eastAsia="zh-CN"/>
        </w:rPr>
        <w:t>市藁城区机关事务服务中心所属单位2022年度单位预算公开</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一、石家庄市藁城区机关事务服务中心本级收支预算</w:t>
      </w:r>
      <w:r>
        <w:tab/>
      </w:r>
      <w:r>
        <w:fldChar w:fldCharType="begin"/>
      </w:r>
      <w:r>
        <w:instrText xml:space="preserve">PAGEREF _Toc_4_4_0000000019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both"/>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一、石家庄市藁城区机关事务服务中心本级收支预算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430001石家庄市藁城区机关事务服务中心本级</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628.41</w:t>
            </w:r>
          </w:p>
        </w:tc>
        <w:tc>
          <w:tcPr>
            <w:tcW w:w="4535" w:type="dxa"/>
            <w:vAlign w:val="center"/>
          </w:tcPr>
          <w:p>
            <w:pPr>
              <w:pStyle w:val="16"/>
            </w:pPr>
            <w:r>
              <w:t>一、一般公共服务支出</w:t>
            </w:r>
          </w:p>
        </w:tc>
        <w:tc>
          <w:tcPr>
            <w:tcW w:w="2126" w:type="dxa"/>
            <w:vAlign w:val="center"/>
          </w:tcPr>
          <w:p>
            <w:pPr>
              <w:pStyle w:val="15"/>
            </w:pPr>
            <w:r>
              <w:t>628.41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628.41</w:t>
            </w:r>
          </w:p>
        </w:tc>
        <w:tc>
          <w:tcPr>
            <w:tcW w:w="4535" w:type="dxa"/>
            <w:vAlign w:val="center"/>
          </w:tcPr>
          <w:p>
            <w:pPr>
              <w:pStyle w:val="18"/>
            </w:pPr>
            <w:r>
              <w:t>本年支出合计</w:t>
            </w:r>
          </w:p>
        </w:tc>
        <w:tc>
          <w:tcPr>
            <w:tcW w:w="2126" w:type="dxa"/>
            <w:vAlign w:val="center"/>
          </w:tcPr>
          <w:p>
            <w:pPr>
              <w:pStyle w:val="19"/>
            </w:pPr>
            <w:r>
              <w:t>628.41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628.41</w:t>
            </w:r>
          </w:p>
        </w:tc>
        <w:tc>
          <w:tcPr>
            <w:tcW w:w="4535" w:type="dxa"/>
            <w:vAlign w:val="center"/>
          </w:tcPr>
          <w:p>
            <w:pPr>
              <w:pStyle w:val="18"/>
            </w:pPr>
            <w:r>
              <w:t>支出总计</w:t>
            </w:r>
          </w:p>
        </w:tc>
        <w:tc>
          <w:tcPr>
            <w:tcW w:w="2126" w:type="dxa"/>
            <w:vAlign w:val="center"/>
          </w:tcPr>
          <w:p>
            <w:pPr>
              <w:pStyle w:val="19"/>
            </w:pPr>
            <w:r>
              <w:t>628.41</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430001石家庄市藁城区机关事务服务中心本级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628.41</w:t>
            </w:r>
          </w:p>
        </w:tc>
        <w:tc>
          <w:tcPr>
            <w:tcW w:w="1134" w:type="dxa"/>
            <w:vAlign w:val="center"/>
          </w:tcPr>
          <w:p>
            <w:pPr>
              <w:pStyle w:val="19"/>
            </w:pPr>
            <w:r>
              <w:t>628.41</w:t>
            </w:r>
          </w:p>
        </w:tc>
        <w:tc>
          <w:tcPr>
            <w:tcW w:w="1134" w:type="dxa"/>
            <w:vAlign w:val="center"/>
          </w:tcPr>
          <w:p>
            <w:pPr>
              <w:pStyle w:val="19"/>
            </w:pPr>
            <w:r>
              <w:t>628.41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628.41</w:t>
            </w:r>
          </w:p>
        </w:tc>
        <w:tc>
          <w:tcPr>
            <w:tcW w:w="1134" w:type="dxa"/>
            <w:vAlign w:val="center"/>
          </w:tcPr>
          <w:p>
            <w:pPr>
              <w:pStyle w:val="15"/>
            </w:pPr>
            <w:r>
              <w:t>628.41</w:t>
            </w:r>
          </w:p>
        </w:tc>
        <w:tc>
          <w:tcPr>
            <w:tcW w:w="1134" w:type="dxa"/>
            <w:vAlign w:val="center"/>
          </w:tcPr>
          <w:p>
            <w:pPr>
              <w:pStyle w:val="15"/>
            </w:pPr>
            <w:r>
              <w:t>628.41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531.41</w:t>
            </w:r>
          </w:p>
        </w:tc>
        <w:tc>
          <w:tcPr>
            <w:tcW w:w="1134" w:type="dxa"/>
            <w:vAlign w:val="center"/>
          </w:tcPr>
          <w:p>
            <w:pPr>
              <w:pStyle w:val="15"/>
            </w:pPr>
            <w:r>
              <w:t>531.41</w:t>
            </w:r>
          </w:p>
        </w:tc>
        <w:tc>
          <w:tcPr>
            <w:tcW w:w="1134" w:type="dxa"/>
            <w:vAlign w:val="center"/>
          </w:tcPr>
          <w:p>
            <w:pPr>
              <w:pStyle w:val="15"/>
            </w:pPr>
            <w:r>
              <w:t>531.41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2010303</w:t>
            </w:r>
          </w:p>
        </w:tc>
        <w:tc>
          <w:tcPr>
            <w:tcW w:w="1559" w:type="dxa"/>
            <w:vAlign w:val="center"/>
          </w:tcPr>
          <w:p>
            <w:pPr>
              <w:pStyle w:val="16"/>
            </w:pPr>
            <w:r>
              <w:t>机关服务</w:t>
            </w:r>
          </w:p>
        </w:tc>
        <w:tc>
          <w:tcPr>
            <w:tcW w:w="1134" w:type="dxa"/>
            <w:vAlign w:val="center"/>
          </w:tcPr>
          <w:p>
            <w:pPr>
              <w:pStyle w:val="15"/>
            </w:pPr>
            <w:r>
              <w:t>434.41</w:t>
            </w:r>
          </w:p>
        </w:tc>
        <w:tc>
          <w:tcPr>
            <w:tcW w:w="1134" w:type="dxa"/>
            <w:vAlign w:val="center"/>
          </w:tcPr>
          <w:p>
            <w:pPr>
              <w:pStyle w:val="15"/>
            </w:pPr>
            <w:r>
              <w:t>434.41</w:t>
            </w:r>
          </w:p>
        </w:tc>
        <w:tc>
          <w:tcPr>
            <w:tcW w:w="1134" w:type="dxa"/>
            <w:vAlign w:val="center"/>
          </w:tcPr>
          <w:p>
            <w:pPr>
              <w:pStyle w:val="15"/>
            </w:pPr>
            <w:r>
              <w:t>434.41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2010305</w:t>
            </w:r>
          </w:p>
        </w:tc>
        <w:tc>
          <w:tcPr>
            <w:tcW w:w="1559" w:type="dxa"/>
            <w:vAlign w:val="center"/>
          </w:tcPr>
          <w:p>
            <w:pPr>
              <w:pStyle w:val="16"/>
            </w:pPr>
            <w:r>
              <w:t>专项业务及机关事务管理</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20131</w:t>
            </w:r>
          </w:p>
        </w:tc>
        <w:tc>
          <w:tcPr>
            <w:tcW w:w="1559" w:type="dxa"/>
            <w:vAlign w:val="center"/>
          </w:tcPr>
          <w:p>
            <w:pPr>
              <w:pStyle w:val="16"/>
            </w:pPr>
            <w:r>
              <w:t>党委办公厅（室）及相关机构事务</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2013105</w:t>
            </w:r>
          </w:p>
        </w:tc>
        <w:tc>
          <w:tcPr>
            <w:tcW w:w="1559" w:type="dxa"/>
            <w:vAlign w:val="center"/>
          </w:tcPr>
          <w:p>
            <w:pPr>
              <w:pStyle w:val="16"/>
            </w:pPr>
            <w:r>
              <w:t>专项业务</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430001石家庄市藁城区机关事务服务中心本级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628.41</w:t>
            </w:r>
          </w:p>
        </w:tc>
        <w:tc>
          <w:tcPr>
            <w:tcW w:w="1361" w:type="dxa"/>
            <w:vAlign w:val="center"/>
          </w:tcPr>
          <w:p>
            <w:pPr>
              <w:pStyle w:val="19"/>
            </w:pPr>
            <w:r>
              <w:t>269.01</w:t>
            </w:r>
          </w:p>
        </w:tc>
        <w:tc>
          <w:tcPr>
            <w:tcW w:w="1361" w:type="dxa"/>
            <w:vAlign w:val="center"/>
          </w:tcPr>
          <w:p>
            <w:pPr>
              <w:pStyle w:val="19"/>
            </w:pPr>
            <w:r>
              <w:t>359.40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628.41</w:t>
            </w:r>
          </w:p>
        </w:tc>
        <w:tc>
          <w:tcPr>
            <w:tcW w:w="1361" w:type="dxa"/>
            <w:vAlign w:val="center"/>
          </w:tcPr>
          <w:p>
            <w:pPr>
              <w:pStyle w:val="15"/>
            </w:pPr>
            <w:r>
              <w:t>269.01</w:t>
            </w:r>
          </w:p>
        </w:tc>
        <w:tc>
          <w:tcPr>
            <w:tcW w:w="1361" w:type="dxa"/>
            <w:vAlign w:val="center"/>
          </w:tcPr>
          <w:p>
            <w:pPr>
              <w:pStyle w:val="15"/>
            </w:pPr>
            <w:r>
              <w:t>359.40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531.41</w:t>
            </w:r>
          </w:p>
        </w:tc>
        <w:tc>
          <w:tcPr>
            <w:tcW w:w="1361" w:type="dxa"/>
            <w:vAlign w:val="center"/>
          </w:tcPr>
          <w:p>
            <w:pPr>
              <w:pStyle w:val="15"/>
            </w:pPr>
            <w:r>
              <w:t>269.01</w:t>
            </w:r>
          </w:p>
        </w:tc>
        <w:tc>
          <w:tcPr>
            <w:tcW w:w="1361" w:type="dxa"/>
            <w:vAlign w:val="center"/>
          </w:tcPr>
          <w:p>
            <w:pPr>
              <w:pStyle w:val="15"/>
            </w:pPr>
            <w:r>
              <w:t>262.40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2010303</w:t>
            </w:r>
          </w:p>
        </w:tc>
        <w:tc>
          <w:tcPr>
            <w:tcW w:w="4535" w:type="dxa"/>
            <w:vAlign w:val="center"/>
          </w:tcPr>
          <w:p>
            <w:pPr>
              <w:pStyle w:val="16"/>
            </w:pPr>
            <w:r>
              <w:t>机关服务</w:t>
            </w:r>
          </w:p>
        </w:tc>
        <w:tc>
          <w:tcPr>
            <w:tcW w:w="1361" w:type="dxa"/>
            <w:vAlign w:val="center"/>
          </w:tcPr>
          <w:p>
            <w:pPr>
              <w:pStyle w:val="15"/>
            </w:pPr>
            <w:r>
              <w:t>434.41</w:t>
            </w:r>
          </w:p>
        </w:tc>
        <w:tc>
          <w:tcPr>
            <w:tcW w:w="1361" w:type="dxa"/>
            <w:vAlign w:val="center"/>
          </w:tcPr>
          <w:p>
            <w:pPr>
              <w:pStyle w:val="15"/>
            </w:pPr>
            <w:r>
              <w:t>269.01</w:t>
            </w:r>
          </w:p>
        </w:tc>
        <w:tc>
          <w:tcPr>
            <w:tcW w:w="1361" w:type="dxa"/>
            <w:vAlign w:val="center"/>
          </w:tcPr>
          <w:p>
            <w:pPr>
              <w:pStyle w:val="15"/>
            </w:pPr>
            <w:r>
              <w:t>165.40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2010305</w:t>
            </w:r>
          </w:p>
        </w:tc>
        <w:tc>
          <w:tcPr>
            <w:tcW w:w="4535" w:type="dxa"/>
            <w:vAlign w:val="center"/>
          </w:tcPr>
          <w:p>
            <w:pPr>
              <w:pStyle w:val="16"/>
            </w:pPr>
            <w:r>
              <w:t>专项业务及机关事务管理</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20131</w:t>
            </w:r>
          </w:p>
        </w:tc>
        <w:tc>
          <w:tcPr>
            <w:tcW w:w="4535" w:type="dxa"/>
            <w:vAlign w:val="center"/>
          </w:tcPr>
          <w:p>
            <w:pPr>
              <w:pStyle w:val="16"/>
            </w:pPr>
            <w:r>
              <w:t>党委办公厅（室）及相关机构事务</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2013105</w:t>
            </w:r>
          </w:p>
        </w:tc>
        <w:tc>
          <w:tcPr>
            <w:tcW w:w="4535" w:type="dxa"/>
            <w:vAlign w:val="center"/>
          </w:tcPr>
          <w:p>
            <w:pPr>
              <w:pStyle w:val="16"/>
            </w:pPr>
            <w:r>
              <w:t>专项业务</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430001石家庄市藁城区机关事务服务中心本级</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628.41</w:t>
            </w:r>
          </w:p>
        </w:tc>
        <w:tc>
          <w:tcPr>
            <w:tcW w:w="3402" w:type="dxa"/>
            <w:vAlign w:val="center"/>
          </w:tcPr>
          <w:p>
            <w:pPr>
              <w:pStyle w:val="16"/>
            </w:pPr>
            <w:r>
              <w:t>一、一般公共服务支出</w:t>
            </w:r>
          </w:p>
        </w:tc>
        <w:tc>
          <w:tcPr>
            <w:tcW w:w="1474" w:type="dxa"/>
            <w:vAlign w:val="center"/>
          </w:tcPr>
          <w:p>
            <w:pPr>
              <w:pStyle w:val="15"/>
            </w:pPr>
            <w:r>
              <w:t>628.41</w:t>
            </w:r>
          </w:p>
        </w:tc>
        <w:tc>
          <w:tcPr>
            <w:tcW w:w="1474" w:type="dxa"/>
            <w:vAlign w:val="center"/>
          </w:tcPr>
          <w:p>
            <w:pPr>
              <w:pStyle w:val="15"/>
            </w:pPr>
            <w:r>
              <w:t>628.41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628.41</w:t>
            </w:r>
          </w:p>
        </w:tc>
        <w:tc>
          <w:tcPr>
            <w:tcW w:w="3402" w:type="dxa"/>
            <w:vAlign w:val="center"/>
          </w:tcPr>
          <w:p>
            <w:pPr>
              <w:pStyle w:val="18"/>
            </w:pPr>
            <w:r>
              <w:t>本年支出合计</w:t>
            </w:r>
          </w:p>
        </w:tc>
        <w:tc>
          <w:tcPr>
            <w:tcW w:w="1474" w:type="dxa"/>
            <w:vAlign w:val="center"/>
          </w:tcPr>
          <w:p>
            <w:pPr>
              <w:pStyle w:val="19"/>
            </w:pPr>
            <w:r>
              <w:t>628.41</w:t>
            </w:r>
          </w:p>
        </w:tc>
        <w:tc>
          <w:tcPr>
            <w:tcW w:w="1474" w:type="dxa"/>
            <w:vAlign w:val="center"/>
          </w:tcPr>
          <w:p>
            <w:pPr>
              <w:pStyle w:val="19"/>
            </w:pPr>
            <w:r>
              <w:t>628.41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628.41</w:t>
            </w:r>
          </w:p>
        </w:tc>
        <w:tc>
          <w:tcPr>
            <w:tcW w:w="3402" w:type="dxa"/>
            <w:vAlign w:val="center"/>
          </w:tcPr>
          <w:p>
            <w:pPr>
              <w:pStyle w:val="18"/>
            </w:pPr>
            <w:r>
              <w:t>支出总计</w:t>
            </w:r>
          </w:p>
        </w:tc>
        <w:tc>
          <w:tcPr>
            <w:tcW w:w="1474" w:type="dxa"/>
            <w:vAlign w:val="center"/>
          </w:tcPr>
          <w:p>
            <w:pPr>
              <w:pStyle w:val="19"/>
            </w:pPr>
            <w:r>
              <w:t>628.41</w:t>
            </w:r>
          </w:p>
        </w:tc>
        <w:tc>
          <w:tcPr>
            <w:tcW w:w="1474" w:type="dxa"/>
            <w:vAlign w:val="center"/>
          </w:tcPr>
          <w:p>
            <w:pPr>
              <w:pStyle w:val="19"/>
            </w:pPr>
            <w:r>
              <w:t>628.41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430001石家庄市藁城区机关事务服务中心本级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628.41</w:t>
            </w:r>
          </w:p>
        </w:tc>
        <w:tc>
          <w:tcPr>
            <w:tcW w:w="2551" w:type="dxa"/>
            <w:vAlign w:val="center"/>
          </w:tcPr>
          <w:p>
            <w:pPr>
              <w:pStyle w:val="19"/>
            </w:pPr>
            <w:r>
              <w:t>269.01</w:t>
            </w:r>
          </w:p>
        </w:tc>
        <w:tc>
          <w:tcPr>
            <w:tcW w:w="2551" w:type="dxa"/>
            <w:vAlign w:val="center"/>
          </w:tcPr>
          <w:p>
            <w:pPr>
              <w:pStyle w:val="19"/>
            </w:pPr>
            <w:r>
              <w:t>359.40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628.41</w:t>
            </w:r>
          </w:p>
        </w:tc>
        <w:tc>
          <w:tcPr>
            <w:tcW w:w="2551" w:type="dxa"/>
            <w:vAlign w:val="center"/>
          </w:tcPr>
          <w:p>
            <w:pPr>
              <w:pStyle w:val="15"/>
            </w:pPr>
            <w:r>
              <w:t>269.01</w:t>
            </w:r>
          </w:p>
        </w:tc>
        <w:tc>
          <w:tcPr>
            <w:tcW w:w="2551" w:type="dxa"/>
            <w:vAlign w:val="center"/>
          </w:tcPr>
          <w:p>
            <w:pPr>
              <w:pStyle w:val="15"/>
            </w:pPr>
            <w:r>
              <w:t>359.40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531.41</w:t>
            </w:r>
          </w:p>
        </w:tc>
        <w:tc>
          <w:tcPr>
            <w:tcW w:w="2551" w:type="dxa"/>
            <w:vAlign w:val="center"/>
          </w:tcPr>
          <w:p>
            <w:pPr>
              <w:pStyle w:val="15"/>
            </w:pPr>
            <w:r>
              <w:t>269.01</w:t>
            </w:r>
          </w:p>
        </w:tc>
        <w:tc>
          <w:tcPr>
            <w:tcW w:w="2551" w:type="dxa"/>
            <w:vAlign w:val="center"/>
          </w:tcPr>
          <w:p>
            <w:pPr>
              <w:pStyle w:val="15"/>
            </w:pPr>
            <w:r>
              <w:t>262.40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2010303</w:t>
            </w:r>
          </w:p>
        </w:tc>
        <w:tc>
          <w:tcPr>
            <w:tcW w:w="4535" w:type="dxa"/>
            <w:vAlign w:val="center"/>
          </w:tcPr>
          <w:p>
            <w:pPr>
              <w:pStyle w:val="16"/>
            </w:pPr>
            <w:r>
              <w:t>机关服务</w:t>
            </w:r>
          </w:p>
        </w:tc>
        <w:tc>
          <w:tcPr>
            <w:tcW w:w="2551" w:type="dxa"/>
            <w:vAlign w:val="center"/>
          </w:tcPr>
          <w:p>
            <w:pPr>
              <w:pStyle w:val="15"/>
            </w:pPr>
            <w:r>
              <w:t>434.41</w:t>
            </w:r>
          </w:p>
        </w:tc>
        <w:tc>
          <w:tcPr>
            <w:tcW w:w="2551" w:type="dxa"/>
            <w:vAlign w:val="center"/>
          </w:tcPr>
          <w:p>
            <w:pPr>
              <w:pStyle w:val="15"/>
            </w:pPr>
            <w:r>
              <w:t>269.01</w:t>
            </w:r>
          </w:p>
        </w:tc>
        <w:tc>
          <w:tcPr>
            <w:tcW w:w="2551" w:type="dxa"/>
            <w:vAlign w:val="center"/>
          </w:tcPr>
          <w:p>
            <w:pPr>
              <w:pStyle w:val="15"/>
            </w:pPr>
            <w:r>
              <w:t>165.40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2010305</w:t>
            </w:r>
          </w:p>
        </w:tc>
        <w:tc>
          <w:tcPr>
            <w:tcW w:w="4535" w:type="dxa"/>
            <w:vAlign w:val="center"/>
          </w:tcPr>
          <w:p>
            <w:pPr>
              <w:pStyle w:val="16"/>
            </w:pPr>
            <w:r>
              <w:t>专项业务及机关事务管理</w:t>
            </w:r>
          </w:p>
        </w:tc>
        <w:tc>
          <w:tcPr>
            <w:tcW w:w="2551" w:type="dxa"/>
            <w:vAlign w:val="center"/>
          </w:tcPr>
          <w:p>
            <w:pPr>
              <w:pStyle w:val="15"/>
            </w:pPr>
            <w:r>
              <w:t>97.00</w:t>
            </w:r>
          </w:p>
        </w:tc>
        <w:tc>
          <w:tcPr>
            <w:tcW w:w="2551" w:type="dxa"/>
            <w:vAlign w:val="center"/>
          </w:tcPr>
          <w:p>
            <w:pPr>
              <w:pStyle w:val="15"/>
            </w:pPr>
          </w:p>
        </w:tc>
        <w:tc>
          <w:tcPr>
            <w:tcW w:w="2551"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20131</w:t>
            </w:r>
          </w:p>
        </w:tc>
        <w:tc>
          <w:tcPr>
            <w:tcW w:w="4535" w:type="dxa"/>
            <w:vAlign w:val="center"/>
          </w:tcPr>
          <w:p>
            <w:pPr>
              <w:pStyle w:val="16"/>
            </w:pPr>
            <w:r>
              <w:t>党委办公厅（室）及相关机构事务</w:t>
            </w:r>
          </w:p>
        </w:tc>
        <w:tc>
          <w:tcPr>
            <w:tcW w:w="2551" w:type="dxa"/>
            <w:vAlign w:val="center"/>
          </w:tcPr>
          <w:p>
            <w:pPr>
              <w:pStyle w:val="15"/>
            </w:pPr>
            <w:r>
              <w:t>97.00</w:t>
            </w:r>
          </w:p>
        </w:tc>
        <w:tc>
          <w:tcPr>
            <w:tcW w:w="2551" w:type="dxa"/>
            <w:vAlign w:val="center"/>
          </w:tcPr>
          <w:p>
            <w:pPr>
              <w:pStyle w:val="15"/>
            </w:pPr>
          </w:p>
        </w:tc>
        <w:tc>
          <w:tcPr>
            <w:tcW w:w="2551"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2013105</w:t>
            </w:r>
          </w:p>
        </w:tc>
        <w:tc>
          <w:tcPr>
            <w:tcW w:w="4535" w:type="dxa"/>
            <w:vAlign w:val="center"/>
          </w:tcPr>
          <w:p>
            <w:pPr>
              <w:pStyle w:val="16"/>
            </w:pPr>
            <w:r>
              <w:t>专项业务</w:t>
            </w:r>
          </w:p>
        </w:tc>
        <w:tc>
          <w:tcPr>
            <w:tcW w:w="2551" w:type="dxa"/>
            <w:vAlign w:val="center"/>
          </w:tcPr>
          <w:p>
            <w:pPr>
              <w:pStyle w:val="15"/>
            </w:pPr>
            <w:r>
              <w:t>97.00</w:t>
            </w:r>
          </w:p>
        </w:tc>
        <w:tc>
          <w:tcPr>
            <w:tcW w:w="2551" w:type="dxa"/>
            <w:vAlign w:val="center"/>
          </w:tcPr>
          <w:p>
            <w:pPr>
              <w:pStyle w:val="15"/>
            </w:pPr>
          </w:p>
        </w:tc>
        <w:tc>
          <w:tcPr>
            <w:tcW w:w="2551" w:type="dxa"/>
            <w:vAlign w:val="center"/>
          </w:tcPr>
          <w:p>
            <w:pPr>
              <w:pStyle w:val="15"/>
            </w:pPr>
            <w:r>
              <w:t>97.00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430001石家庄市藁城区机关事务服务中心本级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269.01</w:t>
            </w:r>
          </w:p>
        </w:tc>
        <w:tc>
          <w:tcPr>
            <w:tcW w:w="2551" w:type="dxa"/>
            <w:vAlign w:val="center"/>
          </w:tcPr>
          <w:p>
            <w:pPr>
              <w:pStyle w:val="19"/>
            </w:pPr>
            <w:r>
              <w:t>136.11</w:t>
            </w:r>
          </w:p>
        </w:tc>
        <w:tc>
          <w:tcPr>
            <w:tcW w:w="2551" w:type="dxa"/>
            <w:vAlign w:val="center"/>
          </w:tcPr>
          <w:p>
            <w:pPr>
              <w:pStyle w:val="19"/>
            </w:pPr>
            <w:r>
              <w:t>132.90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136.11</w:t>
            </w:r>
          </w:p>
        </w:tc>
        <w:tc>
          <w:tcPr>
            <w:tcW w:w="2551" w:type="dxa"/>
            <w:vAlign w:val="center"/>
          </w:tcPr>
          <w:p>
            <w:pPr>
              <w:pStyle w:val="15"/>
            </w:pPr>
            <w:r>
              <w:t>136.11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28.26</w:t>
            </w:r>
          </w:p>
        </w:tc>
        <w:tc>
          <w:tcPr>
            <w:tcW w:w="2551" w:type="dxa"/>
            <w:vAlign w:val="center"/>
          </w:tcPr>
          <w:p>
            <w:pPr>
              <w:pStyle w:val="15"/>
            </w:pPr>
            <w:r>
              <w:t>28.26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36.38</w:t>
            </w:r>
          </w:p>
        </w:tc>
        <w:tc>
          <w:tcPr>
            <w:tcW w:w="2551" w:type="dxa"/>
            <w:vAlign w:val="center"/>
          </w:tcPr>
          <w:p>
            <w:pPr>
              <w:pStyle w:val="15"/>
            </w:pPr>
            <w:r>
              <w:t>36.38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27.47</w:t>
            </w:r>
          </w:p>
        </w:tc>
        <w:tc>
          <w:tcPr>
            <w:tcW w:w="2551" w:type="dxa"/>
            <w:vAlign w:val="center"/>
          </w:tcPr>
          <w:p>
            <w:pPr>
              <w:pStyle w:val="15"/>
            </w:pPr>
            <w:r>
              <w:t>27.47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11.71</w:t>
            </w:r>
          </w:p>
        </w:tc>
        <w:tc>
          <w:tcPr>
            <w:tcW w:w="2551" w:type="dxa"/>
            <w:vAlign w:val="center"/>
          </w:tcPr>
          <w:p>
            <w:pPr>
              <w:pStyle w:val="15"/>
            </w:pPr>
            <w:r>
              <w:t>11.71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6.15</w:t>
            </w:r>
          </w:p>
        </w:tc>
        <w:tc>
          <w:tcPr>
            <w:tcW w:w="2551" w:type="dxa"/>
            <w:vAlign w:val="center"/>
          </w:tcPr>
          <w:p>
            <w:pPr>
              <w:pStyle w:val="15"/>
            </w:pPr>
            <w:r>
              <w:t>6.15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4.76</w:t>
            </w:r>
          </w:p>
        </w:tc>
        <w:tc>
          <w:tcPr>
            <w:tcW w:w="2551" w:type="dxa"/>
            <w:vAlign w:val="center"/>
          </w:tcPr>
          <w:p>
            <w:pPr>
              <w:pStyle w:val="15"/>
            </w:pPr>
            <w:r>
              <w:t>4.76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11.68</w:t>
            </w:r>
          </w:p>
        </w:tc>
        <w:tc>
          <w:tcPr>
            <w:tcW w:w="2551" w:type="dxa"/>
            <w:vAlign w:val="center"/>
          </w:tcPr>
          <w:p>
            <w:pPr>
              <w:pStyle w:val="15"/>
            </w:pPr>
            <w:r>
              <w:t>11.68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9.71</w:t>
            </w:r>
          </w:p>
        </w:tc>
        <w:tc>
          <w:tcPr>
            <w:tcW w:w="2551" w:type="dxa"/>
            <w:vAlign w:val="center"/>
          </w:tcPr>
          <w:p>
            <w:pPr>
              <w:pStyle w:val="15"/>
            </w:pPr>
            <w:r>
              <w:t>9.71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132.90</w:t>
            </w:r>
          </w:p>
        </w:tc>
        <w:tc>
          <w:tcPr>
            <w:tcW w:w="2551" w:type="dxa"/>
            <w:vAlign w:val="center"/>
          </w:tcPr>
          <w:p>
            <w:pPr>
              <w:pStyle w:val="15"/>
            </w:pPr>
          </w:p>
        </w:tc>
        <w:tc>
          <w:tcPr>
            <w:tcW w:w="2551" w:type="dxa"/>
            <w:vAlign w:val="center"/>
          </w:tcPr>
          <w:p>
            <w:pPr>
              <w:pStyle w:val="15"/>
            </w:pPr>
            <w:r>
              <w:t>132.90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2.70</w:t>
            </w:r>
          </w:p>
        </w:tc>
        <w:tc>
          <w:tcPr>
            <w:tcW w:w="2551" w:type="dxa"/>
            <w:vAlign w:val="center"/>
          </w:tcPr>
          <w:p>
            <w:pPr>
              <w:pStyle w:val="15"/>
            </w:pPr>
          </w:p>
        </w:tc>
        <w:tc>
          <w:tcPr>
            <w:tcW w:w="2551" w:type="dxa"/>
            <w:vAlign w:val="center"/>
          </w:tcPr>
          <w:p>
            <w:pPr>
              <w:pStyle w:val="15"/>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52.50</w:t>
            </w:r>
          </w:p>
        </w:tc>
        <w:tc>
          <w:tcPr>
            <w:tcW w:w="2551" w:type="dxa"/>
            <w:vAlign w:val="center"/>
          </w:tcPr>
          <w:p>
            <w:pPr>
              <w:pStyle w:val="15"/>
            </w:pPr>
          </w:p>
        </w:tc>
        <w:tc>
          <w:tcPr>
            <w:tcW w:w="2551" w:type="dxa"/>
            <w:vAlign w:val="center"/>
          </w:tcPr>
          <w:p>
            <w:pPr>
              <w:pStyle w:val="15"/>
            </w:pPr>
            <w: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72.50</w:t>
            </w:r>
          </w:p>
        </w:tc>
        <w:tc>
          <w:tcPr>
            <w:tcW w:w="2551" w:type="dxa"/>
            <w:vAlign w:val="center"/>
          </w:tcPr>
          <w:p>
            <w:pPr>
              <w:pStyle w:val="15"/>
            </w:pPr>
          </w:p>
        </w:tc>
        <w:tc>
          <w:tcPr>
            <w:tcW w:w="2551" w:type="dxa"/>
            <w:vAlign w:val="center"/>
          </w:tcPr>
          <w:p>
            <w:pPr>
              <w:pStyle w:val="15"/>
            </w:pPr>
            <w:r>
              <w:t>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0.67</w:t>
            </w:r>
          </w:p>
        </w:tc>
        <w:tc>
          <w:tcPr>
            <w:tcW w:w="2551" w:type="dxa"/>
            <w:vAlign w:val="center"/>
          </w:tcPr>
          <w:p>
            <w:pPr>
              <w:pStyle w:val="15"/>
            </w:pPr>
          </w:p>
        </w:tc>
        <w:tc>
          <w:tcPr>
            <w:tcW w:w="2551" w:type="dxa"/>
            <w:vAlign w:val="center"/>
          </w:tcPr>
          <w:p>
            <w:pPr>
              <w:pStyle w:val="15"/>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0.71</w:t>
            </w:r>
          </w:p>
        </w:tc>
        <w:tc>
          <w:tcPr>
            <w:tcW w:w="2551" w:type="dxa"/>
            <w:vAlign w:val="center"/>
          </w:tcPr>
          <w:p>
            <w:pPr>
              <w:pStyle w:val="15"/>
            </w:pPr>
          </w:p>
        </w:tc>
        <w:tc>
          <w:tcPr>
            <w:tcW w:w="2551" w:type="dxa"/>
            <w:vAlign w:val="center"/>
          </w:tcPr>
          <w:p>
            <w:pPr>
              <w:pStyle w:val="15"/>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2.20</w:t>
            </w:r>
          </w:p>
        </w:tc>
        <w:tc>
          <w:tcPr>
            <w:tcW w:w="2551" w:type="dxa"/>
            <w:vAlign w:val="center"/>
          </w:tcPr>
          <w:p>
            <w:pPr>
              <w:pStyle w:val="15"/>
            </w:pPr>
          </w:p>
        </w:tc>
        <w:tc>
          <w:tcPr>
            <w:tcW w:w="2551" w:type="dxa"/>
            <w:vAlign w:val="center"/>
          </w:tcPr>
          <w:p>
            <w:pPr>
              <w:pStyle w:val="15"/>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1.56</w:t>
            </w:r>
          </w:p>
        </w:tc>
        <w:tc>
          <w:tcPr>
            <w:tcW w:w="2551" w:type="dxa"/>
            <w:vAlign w:val="center"/>
          </w:tcPr>
          <w:p>
            <w:pPr>
              <w:pStyle w:val="15"/>
            </w:pPr>
          </w:p>
        </w:tc>
        <w:tc>
          <w:tcPr>
            <w:tcW w:w="2551" w:type="dxa"/>
            <w:vAlign w:val="center"/>
          </w:tcPr>
          <w:p>
            <w:pPr>
              <w:pStyle w:val="15"/>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0.07</w:t>
            </w:r>
          </w:p>
        </w:tc>
        <w:tc>
          <w:tcPr>
            <w:tcW w:w="2551" w:type="dxa"/>
            <w:vAlign w:val="center"/>
          </w:tcPr>
          <w:p>
            <w:pPr>
              <w:pStyle w:val="15"/>
            </w:pPr>
          </w:p>
        </w:tc>
        <w:tc>
          <w:tcPr>
            <w:tcW w:w="2551" w:type="dxa"/>
            <w:vAlign w:val="center"/>
          </w:tcPr>
          <w:p>
            <w:pPr>
              <w:pStyle w:val="15"/>
            </w:pPr>
            <w:r>
              <w:t>0.07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430001石家庄市藁城区机关事务服务中心本级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430001石家庄市藁城区机关事务服务中心本级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430001石家庄市藁城区机关事务服务中心本级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rPr>
                <w:lang w:eastAsia="zh-CN"/>
              </w:rPr>
            </w:pPr>
            <w:r>
              <w:rPr>
                <w:rFonts w:hint="eastAsia"/>
                <w:lang w:eastAsia="zh-CN"/>
              </w:rPr>
              <w:t>244.6</w:t>
            </w:r>
          </w:p>
        </w:tc>
        <w:tc>
          <w:tcPr>
            <w:tcW w:w="1643" w:type="dxa"/>
            <w:vAlign w:val="center"/>
          </w:tcPr>
          <w:p>
            <w:pPr>
              <w:pStyle w:val="19"/>
            </w:pPr>
            <w:r>
              <w:rPr>
                <w:rFonts w:hint="eastAsia"/>
                <w:lang w:eastAsia="zh-CN"/>
              </w:rPr>
              <w:t>244.6</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“三公”经费小计</w:t>
            </w:r>
          </w:p>
        </w:tc>
        <w:tc>
          <w:tcPr>
            <w:tcW w:w="1643" w:type="dxa"/>
            <w:vAlign w:val="center"/>
          </w:tcPr>
          <w:p>
            <w:pPr>
              <w:pStyle w:val="15"/>
              <w:rPr>
                <w:lang w:eastAsia="zh-CN"/>
              </w:rPr>
            </w:pPr>
            <w:r>
              <w:rPr>
                <w:rFonts w:hint="eastAsia"/>
                <w:lang w:eastAsia="zh-CN"/>
              </w:rPr>
              <w:t>50.6</w:t>
            </w:r>
          </w:p>
        </w:tc>
        <w:tc>
          <w:tcPr>
            <w:tcW w:w="1643" w:type="dxa"/>
            <w:vAlign w:val="center"/>
          </w:tcPr>
          <w:p>
            <w:pPr>
              <w:pStyle w:val="15"/>
              <w:rPr>
                <w:lang w:eastAsia="zh-CN"/>
              </w:rPr>
            </w:pPr>
            <w:r>
              <w:rPr>
                <w:rFonts w:hint="eastAsia"/>
                <w:lang w:eastAsia="zh-CN"/>
              </w:rPr>
              <w:t>50.6</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7"/>
            </w:pPr>
            <w:r>
              <w:t>6</w:t>
            </w:r>
          </w:p>
        </w:tc>
        <w:tc>
          <w:tcPr>
            <w:tcW w:w="1643" w:type="dxa"/>
            <w:vAlign w:val="center"/>
          </w:tcPr>
          <w:p>
            <w:pPr>
              <w:pStyle w:val="16"/>
            </w:pPr>
            <w:r>
              <w:t>二、公务用车购置及运维费</w:t>
            </w:r>
          </w:p>
        </w:tc>
        <w:tc>
          <w:tcPr>
            <w:tcW w:w="1643" w:type="dxa"/>
            <w:vAlign w:val="center"/>
          </w:tcPr>
          <w:p>
            <w:pPr>
              <w:pStyle w:val="15"/>
            </w:pPr>
            <w:r>
              <w:t>50.60</w:t>
            </w:r>
          </w:p>
        </w:tc>
        <w:tc>
          <w:tcPr>
            <w:tcW w:w="1643" w:type="dxa"/>
            <w:vAlign w:val="center"/>
          </w:tcPr>
          <w:p>
            <w:pPr>
              <w:pStyle w:val="15"/>
            </w:pPr>
            <w:r>
              <w:t>50.60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643" w:type="dxa"/>
            <w:vAlign w:val="center"/>
          </w:tcPr>
          <w:p>
            <w:pPr>
              <w:pStyle w:val="16"/>
            </w:pPr>
            <w:r>
              <w:t xml:space="preserve">          公务用车运行维护费</w:t>
            </w:r>
          </w:p>
        </w:tc>
        <w:tc>
          <w:tcPr>
            <w:tcW w:w="1643" w:type="dxa"/>
            <w:vAlign w:val="center"/>
          </w:tcPr>
          <w:p>
            <w:pPr>
              <w:pStyle w:val="15"/>
            </w:pPr>
            <w:r>
              <w:t>50.60</w:t>
            </w:r>
          </w:p>
        </w:tc>
        <w:tc>
          <w:tcPr>
            <w:tcW w:w="1643" w:type="dxa"/>
            <w:vAlign w:val="center"/>
          </w:tcPr>
          <w:p>
            <w:pPr>
              <w:pStyle w:val="15"/>
            </w:pPr>
            <w:r>
              <w:t>50.60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7"/>
            </w:pPr>
            <w:r>
              <w:t>9</w:t>
            </w:r>
          </w:p>
        </w:tc>
        <w:tc>
          <w:tcPr>
            <w:tcW w:w="1643"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7"/>
            </w:pPr>
            <w:r>
              <w:t>10</w:t>
            </w:r>
          </w:p>
        </w:tc>
        <w:tc>
          <w:tcPr>
            <w:tcW w:w="1643" w:type="dxa"/>
            <w:vAlign w:val="center"/>
          </w:tcPr>
          <w:p>
            <w:pPr>
              <w:pStyle w:val="16"/>
            </w:pPr>
            <w:r>
              <w:t>四、会议费</w:t>
            </w:r>
          </w:p>
        </w:tc>
        <w:tc>
          <w:tcPr>
            <w:tcW w:w="1643" w:type="dxa"/>
            <w:vAlign w:val="center"/>
          </w:tcPr>
          <w:p>
            <w:pPr>
              <w:pStyle w:val="15"/>
            </w:pPr>
            <w:r>
              <w:t>194.00</w:t>
            </w:r>
          </w:p>
        </w:tc>
        <w:tc>
          <w:tcPr>
            <w:tcW w:w="1643" w:type="dxa"/>
            <w:vAlign w:val="center"/>
          </w:tcPr>
          <w:p>
            <w:pPr>
              <w:pStyle w:val="15"/>
            </w:pPr>
            <w:r>
              <w:t>194.00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7"/>
            </w:pPr>
            <w:r>
              <w:t>11</w:t>
            </w:r>
          </w:p>
        </w:tc>
        <w:tc>
          <w:tcPr>
            <w:tcW w:w="1643" w:type="dxa"/>
            <w:vAlign w:val="center"/>
          </w:tcPr>
          <w:p>
            <w:pPr>
              <w:pStyle w:val="16"/>
            </w:pPr>
            <w:r>
              <w:t>五、培训费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石家庄市藁城区机关事务服务中心本级2022年单位预算信息公开情况说明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按照《预算法》、《地方预决算公开操作规程》和《关于进一步推进预算公开工作的实施意见》规定，现将石家庄市藁城区机关事务服务中心本级2022年单位预算公开如下：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一、认真贯彻落实解放思想大讨论活动精神，与推进机关后勤服务工作紧密结合，与改进工作作风紧密结合，廉洁自律，提高服务意识和工作素质，继续以良好的作风保障各项后勤工作顺利开展。</w:t>
      </w:r>
    </w:p>
    <w:p>
      <w:pPr>
        <w:pStyle w:val="25"/>
      </w:pPr>
      <w:r>
        <w:t>二、加强消防管理工作，排除消防安全隐患，防止火灾、雷电等意外事故，对大楼的监控设施和防雷设备进行定期维护，对两院的电梯进行定维护和保养。为政府大楼创造安全和谐的办公环境。</w:t>
      </w:r>
    </w:p>
    <w:p>
      <w:pPr>
        <w:pStyle w:val="25"/>
      </w:pPr>
      <w:r>
        <w:t>三、做好大院卫生和绿化管理工作，保持大院、大楼正常清洁，干净整齐，不留死角，四季有绿，绿化美化政策明显。</w:t>
      </w:r>
    </w:p>
    <w:p>
      <w:pPr>
        <w:pStyle w:val="25"/>
      </w:pPr>
      <w:r>
        <w:t>四、认真做好食堂餐饮及卫生管理工作，对食堂的操作间和就餐环境进行全面改造，保证领导干部职工用餐安全卫生。</w:t>
      </w:r>
    </w:p>
    <w:p>
      <w:pPr>
        <w:pStyle w:val="25"/>
      </w:pPr>
      <w:r>
        <w:t>五、加强安全保卫管理，认真查处外来上访人员违法门口聚集保障区委、区政府门口秩序，保障工作人员正常工作秩序。</w:t>
      </w:r>
    </w:p>
    <w:p>
      <w:pPr>
        <w:pStyle w:val="25"/>
      </w:pPr>
      <w:r>
        <w:t>六、做好公车管理中心的公务用车管理工作。工作达到干部职工的满意</w:t>
      </w:r>
    </w:p>
    <w:p>
      <w:pPr>
        <w:pStyle w:val="33"/>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石家庄市藁城区机关事务服务中心本级</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s="Times New Roman"/>
          <w:color w:val="000000"/>
          <w:sz w:val="28"/>
        </w:rPr>
      </w:pPr>
      <w:r>
        <w:rPr>
          <w:rFonts w:eastAsia="方正仿宋_GBK" w:cs="Times New Roman"/>
          <w:color w:val="000000"/>
          <w:sz w:val="28"/>
        </w:rPr>
        <w:t>按照预算管理有关规定，目前我省单位预算的编制实行综合预算管理，即全部收入和支出都反映在预算中。</w:t>
      </w:r>
    </w:p>
    <w:p>
      <w:pPr>
        <w:spacing w:line="460" w:lineRule="exact"/>
        <w:ind w:firstLine="640"/>
        <w:rPr>
          <w:rFonts w:eastAsia="仿宋" w:cs="Times New Roman"/>
          <w:sz w:val="32"/>
          <w:szCs w:val="32"/>
        </w:rPr>
      </w:pPr>
      <w:r>
        <w:rPr>
          <w:rFonts w:hint="eastAsia" w:eastAsia="仿宋" w:cs="Times New Roman"/>
          <w:sz w:val="32"/>
          <w:szCs w:val="32"/>
        </w:rPr>
        <w:t>1、</w:t>
      </w:r>
      <w:r>
        <w:rPr>
          <w:rFonts w:eastAsia="仿宋" w:cs="Times New Roman"/>
          <w:sz w:val="32"/>
          <w:szCs w:val="32"/>
        </w:rPr>
        <w:t>收入说明</w:t>
      </w:r>
    </w:p>
    <w:p>
      <w:pPr>
        <w:spacing w:line="460" w:lineRule="exact"/>
        <w:ind w:firstLine="640"/>
        <w:rPr>
          <w:rFonts w:eastAsia="仿宋" w:cs="Times New Roman"/>
          <w:sz w:val="32"/>
          <w:szCs w:val="32"/>
        </w:rPr>
      </w:pPr>
      <w:r>
        <w:rPr>
          <w:rFonts w:hint="eastAsia" w:eastAsia="仿宋" w:cs="Times New Roman"/>
          <w:sz w:val="32"/>
          <w:szCs w:val="32"/>
        </w:rPr>
        <w:t>反映本</w:t>
      </w:r>
      <w:r>
        <w:rPr>
          <w:rFonts w:hint="eastAsia" w:eastAsia="仿宋" w:cs="Times New Roman"/>
          <w:sz w:val="32"/>
          <w:szCs w:val="32"/>
          <w:lang w:eastAsia="zh-CN"/>
        </w:rPr>
        <w:t>单位</w:t>
      </w:r>
      <w:r>
        <w:rPr>
          <w:rFonts w:hint="eastAsia" w:eastAsia="仿宋" w:cs="Times New Roman"/>
          <w:sz w:val="32"/>
          <w:szCs w:val="32"/>
        </w:rPr>
        <w:t>当年全部收入。2022年预算收入</w:t>
      </w:r>
      <w:r>
        <w:rPr>
          <w:rFonts w:hint="eastAsia" w:eastAsia="仿宋" w:cs="Times New Roman"/>
          <w:sz w:val="32"/>
          <w:szCs w:val="32"/>
          <w:lang w:eastAsia="zh-CN"/>
        </w:rPr>
        <w:t>628.41</w:t>
      </w:r>
      <w:r>
        <w:rPr>
          <w:rFonts w:hint="eastAsia" w:eastAsia="仿宋" w:cs="Times New Roman"/>
          <w:sz w:val="32"/>
          <w:szCs w:val="32"/>
        </w:rPr>
        <w:t>万元，其中：一般公共预算收入</w:t>
      </w:r>
      <w:r>
        <w:rPr>
          <w:rFonts w:hint="eastAsia" w:eastAsia="仿宋" w:cs="Times New Roman"/>
          <w:sz w:val="32"/>
          <w:szCs w:val="32"/>
          <w:lang w:eastAsia="zh-CN"/>
        </w:rPr>
        <w:t>628.41</w:t>
      </w:r>
      <w:r>
        <w:rPr>
          <w:rFonts w:hint="eastAsia" w:eastAsia="仿宋" w:cs="Times New Roman"/>
          <w:sz w:val="32"/>
          <w:szCs w:val="32"/>
        </w:rPr>
        <w:t>万元，基金预算收入0万元，财政专户核拨收入0万元，其他来源收入0万元。</w:t>
      </w:r>
    </w:p>
    <w:p>
      <w:pPr>
        <w:spacing w:line="460" w:lineRule="exact"/>
        <w:ind w:firstLine="640"/>
        <w:rPr>
          <w:rFonts w:eastAsia="仿宋" w:cs="Times New Roman"/>
          <w:sz w:val="32"/>
          <w:szCs w:val="32"/>
        </w:rPr>
      </w:pPr>
      <w:r>
        <w:rPr>
          <w:rFonts w:hint="eastAsia" w:eastAsia="仿宋" w:cs="Times New Roman"/>
          <w:sz w:val="32"/>
          <w:szCs w:val="32"/>
        </w:rPr>
        <w:t>2、</w:t>
      </w:r>
      <w:r>
        <w:rPr>
          <w:rFonts w:eastAsia="仿宋" w:cs="Times New Roman"/>
          <w:sz w:val="32"/>
          <w:szCs w:val="32"/>
        </w:rPr>
        <w:t>支出说明</w:t>
      </w:r>
    </w:p>
    <w:p>
      <w:pPr>
        <w:spacing w:line="460" w:lineRule="exact"/>
        <w:ind w:firstLine="640"/>
        <w:rPr>
          <w:rFonts w:eastAsia="仿宋" w:cs="Times New Roman"/>
          <w:sz w:val="32"/>
          <w:szCs w:val="32"/>
          <w:highlight w:val="red"/>
        </w:rPr>
      </w:pPr>
      <w:r>
        <w:rPr>
          <w:rFonts w:hint="eastAsia" w:eastAsia="仿宋" w:cs="Times New Roman"/>
          <w:sz w:val="32"/>
          <w:szCs w:val="32"/>
        </w:rPr>
        <w:t>收支预算总表支出栏、基本支出表、项目支出表按经济分类和支出功能分类科目编制，反映本单位预算中支出预算的总体情况。2022年</w:t>
      </w:r>
      <w:r>
        <w:rPr>
          <w:rFonts w:hint="eastAsia" w:eastAsia="仿宋" w:cs="Times New Roman"/>
          <w:sz w:val="32"/>
          <w:szCs w:val="32"/>
          <w:lang w:eastAsia="zh-CN"/>
        </w:rPr>
        <w:t>单位</w:t>
      </w:r>
      <w:r>
        <w:rPr>
          <w:rFonts w:hint="eastAsia" w:eastAsia="仿宋" w:cs="Times New Roman"/>
          <w:sz w:val="32"/>
          <w:szCs w:val="32"/>
        </w:rPr>
        <w:t>支出预算为</w:t>
      </w:r>
      <w:r>
        <w:rPr>
          <w:rFonts w:hint="eastAsia" w:eastAsia="仿宋" w:cs="Times New Roman"/>
          <w:sz w:val="32"/>
          <w:szCs w:val="32"/>
          <w:lang w:eastAsia="zh-CN"/>
        </w:rPr>
        <w:t>628.41</w:t>
      </w:r>
      <w:r>
        <w:rPr>
          <w:rFonts w:hint="eastAsia" w:eastAsia="仿宋" w:cs="Times New Roman"/>
          <w:sz w:val="32"/>
          <w:szCs w:val="32"/>
        </w:rPr>
        <w:t>万元，其中基本支出</w:t>
      </w:r>
      <w:r>
        <w:rPr>
          <w:rFonts w:hint="eastAsia" w:eastAsia="仿宋" w:cs="Times New Roman"/>
          <w:sz w:val="32"/>
          <w:szCs w:val="32"/>
          <w:lang w:eastAsia="zh-CN"/>
        </w:rPr>
        <w:t>269.01</w:t>
      </w:r>
      <w:r>
        <w:rPr>
          <w:rFonts w:hint="eastAsia" w:eastAsia="仿宋" w:cs="Times New Roman"/>
          <w:sz w:val="32"/>
          <w:szCs w:val="32"/>
        </w:rPr>
        <w:t>万元，包括人员经</w:t>
      </w:r>
      <w:r>
        <w:rPr>
          <w:rFonts w:hint="eastAsia" w:eastAsia="仿宋" w:cs="Times New Roman"/>
          <w:sz w:val="32"/>
          <w:szCs w:val="32"/>
          <w:lang w:eastAsia="zh-CN"/>
        </w:rPr>
        <w:t>费136.11万元和日常公用经费132.90万元；</w:t>
      </w:r>
      <w:r>
        <w:rPr>
          <w:rFonts w:hint="eastAsia" w:eastAsia="仿宋" w:cs="Times New Roman"/>
          <w:sz w:val="32"/>
          <w:szCs w:val="32"/>
        </w:rPr>
        <w:t>项目支出</w:t>
      </w:r>
      <w:r>
        <w:rPr>
          <w:rFonts w:hint="eastAsia" w:eastAsia="仿宋" w:cs="Times New Roman"/>
          <w:sz w:val="32"/>
          <w:szCs w:val="32"/>
          <w:lang w:eastAsia="zh-CN"/>
        </w:rPr>
        <w:t>359.40</w:t>
      </w:r>
      <w:r>
        <w:rPr>
          <w:rFonts w:hint="eastAsia" w:eastAsia="仿宋" w:cs="Times New Roman"/>
          <w:sz w:val="32"/>
          <w:szCs w:val="32"/>
        </w:rPr>
        <w:t>万元，主要为公车管理中心运行经费</w:t>
      </w:r>
      <w:r>
        <w:rPr>
          <w:rFonts w:hint="eastAsia" w:eastAsia="仿宋" w:cs="Times New Roman"/>
          <w:sz w:val="32"/>
          <w:szCs w:val="32"/>
          <w:lang w:eastAsia="zh-CN"/>
        </w:rPr>
        <w:t>48.40万元：</w:t>
      </w:r>
      <w:r>
        <w:rPr>
          <w:rFonts w:hint="eastAsia" w:eastAsia="仿宋" w:cs="Times New Roman"/>
          <w:sz w:val="32"/>
          <w:szCs w:val="32"/>
        </w:rPr>
        <w:t>劳务派遣人员经费</w:t>
      </w:r>
      <w:r>
        <w:rPr>
          <w:rFonts w:hint="eastAsia" w:eastAsia="仿宋" w:cs="Times New Roman"/>
          <w:sz w:val="32"/>
          <w:szCs w:val="32"/>
          <w:lang w:eastAsia="zh-CN"/>
        </w:rPr>
        <w:t>96万元；</w:t>
      </w:r>
      <w:r>
        <w:rPr>
          <w:rFonts w:hint="eastAsia" w:eastAsia="仿宋" w:cs="Times New Roman"/>
          <w:sz w:val="32"/>
          <w:szCs w:val="32"/>
        </w:rPr>
        <w:t>区委办会议组织和协调运转费</w:t>
      </w:r>
      <w:r>
        <w:rPr>
          <w:rFonts w:hint="eastAsia" w:eastAsia="仿宋" w:cs="Times New Roman"/>
          <w:sz w:val="32"/>
          <w:szCs w:val="32"/>
          <w:lang w:eastAsia="zh-CN"/>
        </w:rPr>
        <w:t>97万元；政府</w:t>
      </w:r>
      <w:r>
        <w:rPr>
          <w:rFonts w:hint="eastAsia" w:eastAsia="仿宋" w:cs="Times New Roman"/>
          <w:sz w:val="32"/>
          <w:szCs w:val="32"/>
        </w:rPr>
        <w:t>办会议组织和协调运转费</w:t>
      </w:r>
      <w:r>
        <w:rPr>
          <w:rFonts w:hint="eastAsia" w:eastAsia="仿宋" w:cs="Times New Roman"/>
          <w:sz w:val="32"/>
          <w:szCs w:val="32"/>
          <w:lang w:eastAsia="zh-CN"/>
        </w:rPr>
        <w:t>97万元；政府机关基本运行维护费21万元</w:t>
      </w:r>
      <w:r>
        <w:rPr>
          <w:rFonts w:hint="eastAsia" w:eastAsia="仿宋" w:cs="Times New Roman"/>
          <w:sz w:val="32"/>
          <w:szCs w:val="32"/>
        </w:rPr>
        <w:t>；其他支出0万元。</w:t>
      </w:r>
    </w:p>
    <w:p>
      <w:pPr>
        <w:spacing w:line="500" w:lineRule="exact"/>
        <w:ind w:firstLine="560"/>
        <w:rPr>
          <w:rFonts w:eastAsia="方正仿宋_GBK" w:cs="Times New Roman"/>
          <w:color w:val="000000"/>
          <w:sz w:val="28"/>
        </w:rPr>
      </w:pPr>
    </w:p>
    <w:p>
      <w:pPr>
        <w:pStyle w:val="34"/>
      </w:pPr>
    </w:p>
    <w:p>
      <w:pPr>
        <w:pStyle w:val="34"/>
      </w:pPr>
    </w:p>
    <w:p>
      <w:pPr>
        <w:pStyle w:val="34"/>
      </w:pP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机关运行经费安排情况</w:t>
      </w:r>
    </w:p>
    <w:p>
      <w:pPr>
        <w:spacing w:line="460" w:lineRule="exact"/>
        <w:ind w:firstLine="640" w:firstLineChars="200"/>
        <w:rPr>
          <w:rFonts w:ascii="黑体" w:hAnsi="黑体" w:eastAsia="黑体" w:cs="黑体"/>
          <w:color w:val="000000"/>
          <w:sz w:val="32"/>
        </w:rPr>
      </w:pPr>
      <w:r>
        <w:rPr>
          <w:rFonts w:hint="eastAsia" w:eastAsia="仿宋" w:cs="Times New Roman"/>
          <w:sz w:val="32"/>
          <w:szCs w:val="32"/>
        </w:rPr>
        <w:t>2022年，我</w:t>
      </w:r>
      <w:r>
        <w:rPr>
          <w:rFonts w:hint="eastAsia" w:eastAsia="仿宋" w:cs="Times New Roman"/>
          <w:sz w:val="32"/>
          <w:szCs w:val="32"/>
          <w:lang w:eastAsia="zh-CN"/>
        </w:rPr>
        <w:t>单位</w:t>
      </w:r>
      <w:r>
        <w:rPr>
          <w:rFonts w:hint="eastAsia" w:eastAsia="仿宋" w:cs="Times New Roman"/>
          <w:sz w:val="32"/>
          <w:szCs w:val="32"/>
        </w:rPr>
        <w:t>机关运行经费共计安排</w:t>
      </w:r>
      <w:r>
        <w:rPr>
          <w:rFonts w:hint="eastAsia" w:eastAsia="仿宋" w:cs="Times New Roman"/>
          <w:sz w:val="32"/>
          <w:szCs w:val="32"/>
          <w:lang w:eastAsia="zh-CN"/>
        </w:rPr>
        <w:t xml:space="preserve">21 </w:t>
      </w:r>
      <w:r>
        <w:rPr>
          <w:rFonts w:hint="eastAsia" w:eastAsia="仿宋" w:cs="Times New Roman"/>
          <w:sz w:val="32"/>
          <w:szCs w:val="32"/>
        </w:rPr>
        <w:t>万元，主要用于保证机关正常运转的办公费、邮电费、公务交通补贴、工会经费、福利费、党组织活动经费等支出。</w:t>
      </w:r>
    </w:p>
    <w:p>
      <w:pPr>
        <w:pStyle w:val="35"/>
        <w:rPr>
          <w:highlight w:val="red"/>
        </w:rPr>
      </w:pPr>
    </w:p>
    <w:p>
      <w:pPr>
        <w:spacing w:before="10" w:after="10"/>
        <w:ind w:firstLine="640"/>
        <w:outlineLvl w:val="5"/>
      </w:pPr>
      <w:r>
        <w:rPr>
          <w:rFonts w:ascii="黑体" w:hAnsi="黑体" w:eastAsia="黑体" w:cs="黑体"/>
          <w:color w:val="000000"/>
          <w:sz w:val="32"/>
        </w:rPr>
        <w:t>四、财政拨款“三公”经费预算情况及增减变化原因</w:t>
      </w:r>
    </w:p>
    <w:p>
      <w:pPr>
        <w:spacing w:line="460" w:lineRule="exact"/>
        <w:ind w:firstLine="640" w:firstLineChars="200"/>
        <w:rPr>
          <w:rFonts w:ascii="仿宋" w:hAnsi="仿宋" w:eastAsia="仿宋"/>
          <w:sz w:val="32"/>
          <w:szCs w:val="32"/>
        </w:rPr>
      </w:pPr>
      <w:r>
        <w:rPr>
          <w:rFonts w:hint="eastAsia" w:eastAsia="仿宋" w:cs="Times New Roman"/>
          <w:sz w:val="32"/>
          <w:szCs w:val="32"/>
        </w:rPr>
        <w:t>2022年，我部门财政拨款“三公”经费预算安排</w:t>
      </w:r>
      <w:r>
        <w:rPr>
          <w:rFonts w:hint="eastAsia" w:eastAsia="仿宋" w:cs="Times New Roman"/>
          <w:sz w:val="32"/>
          <w:szCs w:val="32"/>
          <w:lang w:eastAsia="zh-CN"/>
        </w:rPr>
        <w:t>50.6</w:t>
      </w:r>
      <w:r>
        <w:rPr>
          <w:rFonts w:hint="eastAsia" w:eastAsia="仿宋" w:cs="Times New Roman"/>
          <w:sz w:val="32"/>
          <w:szCs w:val="32"/>
        </w:rPr>
        <w:t>万元，其中：因公出国（境）费</w:t>
      </w:r>
      <w:r>
        <w:rPr>
          <w:rFonts w:hint="eastAsia" w:eastAsia="仿宋" w:cs="Times New Roman"/>
          <w:sz w:val="32"/>
          <w:szCs w:val="32"/>
          <w:lang w:eastAsia="zh-CN"/>
        </w:rPr>
        <w:t>0</w:t>
      </w:r>
      <w:r>
        <w:rPr>
          <w:rFonts w:hint="eastAsia" w:eastAsia="仿宋" w:cs="Times New Roman"/>
          <w:sz w:val="32"/>
          <w:szCs w:val="32"/>
        </w:rPr>
        <w:t>万元；公务用车购置及运维费</w:t>
      </w:r>
      <w:r>
        <w:rPr>
          <w:rFonts w:hint="eastAsia" w:eastAsia="仿宋" w:cs="Times New Roman"/>
          <w:sz w:val="32"/>
          <w:szCs w:val="32"/>
          <w:lang w:eastAsia="zh-CN"/>
        </w:rPr>
        <w:t>0</w:t>
      </w:r>
      <w:r>
        <w:rPr>
          <w:rFonts w:hint="eastAsia" w:eastAsia="仿宋" w:cs="Times New Roman"/>
          <w:sz w:val="32"/>
          <w:szCs w:val="32"/>
        </w:rPr>
        <w:t>万元（其中：公务用车购置费0万元，公务用车运行维护费</w:t>
      </w:r>
      <w:r>
        <w:rPr>
          <w:rFonts w:hint="eastAsia" w:eastAsia="仿宋" w:cs="Times New Roman"/>
          <w:sz w:val="32"/>
          <w:szCs w:val="32"/>
          <w:lang w:eastAsia="zh-CN"/>
        </w:rPr>
        <w:t>50.6</w:t>
      </w:r>
      <w:r>
        <w:rPr>
          <w:rFonts w:hint="eastAsia" w:eastAsia="仿宋" w:cs="Times New Roman"/>
          <w:sz w:val="32"/>
          <w:szCs w:val="32"/>
        </w:rPr>
        <w:t>万元)；公务接待费</w:t>
      </w:r>
      <w:r>
        <w:rPr>
          <w:rFonts w:hint="eastAsia" w:eastAsia="仿宋" w:cs="Times New Roman"/>
          <w:sz w:val="32"/>
          <w:szCs w:val="32"/>
          <w:lang w:eastAsia="zh-CN"/>
        </w:rPr>
        <w:t>0</w:t>
      </w:r>
      <w:r>
        <w:rPr>
          <w:rFonts w:hint="eastAsia" w:eastAsia="仿宋" w:cs="Times New Roman"/>
          <w:sz w:val="32"/>
          <w:szCs w:val="32"/>
        </w:rPr>
        <w:t>万元。“三公”经费与上年持平，无增减变化。</w:t>
      </w:r>
    </w:p>
    <w:p>
      <w:pPr>
        <w:pStyle w:val="36"/>
        <w:ind w:firstLine="0"/>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五、预算绩效信息</w:t>
      </w:r>
    </w:p>
    <w:p>
      <w:pPr>
        <w:pStyle w:val="28"/>
        <w:ind w:firstLine="560"/>
      </w:pPr>
      <w:r>
        <w:rPr>
          <w:rFonts w:ascii="方正仿宋_GBK" w:hAnsi="方正仿宋_GBK" w:eastAsia="方正仿宋_GBK" w:cs="方正仿宋_GBK"/>
          <w:b/>
          <w:color w:val="000000"/>
          <w:sz w:val="28"/>
        </w:rPr>
        <w:t>1、公车管理中心运行经费绩效目标表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1.在预算范围内保证公务用车正常安全运转，满足办公要求，提高办公效率</w:t>
            </w:r>
          </w:p>
          <w:p>
            <w:pPr>
              <w:pStyle w:val="30"/>
            </w:pP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机关工作人员用车及时安全率</w:t>
            </w:r>
          </w:p>
        </w:tc>
        <w:tc>
          <w:tcPr>
            <w:tcW w:w="2835" w:type="dxa"/>
            <w:vAlign w:val="center"/>
          </w:tcPr>
          <w:p>
            <w:pPr>
              <w:pStyle w:val="30"/>
            </w:pPr>
            <w:r>
              <w:t>派车次数满足日常办公需要</w:t>
            </w:r>
          </w:p>
        </w:tc>
        <w:tc>
          <w:tcPr>
            <w:tcW w:w="2551" w:type="dxa"/>
            <w:vAlign w:val="center"/>
          </w:tcPr>
          <w:p>
            <w:pPr>
              <w:pStyle w:val="30"/>
            </w:pPr>
            <w:r>
              <w:t>≥98%</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确保公务用车工作正常安全完成规定要求完成率</w:t>
            </w:r>
          </w:p>
        </w:tc>
        <w:tc>
          <w:tcPr>
            <w:tcW w:w="2835" w:type="dxa"/>
            <w:vAlign w:val="center"/>
          </w:tcPr>
          <w:p>
            <w:pPr>
              <w:pStyle w:val="30"/>
            </w:pPr>
            <w:r>
              <w:t>公车使用合规</w:t>
            </w:r>
          </w:p>
        </w:tc>
        <w:tc>
          <w:tcPr>
            <w:tcW w:w="2551" w:type="dxa"/>
            <w:vAlign w:val="center"/>
          </w:tcPr>
          <w:p>
            <w:pPr>
              <w:pStyle w:val="30"/>
            </w:pPr>
            <w:r>
              <w:t>≥98%</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及时派车</w:t>
            </w:r>
          </w:p>
        </w:tc>
        <w:tc>
          <w:tcPr>
            <w:tcW w:w="2835" w:type="dxa"/>
            <w:vAlign w:val="center"/>
          </w:tcPr>
          <w:p>
            <w:pPr>
              <w:pStyle w:val="30"/>
            </w:pPr>
            <w:r>
              <w:t>及时派车</w:t>
            </w:r>
          </w:p>
        </w:tc>
        <w:tc>
          <w:tcPr>
            <w:tcW w:w="2551" w:type="dxa"/>
            <w:vAlign w:val="center"/>
          </w:tcPr>
          <w:p>
            <w:pPr>
              <w:pStyle w:val="30"/>
            </w:pPr>
            <w:r>
              <w:t>≥98%</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在预算范围内保证公务用车正常安全运转，满足办公要求，提高办公效率</w:t>
            </w:r>
          </w:p>
        </w:tc>
        <w:tc>
          <w:tcPr>
            <w:tcW w:w="2835" w:type="dxa"/>
            <w:vAlign w:val="center"/>
          </w:tcPr>
          <w:p>
            <w:pPr>
              <w:pStyle w:val="30"/>
            </w:pPr>
            <w:r>
              <w:t>在预算范围内保证公务用车正常安全运转，满足办公要求，提高办公效率</w:t>
            </w:r>
          </w:p>
        </w:tc>
        <w:tc>
          <w:tcPr>
            <w:tcW w:w="2551" w:type="dxa"/>
            <w:vAlign w:val="center"/>
          </w:tcPr>
          <w:p>
            <w:pPr>
              <w:pStyle w:val="30"/>
            </w:pPr>
            <w:r>
              <w:t>在预算范围内保证公务用车正常安全运转，满足办公要求，提高办公效率</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效益指标</w:t>
            </w:r>
          </w:p>
        </w:tc>
        <w:tc>
          <w:tcPr>
            <w:tcW w:w="2268" w:type="dxa"/>
            <w:vAlign w:val="center"/>
          </w:tcPr>
          <w:p>
            <w:pPr>
              <w:pStyle w:val="30"/>
            </w:pPr>
            <w:r>
              <w:t>经济效益指标</w:t>
            </w:r>
          </w:p>
        </w:tc>
        <w:tc>
          <w:tcPr>
            <w:tcW w:w="2835" w:type="dxa"/>
            <w:vAlign w:val="center"/>
          </w:tcPr>
          <w:p>
            <w:pPr>
              <w:pStyle w:val="30"/>
            </w:pPr>
            <w:r>
              <w:t>在预算范围内保证公务用车正常安全运转，满足办公要求，提高办公效率</w:t>
            </w:r>
          </w:p>
        </w:tc>
        <w:tc>
          <w:tcPr>
            <w:tcW w:w="2835" w:type="dxa"/>
            <w:vAlign w:val="center"/>
          </w:tcPr>
          <w:p>
            <w:pPr>
              <w:pStyle w:val="30"/>
            </w:pPr>
            <w:r>
              <w:t>在预算范围内保证公务用车正常安全运转，满足办公要求，提高办公效率</w:t>
            </w:r>
          </w:p>
        </w:tc>
        <w:tc>
          <w:tcPr>
            <w:tcW w:w="2551" w:type="dxa"/>
            <w:vAlign w:val="center"/>
          </w:tcPr>
          <w:p>
            <w:pPr>
              <w:pStyle w:val="30"/>
            </w:pPr>
            <w:r>
              <w:t>在预算范围内保证公务用车正常安全运转，满足办公要求，提高办公效率</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社会效益指标</w:t>
            </w:r>
          </w:p>
        </w:tc>
        <w:tc>
          <w:tcPr>
            <w:tcW w:w="2835" w:type="dxa"/>
            <w:vAlign w:val="center"/>
          </w:tcPr>
          <w:p>
            <w:pPr>
              <w:pStyle w:val="30"/>
            </w:pPr>
            <w:r>
              <w:t>确保机关工作人员能及时安全用车</w:t>
            </w:r>
          </w:p>
        </w:tc>
        <w:tc>
          <w:tcPr>
            <w:tcW w:w="2835" w:type="dxa"/>
            <w:vAlign w:val="center"/>
          </w:tcPr>
          <w:p>
            <w:pPr>
              <w:pStyle w:val="30"/>
            </w:pPr>
            <w:r>
              <w:t>公务用车正常安全运转，满足办公要求，提高办公效率</w:t>
            </w:r>
          </w:p>
        </w:tc>
        <w:tc>
          <w:tcPr>
            <w:tcW w:w="2551" w:type="dxa"/>
            <w:vAlign w:val="center"/>
          </w:tcPr>
          <w:p>
            <w:pPr>
              <w:pStyle w:val="30"/>
            </w:pPr>
            <w:r>
              <w:t>≥98%</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生态效益指标</w:t>
            </w:r>
          </w:p>
        </w:tc>
        <w:tc>
          <w:tcPr>
            <w:tcW w:w="2835" w:type="dxa"/>
            <w:vAlign w:val="center"/>
          </w:tcPr>
          <w:p>
            <w:pPr>
              <w:pStyle w:val="30"/>
            </w:pPr>
            <w:r>
              <w:t>保证全程环保无污染</w:t>
            </w:r>
          </w:p>
        </w:tc>
        <w:tc>
          <w:tcPr>
            <w:tcW w:w="2835" w:type="dxa"/>
            <w:vAlign w:val="center"/>
          </w:tcPr>
          <w:p>
            <w:pPr>
              <w:pStyle w:val="30"/>
            </w:pPr>
            <w:r>
              <w:t>保证全程环保无污染</w:t>
            </w:r>
          </w:p>
        </w:tc>
        <w:tc>
          <w:tcPr>
            <w:tcW w:w="2551" w:type="dxa"/>
            <w:vAlign w:val="center"/>
          </w:tcPr>
          <w:p>
            <w:pPr>
              <w:pStyle w:val="30"/>
            </w:pPr>
            <w:r>
              <w:t>≥98%</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可持续影响指标</w:t>
            </w:r>
          </w:p>
        </w:tc>
        <w:tc>
          <w:tcPr>
            <w:tcW w:w="2835" w:type="dxa"/>
            <w:vAlign w:val="center"/>
          </w:tcPr>
          <w:p>
            <w:pPr>
              <w:pStyle w:val="30"/>
            </w:pPr>
            <w:r>
              <w:t>派车次数满足日常办公需要</w:t>
            </w:r>
          </w:p>
        </w:tc>
        <w:tc>
          <w:tcPr>
            <w:tcW w:w="2835" w:type="dxa"/>
            <w:vAlign w:val="center"/>
          </w:tcPr>
          <w:p>
            <w:pPr>
              <w:pStyle w:val="30"/>
            </w:pPr>
            <w:r>
              <w:t>派车次数满足日常办公需要</w:t>
            </w:r>
          </w:p>
        </w:tc>
        <w:tc>
          <w:tcPr>
            <w:tcW w:w="2551" w:type="dxa"/>
            <w:vAlign w:val="center"/>
          </w:tcPr>
          <w:p>
            <w:pPr>
              <w:pStyle w:val="30"/>
            </w:pPr>
            <w:r>
              <w:t>≥98%</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用车单位的满意度</w:t>
            </w:r>
          </w:p>
        </w:tc>
        <w:tc>
          <w:tcPr>
            <w:tcW w:w="2835" w:type="dxa"/>
            <w:vAlign w:val="center"/>
          </w:tcPr>
          <w:p>
            <w:pPr>
              <w:pStyle w:val="30"/>
            </w:pPr>
            <w:r>
              <w:t>机关工作人员用车及时和对我单位的满意率</w:t>
            </w:r>
          </w:p>
        </w:tc>
        <w:tc>
          <w:tcPr>
            <w:tcW w:w="2551" w:type="dxa"/>
            <w:vAlign w:val="center"/>
          </w:tcPr>
          <w:p>
            <w:pPr>
              <w:pStyle w:val="30"/>
            </w:pPr>
            <w:r>
              <w:t>≥98%</w:t>
            </w:r>
          </w:p>
        </w:tc>
        <w:tc>
          <w:tcPr>
            <w:tcW w:w="2268" w:type="dxa"/>
            <w:vAlign w:val="center"/>
          </w:tcPr>
          <w:p>
            <w:pPr>
              <w:pStyle w:val="30"/>
            </w:pPr>
            <w:r>
              <w:t>调查问卷</w:t>
            </w:r>
          </w:p>
        </w:tc>
      </w:tr>
    </w:tbl>
    <w:p>
      <w:pPr>
        <w:pStyle w:val="28"/>
      </w:pPr>
    </w:p>
    <w:p>
      <w:pPr>
        <w:pStyle w:val="28"/>
        <w:ind w:firstLine="560"/>
      </w:pPr>
      <w:r>
        <w:rPr>
          <w:rFonts w:ascii="方正仿宋_GBK" w:hAnsi="方正仿宋_GBK" w:eastAsia="方正仿宋_GBK" w:cs="方正仿宋_GBK"/>
          <w:b/>
          <w:color w:val="000000"/>
          <w:sz w:val="28"/>
        </w:rPr>
        <w:t>2、劳务派遣人员经费绩效目标表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1.将成本控制在预算内,本着节约原则合理运用预算，按工资标准执行</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劳务派遣工资保准</w:t>
            </w:r>
          </w:p>
        </w:tc>
        <w:tc>
          <w:tcPr>
            <w:tcW w:w="2835" w:type="dxa"/>
            <w:vAlign w:val="center"/>
          </w:tcPr>
          <w:p>
            <w:pPr>
              <w:pStyle w:val="30"/>
            </w:pPr>
            <w:r>
              <w:t>按照聘用协议执行</w:t>
            </w:r>
          </w:p>
        </w:tc>
        <w:tc>
          <w:tcPr>
            <w:tcW w:w="2551" w:type="dxa"/>
            <w:vAlign w:val="center"/>
          </w:tcPr>
          <w:p>
            <w:pPr>
              <w:pStyle w:val="30"/>
            </w:pPr>
            <w:r>
              <w:t>工资标准按聘用协议执行</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劳务派遣工人数</w:t>
            </w:r>
          </w:p>
        </w:tc>
        <w:tc>
          <w:tcPr>
            <w:tcW w:w="2835" w:type="dxa"/>
            <w:vAlign w:val="center"/>
          </w:tcPr>
          <w:p>
            <w:pPr>
              <w:pStyle w:val="30"/>
            </w:pPr>
            <w:r>
              <w:t>确保发放及时</w:t>
            </w:r>
          </w:p>
        </w:tc>
        <w:tc>
          <w:tcPr>
            <w:tcW w:w="2551" w:type="dxa"/>
            <w:vAlign w:val="center"/>
          </w:tcPr>
          <w:p>
            <w:pPr>
              <w:pStyle w:val="30"/>
            </w:pPr>
            <w:r>
              <w:t>劳务派遣工人数</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在预算范围内</w:t>
            </w:r>
          </w:p>
        </w:tc>
        <w:tc>
          <w:tcPr>
            <w:tcW w:w="2835" w:type="dxa"/>
            <w:vAlign w:val="center"/>
          </w:tcPr>
          <w:p>
            <w:pPr>
              <w:pStyle w:val="30"/>
            </w:pPr>
            <w:r>
              <w:t>将成本控制在预算内,本着节约原则合理运用预算，按工资标准执行</w:t>
            </w:r>
          </w:p>
        </w:tc>
        <w:tc>
          <w:tcPr>
            <w:tcW w:w="2551" w:type="dxa"/>
            <w:vAlign w:val="center"/>
          </w:tcPr>
          <w:p>
            <w:pPr>
              <w:pStyle w:val="30"/>
            </w:pPr>
            <w:r>
              <w:t>≤96万元</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工资每月及时发放到位</w:t>
            </w:r>
          </w:p>
        </w:tc>
        <w:tc>
          <w:tcPr>
            <w:tcW w:w="2835" w:type="dxa"/>
            <w:vAlign w:val="center"/>
          </w:tcPr>
          <w:p>
            <w:pPr>
              <w:pStyle w:val="30"/>
            </w:pPr>
            <w:r>
              <w:t>工资每月及时发放到位</w:t>
            </w:r>
          </w:p>
        </w:tc>
        <w:tc>
          <w:tcPr>
            <w:tcW w:w="2551" w:type="dxa"/>
            <w:vAlign w:val="center"/>
          </w:tcPr>
          <w:p>
            <w:pPr>
              <w:pStyle w:val="30"/>
            </w:pPr>
            <w:r>
              <w:t>100%</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保障机关后勤及相关工作正常开展</w:t>
            </w:r>
          </w:p>
        </w:tc>
        <w:tc>
          <w:tcPr>
            <w:tcW w:w="2835" w:type="dxa"/>
            <w:vAlign w:val="center"/>
          </w:tcPr>
          <w:p>
            <w:pPr>
              <w:pStyle w:val="30"/>
            </w:pPr>
            <w:r>
              <w:t>每月完成所有后勤保障工作,让东西两院的工作人员有个舒适安全的工作环境.</w:t>
            </w:r>
          </w:p>
        </w:tc>
        <w:tc>
          <w:tcPr>
            <w:tcW w:w="2551" w:type="dxa"/>
            <w:vAlign w:val="center"/>
          </w:tcPr>
          <w:p>
            <w:pPr>
              <w:pStyle w:val="30"/>
            </w:pPr>
            <w:r>
              <w:t>≥99%</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可持续影响指标</w:t>
            </w:r>
          </w:p>
        </w:tc>
        <w:tc>
          <w:tcPr>
            <w:tcW w:w="2835" w:type="dxa"/>
            <w:vAlign w:val="center"/>
          </w:tcPr>
          <w:p>
            <w:pPr>
              <w:pStyle w:val="30"/>
            </w:pPr>
            <w:r>
              <w:t>保证后勤保障工作长期有效开展</w:t>
            </w:r>
          </w:p>
        </w:tc>
        <w:tc>
          <w:tcPr>
            <w:tcW w:w="2835" w:type="dxa"/>
            <w:vAlign w:val="center"/>
          </w:tcPr>
          <w:p>
            <w:pPr>
              <w:pStyle w:val="30"/>
            </w:pPr>
            <w:r>
              <w:t>保证后勤保障工作长期有效开展</w:t>
            </w:r>
          </w:p>
        </w:tc>
        <w:tc>
          <w:tcPr>
            <w:tcW w:w="2551" w:type="dxa"/>
            <w:vAlign w:val="center"/>
          </w:tcPr>
          <w:p>
            <w:pPr>
              <w:pStyle w:val="30"/>
            </w:pPr>
            <w:r>
              <w:t>保证后勤保障工作长期有效开展</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经济效益指标</w:t>
            </w:r>
          </w:p>
        </w:tc>
        <w:tc>
          <w:tcPr>
            <w:tcW w:w="2835" w:type="dxa"/>
            <w:vAlign w:val="center"/>
          </w:tcPr>
          <w:p>
            <w:pPr>
              <w:pStyle w:val="30"/>
            </w:pPr>
            <w:r>
              <w:t>保证工资足量，可控</w:t>
            </w:r>
          </w:p>
        </w:tc>
        <w:tc>
          <w:tcPr>
            <w:tcW w:w="2835" w:type="dxa"/>
            <w:vAlign w:val="center"/>
          </w:tcPr>
          <w:p>
            <w:pPr>
              <w:pStyle w:val="30"/>
            </w:pPr>
            <w:r>
              <w:t>保证工资足量，可控</w:t>
            </w:r>
          </w:p>
        </w:tc>
        <w:tc>
          <w:tcPr>
            <w:tcW w:w="2551" w:type="dxa"/>
            <w:vAlign w:val="center"/>
          </w:tcPr>
          <w:p>
            <w:pPr>
              <w:pStyle w:val="30"/>
            </w:pPr>
            <w:r>
              <w:t>保证工资足量，可控</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生态效益指标</w:t>
            </w:r>
          </w:p>
        </w:tc>
        <w:tc>
          <w:tcPr>
            <w:tcW w:w="2835" w:type="dxa"/>
            <w:vAlign w:val="center"/>
          </w:tcPr>
          <w:p>
            <w:pPr>
              <w:pStyle w:val="30"/>
            </w:pPr>
            <w:r>
              <w:t>保证工作中环保绿色无污染</w:t>
            </w:r>
          </w:p>
        </w:tc>
        <w:tc>
          <w:tcPr>
            <w:tcW w:w="2835" w:type="dxa"/>
            <w:vAlign w:val="center"/>
          </w:tcPr>
          <w:p>
            <w:pPr>
              <w:pStyle w:val="30"/>
            </w:pPr>
            <w:r>
              <w:t>保证工作中环保绿色无污染</w:t>
            </w:r>
          </w:p>
        </w:tc>
        <w:tc>
          <w:tcPr>
            <w:tcW w:w="2551" w:type="dxa"/>
            <w:vAlign w:val="center"/>
          </w:tcPr>
          <w:p>
            <w:pPr>
              <w:pStyle w:val="30"/>
            </w:pPr>
            <w:r>
              <w:t>≥99%</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两院工作人员的满意度</w:t>
            </w:r>
          </w:p>
        </w:tc>
        <w:tc>
          <w:tcPr>
            <w:tcW w:w="2835" w:type="dxa"/>
            <w:vAlign w:val="center"/>
          </w:tcPr>
          <w:p>
            <w:pPr>
              <w:pStyle w:val="30"/>
            </w:pPr>
            <w:r>
              <w:t>两院后勤工作的完成率和各项工作的完成质量,达到领导的标准</w:t>
            </w:r>
          </w:p>
        </w:tc>
        <w:tc>
          <w:tcPr>
            <w:tcW w:w="2551" w:type="dxa"/>
            <w:vAlign w:val="center"/>
          </w:tcPr>
          <w:p>
            <w:pPr>
              <w:pStyle w:val="30"/>
            </w:pPr>
            <w:r>
              <w:t>≥99%</w:t>
            </w:r>
          </w:p>
        </w:tc>
        <w:tc>
          <w:tcPr>
            <w:tcW w:w="2268" w:type="dxa"/>
            <w:vAlign w:val="center"/>
          </w:tcPr>
          <w:p>
            <w:pPr>
              <w:pStyle w:val="30"/>
            </w:pPr>
            <w:r>
              <w:t>领导批示</w:t>
            </w:r>
          </w:p>
        </w:tc>
      </w:tr>
    </w:tbl>
    <w:p>
      <w:pPr>
        <w:pStyle w:val="28"/>
      </w:pPr>
    </w:p>
    <w:p>
      <w:pPr>
        <w:pStyle w:val="28"/>
      </w:pPr>
    </w:p>
    <w:p>
      <w:pPr>
        <w:pStyle w:val="28"/>
      </w:pPr>
    </w:p>
    <w:p>
      <w:pPr>
        <w:pStyle w:val="28"/>
      </w:pPr>
    </w:p>
    <w:p>
      <w:pPr>
        <w:pStyle w:val="28"/>
      </w:pPr>
    </w:p>
    <w:p>
      <w:pPr>
        <w:pStyle w:val="28"/>
        <w:ind w:firstLine="560"/>
      </w:pPr>
      <w:r>
        <w:rPr>
          <w:rFonts w:ascii="方正仿宋_GBK" w:hAnsi="方正仿宋_GBK" w:eastAsia="方正仿宋_GBK" w:cs="方正仿宋_GBK"/>
          <w:b/>
          <w:color w:val="000000"/>
          <w:sz w:val="28"/>
        </w:rPr>
        <w:t>3、区委办会议组织和协调运转费绩效目标表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1.认真做好会议组织和协调运转,将成本控制预算范围内</w:t>
            </w:r>
          </w:p>
          <w:p>
            <w:pPr>
              <w:pStyle w:val="30"/>
            </w:pP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开会次数</w:t>
            </w:r>
          </w:p>
        </w:tc>
        <w:tc>
          <w:tcPr>
            <w:tcW w:w="2835" w:type="dxa"/>
            <w:vAlign w:val="center"/>
          </w:tcPr>
          <w:p>
            <w:pPr>
              <w:pStyle w:val="30"/>
            </w:pPr>
            <w:r>
              <w:t>严格执行标准，不得超标</w:t>
            </w:r>
          </w:p>
        </w:tc>
        <w:tc>
          <w:tcPr>
            <w:tcW w:w="2551" w:type="dxa"/>
            <w:vAlign w:val="center"/>
          </w:tcPr>
          <w:p>
            <w:pPr>
              <w:pStyle w:val="30"/>
            </w:pPr>
            <w:r>
              <w:t>100%</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保证会议顺利召开</w:t>
            </w:r>
          </w:p>
        </w:tc>
        <w:tc>
          <w:tcPr>
            <w:tcW w:w="2835" w:type="dxa"/>
            <w:vAlign w:val="center"/>
          </w:tcPr>
          <w:p>
            <w:pPr>
              <w:pStyle w:val="30"/>
            </w:pPr>
            <w:r>
              <w:t>保证会议顺利召开</w:t>
            </w:r>
          </w:p>
        </w:tc>
        <w:tc>
          <w:tcPr>
            <w:tcW w:w="2551" w:type="dxa"/>
            <w:vAlign w:val="center"/>
          </w:tcPr>
          <w:p>
            <w:pPr>
              <w:pStyle w:val="30"/>
            </w:pPr>
            <w:r>
              <w:t>保证会议顺利召开</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会议后勤保障及时率</w:t>
            </w:r>
          </w:p>
        </w:tc>
        <w:tc>
          <w:tcPr>
            <w:tcW w:w="2835" w:type="dxa"/>
            <w:vAlign w:val="center"/>
          </w:tcPr>
          <w:p>
            <w:pPr>
              <w:pStyle w:val="30"/>
            </w:pPr>
            <w:r>
              <w:t>保证会议按时召开</w:t>
            </w:r>
          </w:p>
        </w:tc>
        <w:tc>
          <w:tcPr>
            <w:tcW w:w="2551" w:type="dxa"/>
            <w:vAlign w:val="center"/>
          </w:tcPr>
          <w:p>
            <w:pPr>
              <w:pStyle w:val="30"/>
            </w:pPr>
            <w:r>
              <w:t>≥98%</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保证工作需求，尽降量低成本</w:t>
            </w:r>
          </w:p>
        </w:tc>
        <w:tc>
          <w:tcPr>
            <w:tcW w:w="2835" w:type="dxa"/>
            <w:vAlign w:val="center"/>
          </w:tcPr>
          <w:p>
            <w:pPr>
              <w:pStyle w:val="30"/>
            </w:pPr>
            <w:r>
              <w:t>热情服务、节俭办事。</w:t>
            </w:r>
          </w:p>
        </w:tc>
        <w:tc>
          <w:tcPr>
            <w:tcW w:w="2551" w:type="dxa"/>
            <w:vAlign w:val="center"/>
          </w:tcPr>
          <w:p>
            <w:pPr>
              <w:pStyle w:val="30"/>
            </w:pPr>
            <w:r>
              <w:t>保证工作需求，尽降量低成本</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效益指标</w:t>
            </w:r>
          </w:p>
        </w:tc>
        <w:tc>
          <w:tcPr>
            <w:tcW w:w="2268" w:type="dxa"/>
            <w:vAlign w:val="center"/>
          </w:tcPr>
          <w:p>
            <w:pPr>
              <w:pStyle w:val="30"/>
            </w:pPr>
            <w:r>
              <w:t>经济效益指标</w:t>
            </w:r>
          </w:p>
        </w:tc>
        <w:tc>
          <w:tcPr>
            <w:tcW w:w="2835" w:type="dxa"/>
            <w:vAlign w:val="center"/>
          </w:tcPr>
          <w:p>
            <w:pPr>
              <w:pStyle w:val="30"/>
            </w:pPr>
            <w:r>
              <w:t>保证工作需求，尽降量低成本</w:t>
            </w:r>
          </w:p>
        </w:tc>
        <w:tc>
          <w:tcPr>
            <w:tcW w:w="2835" w:type="dxa"/>
            <w:vAlign w:val="center"/>
          </w:tcPr>
          <w:p>
            <w:pPr>
              <w:pStyle w:val="30"/>
            </w:pPr>
            <w:r>
              <w:t>认真做好会议组织和协调运转,将成本控制预算范围内</w:t>
            </w:r>
          </w:p>
        </w:tc>
        <w:tc>
          <w:tcPr>
            <w:tcW w:w="2551" w:type="dxa"/>
            <w:vAlign w:val="center"/>
          </w:tcPr>
          <w:p>
            <w:pPr>
              <w:pStyle w:val="30"/>
            </w:pPr>
            <w:r>
              <w:t>保证工作需求，尽降量低成本</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社会效益指标</w:t>
            </w:r>
          </w:p>
        </w:tc>
        <w:tc>
          <w:tcPr>
            <w:tcW w:w="2835" w:type="dxa"/>
            <w:vAlign w:val="center"/>
          </w:tcPr>
          <w:p>
            <w:pPr>
              <w:pStyle w:val="30"/>
            </w:pPr>
            <w:r>
              <w:t>保证会议顺利召开</w:t>
            </w:r>
          </w:p>
        </w:tc>
        <w:tc>
          <w:tcPr>
            <w:tcW w:w="2835" w:type="dxa"/>
            <w:vAlign w:val="center"/>
          </w:tcPr>
          <w:p>
            <w:pPr>
              <w:pStyle w:val="30"/>
            </w:pPr>
            <w:r>
              <w:t>保证会议顺利召开</w:t>
            </w:r>
          </w:p>
        </w:tc>
        <w:tc>
          <w:tcPr>
            <w:tcW w:w="2551" w:type="dxa"/>
            <w:vAlign w:val="center"/>
          </w:tcPr>
          <w:p>
            <w:pPr>
              <w:pStyle w:val="30"/>
            </w:pPr>
            <w:r>
              <w:t>保证会议顺利召开</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生态效益指标</w:t>
            </w:r>
          </w:p>
        </w:tc>
        <w:tc>
          <w:tcPr>
            <w:tcW w:w="2835" w:type="dxa"/>
            <w:vAlign w:val="center"/>
          </w:tcPr>
          <w:p>
            <w:pPr>
              <w:pStyle w:val="30"/>
            </w:pPr>
            <w:r>
              <w:t>保证会议全程绿色环保</w:t>
            </w:r>
          </w:p>
        </w:tc>
        <w:tc>
          <w:tcPr>
            <w:tcW w:w="2835" w:type="dxa"/>
            <w:vAlign w:val="center"/>
          </w:tcPr>
          <w:p>
            <w:pPr>
              <w:pStyle w:val="30"/>
            </w:pPr>
            <w:r>
              <w:t>保证会议全程绿色环保</w:t>
            </w:r>
          </w:p>
        </w:tc>
        <w:tc>
          <w:tcPr>
            <w:tcW w:w="2551" w:type="dxa"/>
            <w:vAlign w:val="center"/>
          </w:tcPr>
          <w:p>
            <w:pPr>
              <w:pStyle w:val="30"/>
            </w:pPr>
            <w:r>
              <w:t>≥98%</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可持续影响指标</w:t>
            </w:r>
          </w:p>
        </w:tc>
        <w:tc>
          <w:tcPr>
            <w:tcW w:w="2835" w:type="dxa"/>
            <w:vAlign w:val="center"/>
          </w:tcPr>
          <w:p>
            <w:pPr>
              <w:pStyle w:val="30"/>
            </w:pPr>
            <w:r>
              <w:t xml:space="preserve"> 保证全年会议顺利开展</w:t>
            </w:r>
          </w:p>
        </w:tc>
        <w:tc>
          <w:tcPr>
            <w:tcW w:w="2835" w:type="dxa"/>
            <w:vAlign w:val="center"/>
          </w:tcPr>
          <w:p>
            <w:pPr>
              <w:pStyle w:val="30"/>
            </w:pPr>
            <w:r>
              <w:t xml:space="preserve"> 保证全年会议顺利开展</w:t>
            </w:r>
          </w:p>
        </w:tc>
        <w:tc>
          <w:tcPr>
            <w:tcW w:w="2551" w:type="dxa"/>
            <w:vAlign w:val="center"/>
          </w:tcPr>
          <w:p>
            <w:pPr>
              <w:pStyle w:val="30"/>
            </w:pPr>
            <w:r>
              <w:t>≥98%</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会议及时性</w:t>
            </w:r>
          </w:p>
        </w:tc>
        <w:tc>
          <w:tcPr>
            <w:tcW w:w="2835" w:type="dxa"/>
            <w:vAlign w:val="center"/>
          </w:tcPr>
          <w:p>
            <w:pPr>
              <w:pStyle w:val="30"/>
            </w:pPr>
            <w:r>
              <w:t>参会人员的满意程度和后勤保障服务的到位</w:t>
            </w:r>
          </w:p>
        </w:tc>
        <w:tc>
          <w:tcPr>
            <w:tcW w:w="2551" w:type="dxa"/>
            <w:vAlign w:val="center"/>
          </w:tcPr>
          <w:p>
            <w:pPr>
              <w:pStyle w:val="30"/>
            </w:pPr>
            <w:r>
              <w:t>≥98%</w:t>
            </w:r>
          </w:p>
        </w:tc>
        <w:tc>
          <w:tcPr>
            <w:tcW w:w="2268" w:type="dxa"/>
            <w:vAlign w:val="center"/>
          </w:tcPr>
          <w:p>
            <w:pPr>
              <w:pStyle w:val="30"/>
            </w:pPr>
            <w:r>
              <w:t xml:space="preserve"> 调查问卷</w:t>
            </w:r>
          </w:p>
        </w:tc>
      </w:tr>
    </w:tbl>
    <w:p>
      <w:pPr>
        <w:pStyle w:val="28"/>
      </w:pPr>
    </w:p>
    <w:p>
      <w:pPr>
        <w:pStyle w:val="28"/>
        <w:ind w:firstLine="560"/>
        <w:rPr>
          <w:rFonts w:ascii="方正仿宋_GBK" w:hAnsi="方正仿宋_GBK" w:eastAsia="方正仿宋_GBK" w:cs="方正仿宋_GBK"/>
          <w:b/>
          <w:color w:val="000000"/>
          <w:sz w:val="28"/>
        </w:rPr>
      </w:pPr>
    </w:p>
    <w:p>
      <w:pPr>
        <w:pStyle w:val="28"/>
        <w:ind w:firstLine="560"/>
        <w:rPr>
          <w:rFonts w:ascii="方正仿宋_GBK" w:hAnsi="方正仿宋_GBK" w:eastAsia="方正仿宋_GBK" w:cs="方正仿宋_GBK"/>
          <w:b/>
          <w:color w:val="000000"/>
          <w:sz w:val="28"/>
        </w:rPr>
      </w:pPr>
    </w:p>
    <w:p>
      <w:pPr>
        <w:pStyle w:val="28"/>
        <w:ind w:firstLine="560"/>
        <w:rPr>
          <w:rFonts w:ascii="方正仿宋_GBK" w:hAnsi="方正仿宋_GBK" w:eastAsia="方正仿宋_GBK" w:cs="方正仿宋_GBK"/>
          <w:b/>
          <w:color w:val="000000"/>
          <w:sz w:val="28"/>
        </w:rPr>
      </w:pPr>
    </w:p>
    <w:p>
      <w:pPr>
        <w:pStyle w:val="28"/>
        <w:ind w:firstLine="560"/>
        <w:rPr>
          <w:rFonts w:ascii="方正仿宋_GBK" w:hAnsi="方正仿宋_GBK" w:eastAsia="方正仿宋_GBK" w:cs="方正仿宋_GBK"/>
          <w:b/>
          <w:color w:val="000000"/>
          <w:sz w:val="28"/>
        </w:rPr>
      </w:pPr>
    </w:p>
    <w:p>
      <w:pPr>
        <w:pStyle w:val="28"/>
        <w:ind w:firstLine="560"/>
        <w:rPr>
          <w:rFonts w:ascii="方正仿宋_GBK" w:hAnsi="方正仿宋_GBK" w:eastAsia="方正仿宋_GBK" w:cs="方正仿宋_GBK"/>
          <w:b/>
          <w:color w:val="000000"/>
          <w:sz w:val="28"/>
        </w:rPr>
      </w:pPr>
    </w:p>
    <w:p>
      <w:pPr>
        <w:pStyle w:val="28"/>
        <w:ind w:firstLine="560"/>
      </w:pPr>
      <w:r>
        <w:rPr>
          <w:rFonts w:ascii="方正仿宋_GBK" w:hAnsi="方正仿宋_GBK" w:eastAsia="方正仿宋_GBK" w:cs="方正仿宋_GBK"/>
          <w:b/>
          <w:color w:val="000000"/>
          <w:sz w:val="28"/>
        </w:rPr>
        <w:t>4、政府办会议组织和协调运转费绩效目标表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1.保证会议顺利召开,认真做好会议组织和协调运转,将成本控制预算范围内</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开会次数</w:t>
            </w:r>
          </w:p>
        </w:tc>
        <w:tc>
          <w:tcPr>
            <w:tcW w:w="2835" w:type="dxa"/>
            <w:vAlign w:val="center"/>
          </w:tcPr>
          <w:p>
            <w:pPr>
              <w:pStyle w:val="30"/>
            </w:pPr>
            <w:r>
              <w:t>严格执行标准，不得超标</w:t>
            </w:r>
          </w:p>
        </w:tc>
        <w:tc>
          <w:tcPr>
            <w:tcW w:w="2551" w:type="dxa"/>
            <w:vAlign w:val="center"/>
          </w:tcPr>
          <w:p>
            <w:pPr>
              <w:pStyle w:val="30"/>
            </w:pPr>
            <w:r>
              <w:t>100%</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保证会议顺利召开</w:t>
            </w:r>
          </w:p>
        </w:tc>
        <w:tc>
          <w:tcPr>
            <w:tcW w:w="2835" w:type="dxa"/>
            <w:vAlign w:val="center"/>
          </w:tcPr>
          <w:p>
            <w:pPr>
              <w:pStyle w:val="30"/>
            </w:pPr>
            <w:r>
              <w:t>保证会议顺利召开</w:t>
            </w:r>
          </w:p>
        </w:tc>
        <w:tc>
          <w:tcPr>
            <w:tcW w:w="2551" w:type="dxa"/>
            <w:vAlign w:val="center"/>
          </w:tcPr>
          <w:p>
            <w:pPr>
              <w:pStyle w:val="30"/>
            </w:pPr>
            <w:r>
              <w:t>保证会议顺利召开</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会议后勤保障及时率</w:t>
            </w:r>
          </w:p>
        </w:tc>
        <w:tc>
          <w:tcPr>
            <w:tcW w:w="2835" w:type="dxa"/>
            <w:vAlign w:val="center"/>
          </w:tcPr>
          <w:p>
            <w:pPr>
              <w:pStyle w:val="30"/>
            </w:pPr>
            <w:r>
              <w:t>保证会议按时召开</w:t>
            </w:r>
          </w:p>
        </w:tc>
        <w:tc>
          <w:tcPr>
            <w:tcW w:w="2551" w:type="dxa"/>
            <w:vAlign w:val="center"/>
          </w:tcPr>
          <w:p>
            <w:pPr>
              <w:pStyle w:val="30"/>
            </w:pPr>
            <w:r>
              <w:t>保证会议按时召开</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热情服务、节俭办事。</w:t>
            </w:r>
          </w:p>
        </w:tc>
        <w:tc>
          <w:tcPr>
            <w:tcW w:w="2835" w:type="dxa"/>
            <w:vAlign w:val="center"/>
          </w:tcPr>
          <w:p>
            <w:pPr>
              <w:pStyle w:val="30"/>
            </w:pPr>
            <w:r>
              <w:t>热情服务、节俭办事。</w:t>
            </w:r>
          </w:p>
        </w:tc>
        <w:tc>
          <w:tcPr>
            <w:tcW w:w="2551" w:type="dxa"/>
            <w:vAlign w:val="center"/>
          </w:tcPr>
          <w:p>
            <w:pPr>
              <w:pStyle w:val="30"/>
            </w:pPr>
            <w:r>
              <w:t>保证工作需求，尽降量低成本</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效益指标</w:t>
            </w:r>
          </w:p>
        </w:tc>
        <w:tc>
          <w:tcPr>
            <w:tcW w:w="2268" w:type="dxa"/>
            <w:vAlign w:val="center"/>
          </w:tcPr>
          <w:p>
            <w:pPr>
              <w:pStyle w:val="30"/>
            </w:pPr>
            <w:r>
              <w:t>经济效益指标</w:t>
            </w:r>
          </w:p>
        </w:tc>
        <w:tc>
          <w:tcPr>
            <w:tcW w:w="2835" w:type="dxa"/>
            <w:vAlign w:val="center"/>
          </w:tcPr>
          <w:p>
            <w:pPr>
              <w:pStyle w:val="30"/>
            </w:pPr>
            <w:r>
              <w:t>热情服务、节俭办事。</w:t>
            </w:r>
          </w:p>
        </w:tc>
        <w:tc>
          <w:tcPr>
            <w:tcW w:w="2835" w:type="dxa"/>
            <w:vAlign w:val="center"/>
          </w:tcPr>
          <w:p>
            <w:pPr>
              <w:pStyle w:val="30"/>
            </w:pPr>
            <w:r>
              <w:t>热情服务、节俭办事。</w:t>
            </w:r>
          </w:p>
        </w:tc>
        <w:tc>
          <w:tcPr>
            <w:tcW w:w="2551" w:type="dxa"/>
            <w:vAlign w:val="center"/>
          </w:tcPr>
          <w:p>
            <w:pPr>
              <w:pStyle w:val="30"/>
            </w:pPr>
            <w:r>
              <w:t>保证工作需求，尽降量低成本</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社会效益指标</w:t>
            </w:r>
          </w:p>
        </w:tc>
        <w:tc>
          <w:tcPr>
            <w:tcW w:w="2835" w:type="dxa"/>
            <w:vAlign w:val="center"/>
          </w:tcPr>
          <w:p>
            <w:pPr>
              <w:pStyle w:val="30"/>
            </w:pPr>
            <w:r>
              <w:t>保证会议顺利召开</w:t>
            </w:r>
          </w:p>
        </w:tc>
        <w:tc>
          <w:tcPr>
            <w:tcW w:w="2835" w:type="dxa"/>
            <w:vAlign w:val="center"/>
          </w:tcPr>
          <w:p>
            <w:pPr>
              <w:pStyle w:val="30"/>
            </w:pPr>
            <w:r>
              <w:t>保证会议顺利召开</w:t>
            </w:r>
          </w:p>
        </w:tc>
        <w:tc>
          <w:tcPr>
            <w:tcW w:w="2551" w:type="dxa"/>
            <w:vAlign w:val="center"/>
          </w:tcPr>
          <w:p>
            <w:pPr>
              <w:pStyle w:val="30"/>
            </w:pPr>
            <w:r>
              <w:t>≥98%</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生态效益指标</w:t>
            </w:r>
          </w:p>
        </w:tc>
        <w:tc>
          <w:tcPr>
            <w:tcW w:w="2835" w:type="dxa"/>
            <w:vAlign w:val="center"/>
          </w:tcPr>
          <w:p>
            <w:pPr>
              <w:pStyle w:val="30"/>
            </w:pPr>
            <w:r>
              <w:t>保证会议全程绿色环保</w:t>
            </w:r>
          </w:p>
        </w:tc>
        <w:tc>
          <w:tcPr>
            <w:tcW w:w="2835" w:type="dxa"/>
            <w:vAlign w:val="center"/>
          </w:tcPr>
          <w:p>
            <w:pPr>
              <w:pStyle w:val="30"/>
            </w:pPr>
            <w:r>
              <w:t>保证会议全程绿色环保</w:t>
            </w:r>
          </w:p>
        </w:tc>
        <w:tc>
          <w:tcPr>
            <w:tcW w:w="2551" w:type="dxa"/>
            <w:vAlign w:val="center"/>
          </w:tcPr>
          <w:p>
            <w:pPr>
              <w:pStyle w:val="30"/>
            </w:pPr>
            <w:r>
              <w:t>保证会议全程绿色环保</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可持续影响指标</w:t>
            </w:r>
          </w:p>
        </w:tc>
        <w:tc>
          <w:tcPr>
            <w:tcW w:w="2835" w:type="dxa"/>
            <w:vAlign w:val="center"/>
          </w:tcPr>
          <w:p>
            <w:pPr>
              <w:pStyle w:val="30"/>
            </w:pPr>
            <w:r>
              <w:t xml:space="preserve"> 保证全年会议顺利开展</w:t>
            </w:r>
          </w:p>
        </w:tc>
        <w:tc>
          <w:tcPr>
            <w:tcW w:w="2835" w:type="dxa"/>
            <w:vAlign w:val="center"/>
          </w:tcPr>
          <w:p>
            <w:pPr>
              <w:pStyle w:val="30"/>
            </w:pPr>
            <w:r>
              <w:t xml:space="preserve"> 保证全年会议顺利开展</w:t>
            </w:r>
          </w:p>
        </w:tc>
        <w:tc>
          <w:tcPr>
            <w:tcW w:w="2551" w:type="dxa"/>
            <w:vAlign w:val="center"/>
          </w:tcPr>
          <w:p>
            <w:pPr>
              <w:pStyle w:val="30"/>
            </w:pPr>
            <w:r>
              <w:t>≥98%</w:t>
            </w:r>
          </w:p>
        </w:tc>
        <w:tc>
          <w:tcPr>
            <w:tcW w:w="2268" w:type="dxa"/>
            <w:vAlign w:val="center"/>
          </w:tcPr>
          <w:p>
            <w:pPr>
              <w:pStyle w:val="30"/>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会议及时性</w:t>
            </w:r>
          </w:p>
        </w:tc>
        <w:tc>
          <w:tcPr>
            <w:tcW w:w="2835" w:type="dxa"/>
            <w:vAlign w:val="center"/>
          </w:tcPr>
          <w:p>
            <w:pPr>
              <w:pStyle w:val="30"/>
            </w:pPr>
            <w:r>
              <w:t>参会人员的满意程度和后勤保障服务的到位</w:t>
            </w:r>
          </w:p>
        </w:tc>
        <w:tc>
          <w:tcPr>
            <w:tcW w:w="2551" w:type="dxa"/>
            <w:vAlign w:val="center"/>
          </w:tcPr>
          <w:p>
            <w:pPr>
              <w:pStyle w:val="30"/>
            </w:pPr>
            <w:r>
              <w:t>≥98%</w:t>
            </w:r>
          </w:p>
        </w:tc>
        <w:tc>
          <w:tcPr>
            <w:tcW w:w="2268" w:type="dxa"/>
            <w:vAlign w:val="center"/>
          </w:tcPr>
          <w:p>
            <w:pPr>
              <w:pStyle w:val="30"/>
            </w:pPr>
            <w:r>
              <w:t xml:space="preserve"> 调查问卷</w:t>
            </w:r>
          </w:p>
        </w:tc>
      </w:tr>
    </w:tbl>
    <w:p>
      <w:pPr>
        <w:pStyle w:val="28"/>
      </w:pPr>
    </w:p>
    <w:p>
      <w:pPr>
        <w:pStyle w:val="28"/>
      </w:pPr>
    </w:p>
    <w:p>
      <w:pPr>
        <w:pStyle w:val="28"/>
      </w:pPr>
    </w:p>
    <w:p>
      <w:pPr>
        <w:pStyle w:val="28"/>
      </w:pPr>
    </w:p>
    <w:p>
      <w:pPr>
        <w:pStyle w:val="28"/>
      </w:pPr>
    </w:p>
    <w:p>
      <w:pPr>
        <w:pStyle w:val="28"/>
      </w:pPr>
    </w:p>
    <w:p>
      <w:pPr>
        <w:pStyle w:val="28"/>
      </w:pPr>
    </w:p>
    <w:p>
      <w:pPr>
        <w:pStyle w:val="28"/>
      </w:pPr>
    </w:p>
    <w:p>
      <w:pPr>
        <w:pStyle w:val="28"/>
      </w:pPr>
    </w:p>
    <w:p>
      <w:pPr>
        <w:pStyle w:val="28"/>
      </w:pPr>
    </w:p>
    <w:p>
      <w:pPr>
        <w:pStyle w:val="28"/>
        <w:ind w:firstLine="560"/>
      </w:pPr>
      <w:r>
        <w:rPr>
          <w:rFonts w:ascii="方正仿宋_GBK" w:hAnsi="方正仿宋_GBK" w:eastAsia="方正仿宋_GBK" w:cs="方正仿宋_GBK"/>
          <w:b/>
          <w:color w:val="000000"/>
          <w:sz w:val="28"/>
        </w:rPr>
        <w:t>5、政府机关基本运行维护费绩效目标表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1.保障机关干部职工用餐需求，保障机关正常运转</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食材和天然气采购次数</w:t>
            </w:r>
          </w:p>
        </w:tc>
        <w:tc>
          <w:tcPr>
            <w:tcW w:w="2835" w:type="dxa"/>
            <w:vAlign w:val="center"/>
          </w:tcPr>
          <w:p>
            <w:pPr>
              <w:pStyle w:val="30"/>
            </w:pPr>
            <w:r>
              <w:t>食材和天然气采购次数按需进行</w:t>
            </w:r>
          </w:p>
        </w:tc>
        <w:tc>
          <w:tcPr>
            <w:tcW w:w="2551" w:type="dxa"/>
            <w:vAlign w:val="center"/>
          </w:tcPr>
          <w:p>
            <w:pPr>
              <w:pStyle w:val="30"/>
            </w:pPr>
            <w:r>
              <w:t>≥98%</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保证提供足量新鲜食材</w:t>
            </w:r>
          </w:p>
        </w:tc>
        <w:tc>
          <w:tcPr>
            <w:tcW w:w="2835" w:type="dxa"/>
            <w:vAlign w:val="center"/>
          </w:tcPr>
          <w:p>
            <w:pPr>
              <w:pStyle w:val="30"/>
            </w:pPr>
            <w:r>
              <w:t>保证提供足量新鲜食材</w:t>
            </w:r>
          </w:p>
        </w:tc>
        <w:tc>
          <w:tcPr>
            <w:tcW w:w="2551" w:type="dxa"/>
            <w:vAlign w:val="center"/>
          </w:tcPr>
          <w:p>
            <w:pPr>
              <w:pStyle w:val="30"/>
            </w:pPr>
            <w:r>
              <w:t>≥98%</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食堂用餐保障准时，足量</w:t>
            </w:r>
          </w:p>
        </w:tc>
        <w:tc>
          <w:tcPr>
            <w:tcW w:w="2835" w:type="dxa"/>
            <w:vAlign w:val="center"/>
          </w:tcPr>
          <w:p>
            <w:pPr>
              <w:pStyle w:val="30"/>
            </w:pPr>
            <w:r>
              <w:t>食堂用餐保障准时，足量</w:t>
            </w:r>
          </w:p>
        </w:tc>
        <w:tc>
          <w:tcPr>
            <w:tcW w:w="2551" w:type="dxa"/>
            <w:vAlign w:val="center"/>
          </w:tcPr>
          <w:p>
            <w:pPr>
              <w:pStyle w:val="30"/>
            </w:pPr>
            <w:r>
              <w:t>≥98%</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在预算范围内保障机关正常运转</w:t>
            </w:r>
          </w:p>
        </w:tc>
        <w:tc>
          <w:tcPr>
            <w:tcW w:w="2835" w:type="dxa"/>
            <w:vAlign w:val="center"/>
          </w:tcPr>
          <w:p>
            <w:pPr>
              <w:pStyle w:val="30"/>
            </w:pPr>
            <w:r>
              <w:t>在预算范围内保障机关正常运转</w:t>
            </w:r>
          </w:p>
        </w:tc>
        <w:tc>
          <w:tcPr>
            <w:tcW w:w="2551" w:type="dxa"/>
            <w:vAlign w:val="center"/>
          </w:tcPr>
          <w:p>
            <w:pPr>
              <w:pStyle w:val="30"/>
            </w:pPr>
            <w:r>
              <w:t>在预算范围内保障机关正常运转</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效益指标</w:t>
            </w:r>
          </w:p>
        </w:tc>
        <w:tc>
          <w:tcPr>
            <w:tcW w:w="2268" w:type="dxa"/>
            <w:vAlign w:val="center"/>
          </w:tcPr>
          <w:p>
            <w:pPr>
              <w:pStyle w:val="30"/>
            </w:pPr>
            <w:r>
              <w:t>经济效益指标</w:t>
            </w:r>
          </w:p>
        </w:tc>
        <w:tc>
          <w:tcPr>
            <w:tcW w:w="2835" w:type="dxa"/>
            <w:vAlign w:val="center"/>
          </w:tcPr>
          <w:p>
            <w:pPr>
              <w:pStyle w:val="30"/>
            </w:pPr>
            <w:r>
              <w:t>在预算范围内保障机关正常运转</w:t>
            </w:r>
          </w:p>
        </w:tc>
        <w:tc>
          <w:tcPr>
            <w:tcW w:w="2835" w:type="dxa"/>
            <w:vAlign w:val="center"/>
          </w:tcPr>
          <w:p>
            <w:pPr>
              <w:pStyle w:val="30"/>
            </w:pPr>
            <w:r>
              <w:t>在预算范围内保障机关正常运转</w:t>
            </w:r>
          </w:p>
        </w:tc>
        <w:tc>
          <w:tcPr>
            <w:tcW w:w="2551" w:type="dxa"/>
            <w:vAlign w:val="center"/>
          </w:tcPr>
          <w:p>
            <w:pPr>
              <w:pStyle w:val="30"/>
            </w:pPr>
            <w:r>
              <w:t>在预算范围内保障机关正常运转</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社会效益指标</w:t>
            </w:r>
          </w:p>
        </w:tc>
        <w:tc>
          <w:tcPr>
            <w:tcW w:w="2835" w:type="dxa"/>
            <w:vAlign w:val="center"/>
          </w:tcPr>
          <w:p>
            <w:pPr>
              <w:pStyle w:val="30"/>
            </w:pPr>
            <w:r>
              <w:t>食堂的饭菜质量和干部职工的评价.满意度.</w:t>
            </w:r>
          </w:p>
        </w:tc>
        <w:tc>
          <w:tcPr>
            <w:tcW w:w="2835" w:type="dxa"/>
            <w:vAlign w:val="center"/>
          </w:tcPr>
          <w:p>
            <w:pPr>
              <w:pStyle w:val="30"/>
            </w:pPr>
            <w:r>
              <w:t>保障机关干部职工用餐需求，保障机关正常运转</w:t>
            </w:r>
          </w:p>
        </w:tc>
        <w:tc>
          <w:tcPr>
            <w:tcW w:w="2551" w:type="dxa"/>
            <w:vAlign w:val="center"/>
          </w:tcPr>
          <w:p>
            <w:pPr>
              <w:pStyle w:val="30"/>
            </w:pPr>
            <w:r>
              <w:t>≥98%</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生态效益指标</w:t>
            </w:r>
          </w:p>
        </w:tc>
        <w:tc>
          <w:tcPr>
            <w:tcW w:w="2835" w:type="dxa"/>
            <w:vAlign w:val="center"/>
          </w:tcPr>
          <w:p>
            <w:pPr>
              <w:pStyle w:val="30"/>
            </w:pPr>
            <w:r>
              <w:t>保证全程环保无污染</w:t>
            </w:r>
          </w:p>
        </w:tc>
        <w:tc>
          <w:tcPr>
            <w:tcW w:w="2835" w:type="dxa"/>
            <w:vAlign w:val="center"/>
          </w:tcPr>
          <w:p>
            <w:pPr>
              <w:pStyle w:val="30"/>
            </w:pPr>
            <w:r>
              <w:t>保证全程环保无污染</w:t>
            </w:r>
          </w:p>
        </w:tc>
        <w:tc>
          <w:tcPr>
            <w:tcW w:w="2551" w:type="dxa"/>
            <w:vAlign w:val="center"/>
          </w:tcPr>
          <w:p>
            <w:pPr>
              <w:pStyle w:val="30"/>
            </w:pPr>
            <w:r>
              <w:t>保证全程环保无污染</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可持续影响指标</w:t>
            </w:r>
          </w:p>
        </w:tc>
        <w:tc>
          <w:tcPr>
            <w:tcW w:w="2835" w:type="dxa"/>
            <w:vAlign w:val="center"/>
          </w:tcPr>
          <w:p>
            <w:pPr>
              <w:pStyle w:val="30"/>
            </w:pPr>
            <w:r>
              <w:t xml:space="preserve"> 保障全年食堂有序运营</w:t>
            </w:r>
          </w:p>
        </w:tc>
        <w:tc>
          <w:tcPr>
            <w:tcW w:w="2835" w:type="dxa"/>
            <w:vAlign w:val="center"/>
          </w:tcPr>
          <w:p>
            <w:pPr>
              <w:pStyle w:val="30"/>
            </w:pPr>
            <w:r>
              <w:t xml:space="preserve"> 保障全年食堂有序运营</w:t>
            </w:r>
          </w:p>
        </w:tc>
        <w:tc>
          <w:tcPr>
            <w:tcW w:w="2551" w:type="dxa"/>
            <w:vAlign w:val="center"/>
          </w:tcPr>
          <w:p>
            <w:pPr>
              <w:pStyle w:val="30"/>
            </w:pPr>
            <w:r>
              <w:t>≥98%</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服务对象满意度</w:t>
            </w:r>
          </w:p>
        </w:tc>
        <w:tc>
          <w:tcPr>
            <w:tcW w:w="2835" w:type="dxa"/>
            <w:vAlign w:val="center"/>
          </w:tcPr>
          <w:p>
            <w:pPr>
              <w:pStyle w:val="30"/>
            </w:pPr>
            <w:r>
              <w:t>服务对象满意度</w:t>
            </w:r>
          </w:p>
        </w:tc>
        <w:tc>
          <w:tcPr>
            <w:tcW w:w="2551" w:type="dxa"/>
            <w:vAlign w:val="center"/>
          </w:tcPr>
          <w:p>
            <w:pPr>
              <w:pStyle w:val="30"/>
            </w:pPr>
            <w:r>
              <w:t>≥98%</w:t>
            </w:r>
          </w:p>
        </w:tc>
        <w:tc>
          <w:tcPr>
            <w:tcW w:w="2268" w:type="dxa"/>
            <w:vAlign w:val="center"/>
          </w:tcPr>
          <w:p>
            <w:pPr>
              <w:pStyle w:val="30"/>
            </w:pPr>
            <w:r>
              <w:t>调查问卷</w:t>
            </w:r>
          </w:p>
        </w:tc>
      </w:tr>
    </w:tbl>
    <w:p>
      <w:pPr>
        <w:pStyle w:val="28"/>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2022年，石家庄市藁城区机关事务服务中心本级安排政府采购预算0.00万元。具体内容见下表。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430001石家庄市藁城区机关事务服务中心本级</w:t>
            </w:r>
          </w:p>
        </w:tc>
        <w:tc>
          <w:tcPr>
            <w:tcW w:w="8674"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ascii="方正小标宋_GBK" w:hAnsi="方正小标宋_GBK" w:eastAsia="方正小标宋_GBK" w:cs="方正小标宋_GBK"/>
          <w:color w:val="000000"/>
          <w:sz w:val="36"/>
          <w:lang w:val="uk-UA"/>
        </w:rPr>
      </w:pPr>
      <w:r>
        <w:rPr>
          <w:rFonts w:eastAsia="方正仿宋_GBK" w:cs="Times New Roman"/>
          <w:color w:val="000000"/>
          <w:sz w:val="28"/>
        </w:rPr>
        <w:t>石家庄市藁城区机关事务服务中心本级上年末固定资产金额为</w:t>
      </w:r>
      <w:r>
        <w:rPr>
          <w:rFonts w:hint="eastAsia" w:eastAsia="方正仿宋_GBK" w:cs="Times New Roman"/>
          <w:color w:val="000000"/>
          <w:sz w:val="28"/>
        </w:rPr>
        <w:t>6752.5433</w:t>
      </w:r>
      <w:r>
        <w:rPr>
          <w:rFonts w:eastAsia="方正仿宋_GBK" w:cs="Times New Roman"/>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88"/>
        <w:gridCol w:w="57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0" w:hRule="atLeast"/>
          <w:tblHeader/>
          <w:jc w:val="center"/>
        </w:trPr>
        <w:tc>
          <w:tcPr>
            <w:tcW w:w="7488" w:type="dxa"/>
            <w:tcBorders>
              <w:top w:val="single" w:color="FFFFFF" w:sz="6" w:space="0"/>
              <w:left w:val="single" w:color="FFFFFF" w:sz="6" w:space="0"/>
              <w:right w:val="single" w:color="FFFFFF" w:sz="6" w:space="0"/>
            </w:tcBorders>
            <w:vAlign w:val="center"/>
          </w:tcPr>
          <w:p>
            <w:pPr>
              <w:pStyle w:val="13"/>
            </w:pPr>
            <w:r>
              <w:t>430001石家庄市藁城区机关事务服务中心本级</w:t>
            </w:r>
          </w:p>
        </w:tc>
        <w:tc>
          <w:tcPr>
            <w:tcW w:w="5760" w:type="dxa"/>
            <w:tcBorders>
              <w:top w:val="single" w:color="FFFFFF" w:sz="6" w:space="0"/>
              <w:left w:val="single" w:color="FFFFFF" w:sz="6" w:space="0"/>
              <w:right w:val="single" w:color="FFFFFF" w:sz="6" w:space="0"/>
            </w:tcBorders>
            <w:vAlign w:val="center"/>
          </w:tcPr>
          <w:p>
            <w:pPr>
              <w:pStyle w:val="11"/>
            </w:pPr>
            <w:r>
              <w:t>截止时间：2021-12-31</w:t>
            </w:r>
          </w:p>
        </w:tc>
      </w:tr>
    </w:tbl>
    <w:p>
      <w:pPr>
        <w:rPr>
          <w:rFonts w:ascii="方正书宋_GBK" w:hAnsi="方正书宋_GBK" w:eastAsia="方正书宋_GBK" w:cs="方正书宋_GBK"/>
          <w:color w:val="000000"/>
          <w:sz w:val="21"/>
          <w:lang w:val="uk-UA"/>
        </w:rPr>
      </w:pPr>
    </w:p>
    <w:tbl>
      <w:tblPr>
        <w:tblStyle w:val="8"/>
        <w:tblW w:w="13482" w:type="dxa"/>
        <w:tblInd w:w="655"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b/>
                <w:bCs/>
                <w:sz w:val="22"/>
              </w:rPr>
            </w:pPr>
            <w:r>
              <w:rPr>
                <w:rFonts w:hint="eastAsia" w:ascii="宋体" w:hAnsi="宋体" w:cs="宋体"/>
                <w:b/>
                <w:bCs/>
                <w:sz w:val="22"/>
              </w:rPr>
              <w:t>项目</w:t>
            </w:r>
          </w:p>
        </w:tc>
        <w:tc>
          <w:tcPr>
            <w:tcW w:w="3155" w:type="dxa"/>
            <w:tcBorders>
              <w:top w:val="single" w:color="auto" w:sz="4" w:space="0"/>
              <w:left w:val="nil"/>
              <w:bottom w:val="single" w:color="auto" w:sz="4" w:space="0"/>
              <w:right w:val="single" w:color="auto" w:sz="4" w:space="0"/>
            </w:tcBorders>
            <w:vAlign w:val="center"/>
          </w:tcPr>
          <w:p>
            <w:pPr>
              <w:jc w:val="center"/>
              <w:rPr>
                <w:rFonts w:ascii="宋体" w:hAnsi="宋体" w:cs="宋体"/>
                <w:b/>
                <w:bCs/>
                <w:sz w:val="22"/>
              </w:rPr>
            </w:pPr>
            <w:r>
              <w:rPr>
                <w:rFonts w:hint="eastAsia" w:ascii="宋体" w:hAnsi="宋体" w:cs="宋体"/>
                <w:b/>
                <w:bCs/>
                <w:sz w:val="22"/>
              </w:rPr>
              <w:t>数量</w:t>
            </w:r>
          </w:p>
        </w:tc>
        <w:tc>
          <w:tcPr>
            <w:tcW w:w="5103" w:type="dxa"/>
            <w:tcBorders>
              <w:top w:val="single" w:color="auto" w:sz="4" w:space="0"/>
              <w:left w:val="nil"/>
              <w:bottom w:val="single" w:color="auto" w:sz="4" w:space="0"/>
              <w:right w:val="single" w:color="auto" w:sz="4" w:space="0"/>
            </w:tcBorders>
            <w:vAlign w:val="center"/>
          </w:tcPr>
          <w:p>
            <w:pPr>
              <w:jc w:val="center"/>
              <w:rPr>
                <w:rFonts w:ascii="宋体" w:hAnsi="宋体" w:cs="宋体"/>
                <w:b/>
                <w:bCs/>
                <w:sz w:val="22"/>
              </w:rPr>
            </w:pPr>
            <w:r>
              <w:rPr>
                <w:rFonts w:hint="eastAsia" w:ascii="宋体" w:hAnsi="宋体" w:cs="宋体"/>
                <w:b/>
                <w:bCs/>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jc w:val="center"/>
              <w:rPr>
                <w:rFonts w:eastAsia="仿宋" w:cs="Times New Roman"/>
                <w:sz w:val="22"/>
              </w:rPr>
            </w:pPr>
            <w:r>
              <w:rPr>
                <w:rFonts w:eastAsia="仿宋" w:cs="Times New Roman"/>
                <w:sz w:val="22"/>
              </w:rPr>
              <w:t>资产总额</w:t>
            </w:r>
          </w:p>
        </w:tc>
        <w:tc>
          <w:tcPr>
            <w:tcW w:w="3155" w:type="dxa"/>
            <w:tcBorders>
              <w:top w:val="nil"/>
              <w:left w:val="nil"/>
              <w:bottom w:val="single" w:color="auto" w:sz="4" w:space="0"/>
              <w:right w:val="single" w:color="auto" w:sz="4" w:space="0"/>
            </w:tcBorders>
            <w:vAlign w:val="center"/>
          </w:tcPr>
          <w:p>
            <w:pPr>
              <w:jc w:val="center"/>
              <w:rPr>
                <w:rFonts w:eastAsia="仿宋" w:cs="Times New Roman"/>
                <w:sz w:val="22"/>
              </w:rPr>
            </w:pPr>
            <w:r>
              <w:rPr>
                <w:rFonts w:eastAsia="仿宋" w:cs="Times New Roman"/>
                <w:sz w:val="22"/>
              </w:rPr>
              <w:t>——</w:t>
            </w:r>
          </w:p>
        </w:tc>
        <w:tc>
          <w:tcPr>
            <w:tcW w:w="5103" w:type="dxa"/>
            <w:tcBorders>
              <w:top w:val="nil"/>
              <w:left w:val="nil"/>
              <w:bottom w:val="single" w:color="auto" w:sz="4" w:space="0"/>
              <w:right w:val="single" w:color="auto" w:sz="4" w:space="0"/>
            </w:tcBorders>
          </w:tcPr>
          <w:p>
            <w:pPr>
              <w:pStyle w:val="39"/>
              <w:jc w:val="center"/>
              <w:rPr>
                <w:rFonts w:ascii="仿宋" w:hAnsi="仿宋" w:eastAsia="仿宋"/>
                <w:szCs w:val="24"/>
                <w:lang w:eastAsia="zh-CN"/>
              </w:rPr>
            </w:pPr>
            <w:r>
              <w:rPr>
                <w:rFonts w:hint="eastAsia" w:ascii="仿宋" w:hAnsi="仿宋" w:eastAsia="仿宋"/>
                <w:szCs w:val="24"/>
                <w:lang w:eastAsia="zh-CN"/>
              </w:rPr>
              <w:t>6752.5433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cs="Times New Roman"/>
                <w:sz w:val="22"/>
              </w:rPr>
            </w:pPr>
            <w:r>
              <w:rPr>
                <w:rFonts w:eastAsia="仿宋" w:cs="Times New Roman"/>
                <w:sz w:val="22"/>
              </w:rPr>
              <w:t>1、房屋（平方米）</w:t>
            </w:r>
          </w:p>
        </w:tc>
        <w:tc>
          <w:tcPr>
            <w:tcW w:w="3155" w:type="dxa"/>
            <w:tcBorders>
              <w:top w:val="nil"/>
              <w:left w:val="nil"/>
              <w:bottom w:val="single" w:color="auto" w:sz="4" w:space="0"/>
              <w:right w:val="single" w:color="auto" w:sz="4" w:space="0"/>
            </w:tcBorders>
            <w:vAlign w:val="center"/>
          </w:tcPr>
          <w:p>
            <w:pPr>
              <w:jc w:val="center"/>
              <w:rPr>
                <w:rFonts w:eastAsia="仿宋" w:cs="Times New Roman"/>
                <w:sz w:val="22"/>
              </w:rPr>
            </w:pPr>
            <w:r>
              <w:rPr>
                <w:rFonts w:hint="eastAsia" w:ascii="宋体" w:hAnsi="宋体" w:cs="Arial"/>
                <w:color w:val="000000"/>
                <w:sz w:val="22"/>
              </w:rPr>
              <w:t>37,677.00</w:t>
            </w:r>
          </w:p>
        </w:tc>
        <w:tc>
          <w:tcPr>
            <w:tcW w:w="5103" w:type="dxa"/>
            <w:tcBorders>
              <w:top w:val="nil"/>
              <w:left w:val="nil"/>
              <w:bottom w:val="single" w:color="auto" w:sz="4" w:space="0"/>
              <w:right w:val="single" w:color="auto" w:sz="4" w:space="0"/>
            </w:tcBorders>
          </w:tcPr>
          <w:p>
            <w:pPr>
              <w:pStyle w:val="39"/>
              <w:rPr>
                <w:rFonts w:ascii="仿宋" w:hAnsi="仿宋" w:eastAsia="仿宋"/>
                <w:szCs w:val="24"/>
                <w:lang w:eastAsia="zh-CN"/>
              </w:rPr>
            </w:pPr>
            <w:r>
              <w:rPr>
                <w:rFonts w:hint="eastAsia" w:ascii="仿宋" w:hAnsi="仿宋" w:eastAsia="仿宋"/>
                <w:szCs w:val="24"/>
                <w:lang w:eastAsia="zh-CN"/>
              </w:rPr>
              <w:t>5376.4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cs="Times New Roman"/>
                <w:sz w:val="22"/>
              </w:rPr>
            </w:pPr>
            <w:r>
              <w:rPr>
                <w:rFonts w:eastAsia="仿宋" w:cs="Times New Roman"/>
                <w:sz w:val="22"/>
              </w:rPr>
              <w:t>其中：办公用房（平方米）</w:t>
            </w:r>
          </w:p>
        </w:tc>
        <w:tc>
          <w:tcPr>
            <w:tcW w:w="3155" w:type="dxa"/>
            <w:tcBorders>
              <w:top w:val="nil"/>
              <w:left w:val="nil"/>
              <w:bottom w:val="single" w:color="auto" w:sz="4" w:space="0"/>
              <w:right w:val="single" w:color="auto" w:sz="4" w:space="0"/>
            </w:tcBorders>
            <w:vAlign w:val="center"/>
          </w:tcPr>
          <w:p>
            <w:pPr>
              <w:jc w:val="center"/>
              <w:rPr>
                <w:rFonts w:eastAsia="仿宋" w:cs="Times New Roman"/>
                <w:sz w:val="22"/>
              </w:rPr>
            </w:pPr>
            <w:r>
              <w:rPr>
                <w:rFonts w:hint="eastAsia" w:ascii="宋体" w:hAnsi="宋体" w:cs="Arial"/>
                <w:color w:val="000000"/>
                <w:sz w:val="22"/>
              </w:rPr>
              <w:t>35,093.00</w:t>
            </w:r>
          </w:p>
        </w:tc>
        <w:tc>
          <w:tcPr>
            <w:tcW w:w="5103" w:type="dxa"/>
            <w:tcBorders>
              <w:top w:val="nil"/>
              <w:left w:val="nil"/>
              <w:bottom w:val="single" w:color="auto" w:sz="4" w:space="0"/>
              <w:right w:val="single" w:color="auto" w:sz="4" w:space="0"/>
            </w:tcBorders>
          </w:tcPr>
          <w:p>
            <w:pPr>
              <w:pStyle w:val="39"/>
              <w:rPr>
                <w:rFonts w:ascii="仿宋" w:hAnsi="仿宋" w:eastAsia="仿宋"/>
                <w:szCs w:val="24"/>
                <w:lang w:eastAsia="zh-CN"/>
              </w:rPr>
            </w:pPr>
            <w:r>
              <w:rPr>
                <w:rFonts w:hint="eastAsia" w:ascii="仿宋" w:hAnsi="仿宋" w:eastAsia="仿宋"/>
                <w:szCs w:val="24"/>
                <w:lang w:eastAsia="zh-CN"/>
              </w:rPr>
              <w:t>5376.4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cs="Times New Roman"/>
                <w:sz w:val="22"/>
              </w:rPr>
            </w:pPr>
            <w:r>
              <w:rPr>
                <w:rFonts w:eastAsia="仿宋" w:cs="Times New Roman"/>
                <w:sz w:val="22"/>
              </w:rPr>
              <w:t>2、车辆（台、辆）</w:t>
            </w:r>
          </w:p>
        </w:tc>
        <w:tc>
          <w:tcPr>
            <w:tcW w:w="3155" w:type="dxa"/>
            <w:tcBorders>
              <w:top w:val="nil"/>
              <w:left w:val="nil"/>
              <w:bottom w:val="single" w:color="auto" w:sz="4" w:space="0"/>
              <w:right w:val="single" w:color="auto" w:sz="4" w:space="0"/>
            </w:tcBorders>
            <w:vAlign w:val="center"/>
          </w:tcPr>
          <w:p>
            <w:pPr>
              <w:jc w:val="center"/>
              <w:rPr>
                <w:rFonts w:eastAsia="仿宋" w:cs="Times New Roman"/>
                <w:sz w:val="22"/>
              </w:rPr>
            </w:pPr>
            <w:r>
              <w:rPr>
                <w:rFonts w:hint="eastAsia" w:eastAsia="仿宋" w:cs="Times New Roman"/>
                <w:sz w:val="22"/>
              </w:rPr>
              <w:t>23</w:t>
            </w:r>
          </w:p>
        </w:tc>
        <w:tc>
          <w:tcPr>
            <w:tcW w:w="5103" w:type="dxa"/>
            <w:tcBorders>
              <w:top w:val="nil"/>
              <w:left w:val="nil"/>
              <w:bottom w:val="single" w:color="auto" w:sz="4" w:space="0"/>
              <w:right w:val="single" w:color="auto" w:sz="4" w:space="0"/>
            </w:tcBorders>
          </w:tcPr>
          <w:p>
            <w:pPr>
              <w:pStyle w:val="39"/>
              <w:rPr>
                <w:rFonts w:ascii="仿宋" w:hAnsi="仿宋" w:eastAsia="仿宋"/>
                <w:szCs w:val="24"/>
                <w:lang w:eastAsia="zh-CN"/>
              </w:rPr>
            </w:pPr>
            <w:r>
              <w:rPr>
                <w:rFonts w:hint="eastAsia" w:ascii="仿宋" w:hAnsi="仿宋" w:eastAsia="仿宋"/>
                <w:szCs w:val="24"/>
                <w:lang w:eastAsia="zh-CN"/>
              </w:rPr>
              <w:t>259.09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cs="Times New Roman"/>
                <w:sz w:val="22"/>
              </w:rPr>
            </w:pPr>
            <w:r>
              <w:rPr>
                <w:rFonts w:eastAsia="仿宋" w:cs="Times New Roman"/>
                <w:sz w:val="22"/>
              </w:rPr>
              <w:t>3、单价在20万元以上设备</w:t>
            </w:r>
          </w:p>
        </w:tc>
        <w:tc>
          <w:tcPr>
            <w:tcW w:w="3155" w:type="dxa"/>
            <w:tcBorders>
              <w:top w:val="nil"/>
              <w:left w:val="nil"/>
              <w:bottom w:val="single" w:color="auto" w:sz="4" w:space="0"/>
              <w:right w:val="single" w:color="auto" w:sz="4" w:space="0"/>
            </w:tcBorders>
            <w:vAlign w:val="center"/>
          </w:tcPr>
          <w:p>
            <w:pPr>
              <w:jc w:val="center"/>
              <w:rPr>
                <w:rFonts w:eastAsia="仿宋" w:cs="Times New Roman"/>
                <w:sz w:val="22"/>
              </w:rPr>
            </w:pPr>
          </w:p>
        </w:tc>
        <w:tc>
          <w:tcPr>
            <w:tcW w:w="5103" w:type="dxa"/>
            <w:tcBorders>
              <w:top w:val="nil"/>
              <w:left w:val="nil"/>
              <w:bottom w:val="single" w:color="auto" w:sz="4" w:space="0"/>
              <w:right w:val="single" w:color="auto" w:sz="4" w:space="0"/>
            </w:tcBorders>
          </w:tcPr>
          <w:p>
            <w:pPr>
              <w:pStyle w:val="39"/>
              <w:rPr>
                <w:rFonts w:ascii="仿宋" w:hAnsi="仿宋" w:eastAsia="仿宋"/>
                <w:szCs w:val="24"/>
                <w:lang w:eastAsia="zh-CN"/>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cs="Times New Roman"/>
                <w:sz w:val="22"/>
              </w:rPr>
            </w:pPr>
            <w:r>
              <w:rPr>
                <w:rFonts w:eastAsia="仿宋" w:cs="Times New Roman"/>
                <w:sz w:val="22"/>
              </w:rPr>
              <w:t>4、其他固定资产</w:t>
            </w:r>
          </w:p>
        </w:tc>
        <w:tc>
          <w:tcPr>
            <w:tcW w:w="3155" w:type="dxa"/>
            <w:tcBorders>
              <w:top w:val="nil"/>
              <w:left w:val="nil"/>
              <w:bottom w:val="single" w:color="auto" w:sz="4" w:space="0"/>
              <w:right w:val="single" w:color="auto" w:sz="4" w:space="0"/>
            </w:tcBorders>
            <w:vAlign w:val="center"/>
          </w:tcPr>
          <w:p>
            <w:pPr>
              <w:jc w:val="center"/>
              <w:rPr>
                <w:rFonts w:eastAsia="仿宋" w:cs="Times New Roman"/>
                <w:sz w:val="22"/>
              </w:rPr>
            </w:pPr>
          </w:p>
        </w:tc>
        <w:tc>
          <w:tcPr>
            <w:tcW w:w="5103" w:type="dxa"/>
            <w:tcBorders>
              <w:top w:val="nil"/>
              <w:left w:val="nil"/>
              <w:bottom w:val="single" w:color="auto" w:sz="4" w:space="0"/>
              <w:right w:val="single" w:color="auto" w:sz="4" w:space="0"/>
            </w:tcBorders>
          </w:tcPr>
          <w:p>
            <w:pPr>
              <w:pStyle w:val="39"/>
              <w:rPr>
                <w:rFonts w:ascii="仿宋" w:hAnsi="仿宋" w:eastAsia="仿宋"/>
                <w:szCs w:val="24"/>
                <w:lang w:eastAsia="zh-CN"/>
              </w:rPr>
            </w:pPr>
            <w:r>
              <w:rPr>
                <w:rFonts w:hint="eastAsia" w:ascii="仿宋" w:hAnsi="仿宋" w:eastAsia="仿宋"/>
                <w:szCs w:val="24"/>
                <w:lang w:eastAsia="zh-CN"/>
              </w:rPr>
              <w:t>1117.0533</w:t>
            </w:r>
          </w:p>
        </w:tc>
      </w:tr>
    </w:tbl>
    <w:p>
      <w:pPr>
        <w:ind w:firstLine="420"/>
        <w:rPr>
          <w:lang w:val="uk-UA"/>
        </w:rPr>
      </w:pPr>
    </w:p>
    <w:p>
      <w:pPr>
        <w:ind w:firstLine="640"/>
        <w:rPr>
          <w:rFonts w:eastAsia="方正仿宋_GBK" w:cs="Times New Roman"/>
          <w:color w:val="000000"/>
          <w:sz w:val="32"/>
        </w:rPr>
      </w:pPr>
      <w:r>
        <w:rPr>
          <w:rFonts w:eastAsia="方正仿宋_GBK" w:cs="Times New Roman"/>
          <w:color w:val="000000"/>
          <w:sz w:val="32"/>
        </w:rPr>
        <w:t xml:space="preserve"> </w:t>
      </w:r>
    </w:p>
    <w:p>
      <w:pPr>
        <w:ind w:firstLine="640"/>
        <w:rPr>
          <w:rFonts w:eastAsia="方正仿宋_GBK" w:cs="Times New Roman"/>
          <w:color w:val="000000"/>
          <w:sz w:val="32"/>
        </w:rPr>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区县级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区县级</w:t>
      </w:r>
      <w:r>
        <w:rPr>
          <w:rFonts w:eastAsia="方正仿宋_GBK" w:cs="Times New Roman"/>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部门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C60460F"/>
    <w:multiLevelType w:val="singleLevel"/>
    <w:tmpl w:val="4C60460F"/>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gyODMyNjcxM2Q1NWQ3NTZjOTBiNjUwYWY2YzY5NTAifQ=="/>
  </w:docVars>
  <w:rsids>
    <w:rsidRoot w:val="00F96E8D"/>
    <w:rsid w:val="0025765B"/>
    <w:rsid w:val="00322CD1"/>
    <w:rsid w:val="007547BE"/>
    <w:rsid w:val="00F96E8D"/>
    <w:rsid w:val="0745530D"/>
    <w:rsid w:val="147969E8"/>
    <w:rsid w:val="20362A4E"/>
    <w:rsid w:val="22DF43E8"/>
    <w:rsid w:val="30AF4A38"/>
    <w:rsid w:val="31293F09"/>
    <w:rsid w:val="35B7459E"/>
    <w:rsid w:val="49895C14"/>
    <w:rsid w:val="4AA46683"/>
    <w:rsid w:val="4BAB3A41"/>
    <w:rsid w:val="7618397F"/>
    <w:rsid w:val="7F002A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paragraph" w:styleId="2">
    <w:name w:val="heading 1"/>
    <w:basedOn w:val="1"/>
    <w:next w:val="1"/>
    <w:qFormat/>
    <w:uiPriority w:val="9"/>
    <w:pPr>
      <w:keepNext/>
      <w:keepLines/>
      <w:spacing w:before="340" w:beforeLines="0" w:beforeAutospacing="0" w:after="330" w:afterLines="0" w:afterAutospacing="0" w:line="576" w:lineRule="auto"/>
      <w:outlineLvl w:val="0"/>
    </w:pPr>
    <w:rPr>
      <w:b/>
      <w:kern w:val="44"/>
      <w:sz w:val="44"/>
    </w:rPr>
  </w:style>
  <w:style w:type="character" w:default="1" w:styleId="10">
    <w:name w:val="Default Paragraph Font"/>
    <w:semiHidden/>
    <w:unhideWhenUsed/>
    <w:qFormat/>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3">
    <w:name w:val="toc 3"/>
    <w:basedOn w:val="1"/>
    <w:next w:val="1"/>
    <w:qFormat/>
    <w:uiPriority w:val="0"/>
    <w:pPr>
      <w:ind w:left="480"/>
    </w:pPr>
  </w:style>
  <w:style w:type="paragraph" w:styleId="4">
    <w:name w:val="footer"/>
    <w:basedOn w:val="1"/>
    <w:link w:val="37"/>
    <w:qFormat/>
    <w:uiPriority w:val="0"/>
    <w:pPr>
      <w:widowControl w:val="0"/>
      <w:tabs>
        <w:tab w:val="center" w:pos="4153"/>
        <w:tab w:val="right" w:pos="8306"/>
      </w:tabs>
      <w:snapToGrid w:val="0"/>
    </w:pPr>
    <w:rPr>
      <w:rFonts w:eastAsia="宋体" w:cs="Times New Roman"/>
      <w:kern w:val="2"/>
      <w:sz w:val="18"/>
      <w:szCs w:val="18"/>
      <w:lang w:eastAsia="zh-CN"/>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Normal_8b4f2aa5-1cb9-4b0c-908e-c4b88fb15158"/>
    <w:qFormat/>
    <w:uiPriority w:val="0"/>
    <w:rPr>
      <w:rFonts w:ascii="Times New Roman" w:hAnsi="Times New Roman" w:eastAsia="Times New Roman" w:cstheme="minorBidi"/>
      <w:sz w:val="24"/>
      <w:szCs w:val="24"/>
      <w:lang w:val="en-US" w:eastAsia="uk-UA" w:bidi="ar-SA"/>
    </w:rPr>
  </w:style>
  <w:style w:type="paragraph" w:customStyle="1" w:styleId="29">
    <w:name w:val="单元格样式1_b9d52322-dd40-4292-bed8-e6b05314129a"/>
    <w:basedOn w:val="1"/>
    <w:qFormat/>
    <w:uiPriority w:val="0"/>
    <w:pPr>
      <w:jc w:val="center"/>
    </w:pPr>
    <w:rPr>
      <w:rFonts w:ascii="方正书宋_GBK" w:hAnsi="方正书宋_GBK" w:eastAsia="方正书宋_GBK" w:cs="方正书宋_GBK"/>
      <w:b/>
      <w:sz w:val="21"/>
    </w:rPr>
  </w:style>
  <w:style w:type="paragraph" w:customStyle="1" w:styleId="30">
    <w:name w:val="单元格样式2_fb348547-183a-463b-926d-d846db69ed13"/>
    <w:basedOn w:val="1"/>
    <w:qFormat/>
    <w:uiPriority w:val="0"/>
    <w:rPr>
      <w:rFonts w:ascii="方正书宋_GBK" w:hAnsi="方正书宋_GBK" w:eastAsia="方正书宋_GBK" w:cs="方正书宋_GBK"/>
      <w:sz w:val="21"/>
    </w:rPr>
  </w:style>
  <w:style w:type="paragraph" w:customStyle="1" w:styleId="31">
    <w:name w:val="单元格样式3_c8b1644d-1241-4595-a7ca-eacb0e01e9bf"/>
    <w:basedOn w:val="1"/>
    <w:qFormat/>
    <w:uiPriority w:val="0"/>
    <w:pPr>
      <w:jc w:val="center"/>
    </w:pPr>
    <w:rPr>
      <w:rFonts w:ascii="方正书宋_GBK" w:hAnsi="方正书宋_GBK" w:eastAsia="方正书宋_GBK" w:cs="方正书宋_GBK"/>
      <w:sz w:val="21"/>
    </w:rPr>
  </w:style>
  <w:style w:type="paragraph" w:customStyle="1" w:styleId="32">
    <w:name w:val="单元格样式23"/>
    <w:basedOn w:val="1"/>
    <w:qFormat/>
    <w:uiPriority w:val="0"/>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4">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5">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6">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7">
    <w:name w:val="页脚 字符"/>
    <w:basedOn w:val="10"/>
    <w:link w:val="4"/>
    <w:qFormat/>
    <w:uiPriority w:val="0"/>
    <w:rPr>
      <w:rFonts w:ascii="Times New Roman" w:hAnsi="Times New Roman" w:eastAsia="宋体" w:cs="Times New Roman"/>
      <w:kern w:val="2"/>
      <w:sz w:val="18"/>
      <w:szCs w:val="18"/>
    </w:rPr>
  </w:style>
  <w:style w:type="character" w:customStyle="1" w:styleId="38">
    <w:name w:val="font21"/>
    <w:basedOn w:val="10"/>
    <w:qFormat/>
    <w:uiPriority w:val="0"/>
    <w:rPr>
      <w:rFonts w:hint="eastAsia" w:ascii="宋体" w:hAnsi="宋体" w:eastAsia="宋体" w:cs="宋体"/>
      <w:b/>
      <w:color w:val="000000"/>
      <w:sz w:val="20"/>
      <w:szCs w:val="20"/>
      <w:u w:val="none"/>
    </w:rPr>
  </w:style>
  <w:style w:type="paragraph" w:customStyle="1" w:styleId="39">
    <w:name w:val="[Normal]"/>
    <w:qFormat/>
    <w:uiPriority w:val="0"/>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2022-02-14T17:41:09Z</dcterms:created>
  <dcterms:modified xsi:type="dcterms:W3CDTF">2022-02-14T09:41:09Z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2022-02-14T17:41:07Z</dcterms:created>
  <dcterms:modified xsi:type="dcterms:W3CDTF">2022-02-14T09:41:06Z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2022-02-14T17:41:14Z</dcterms:created>
  <dcterms:modified xsi:type="dcterms:W3CDTF">2022-02-14T09:41:14Z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2022-02-14T17:41:16Z</dcterms:created>
  <dcterms:modified xsi:type="dcterms:W3CDTF">2022-02-14T09:41:16Z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49A496E-C25E-4905-BC32-F879A7C47036}">
  <ds:schemaRefs/>
</ds:datastoreItem>
</file>

<file path=customXml/itemProps2.xml><?xml version="1.0" encoding="utf-8"?>
<ds:datastoreItem xmlns:ds="http://schemas.openxmlformats.org/officeDocument/2006/customXml" ds:itemID="{74748DD8-4A32-4310-BA3E-177EDABB86E8}">
  <ds:schemaRefs/>
</ds:datastoreItem>
</file>

<file path=customXml/itemProps3.xml><?xml version="1.0" encoding="utf-8"?>
<ds:datastoreItem xmlns:ds="http://schemas.openxmlformats.org/officeDocument/2006/customXml" ds:itemID="{D5E8B885-A99A-4A2E-8B24-955D2C55EC54}">
  <ds:schemaRefs/>
</ds:datastoreItem>
</file>

<file path=customXml/itemProps4.xml><?xml version="1.0" encoding="utf-8"?>
<ds:datastoreItem xmlns:ds="http://schemas.openxmlformats.org/officeDocument/2006/customXml" ds:itemID="{05ADC7CD-D46C-44E0-8D21-6183EBDF6599}">
  <ds:schemaRefs/>
</ds:datastoreItem>
</file>

<file path=customXml/itemProps5.xml><?xml version="1.0" encoding="utf-8"?>
<ds:datastoreItem xmlns:ds="http://schemas.openxmlformats.org/officeDocument/2006/customXml" ds:itemID="{4A36EFE3-1AAA-4311-A61C-34FD03851DAA}">
  <ds:schemaRefs/>
</ds:datastoreItem>
</file>

<file path=customXml/itemProps6.xml><?xml version="1.0" encoding="utf-8"?>
<ds:datastoreItem xmlns:ds="http://schemas.openxmlformats.org/officeDocument/2006/customXml" ds:itemID="{66150772-EC7E-487E-AD24-05F880832A40}">
  <ds:schemaRefs/>
</ds:datastoreItem>
</file>

<file path=customXml/itemProps7.xml><?xml version="1.0" encoding="utf-8"?>
<ds:datastoreItem xmlns:ds="http://schemas.openxmlformats.org/officeDocument/2006/customXml" ds:itemID="{C996A774-FFD3-444F-ABA2-13E2075C2791}">
  <ds:schemaRefs/>
</ds:datastoreItem>
</file>

<file path=customXml/itemProps8.xml><?xml version="1.0" encoding="utf-8"?>
<ds:datastoreItem xmlns:ds="http://schemas.openxmlformats.org/officeDocument/2006/customXml" ds:itemID="{F65FE42D-E3F8-49F6-967E-C2038031CDE9}">
  <ds:schemaRefs/>
</ds:datastoreItem>
</file>

<file path=docProps/app.xml><?xml version="1.0" encoding="utf-8"?>
<Properties xmlns="http://schemas.openxmlformats.org/officeDocument/2006/extended-properties" xmlns:vt="http://schemas.openxmlformats.org/officeDocument/2006/docPropsVTypes">
  <Template>Normal</Template>
  <Pages>54</Pages>
  <Words>15648</Words>
  <Characters>17689</Characters>
  <Lines>163</Lines>
  <Paragraphs>46</Paragraphs>
  <TotalTime>7</TotalTime>
  <ScaleCrop>false</ScaleCrop>
  <LinksUpToDate>false</LinksUpToDate>
  <CharactersWithSpaces>18083</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2022-06-26T15:36:00Z</dcterms:created>
  <dc:creator>123</dc:creator>
  <cp:lastModifiedBy>浮生若梦亦是梦</cp:lastModifiedBy>
  <dcterms:modified xsi:type="dcterms:W3CDTF">2023-09-04T05:41:25Z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BEB7C363BCCA457BB8D29BF18B2EBBAF</vt:lpwstr>
  </property>
</Properties>
</file>