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rPr>
          <w:rFonts w:ascii="黑体" w:hAnsi="黑体" w:eastAsia="黑体" w:cs="黑体"/>
          <w:b/>
          <w:color w:val="000000"/>
          <w:sz w:val="44"/>
        </w:rPr>
      </w:pPr>
      <w:r>
        <w:rPr>
          <w:rFonts w:hint="eastAsia" w:ascii="黑体" w:hAnsi="黑体" w:eastAsia="黑体" w:cs="黑体"/>
          <w:b/>
          <w:color w:val="000000"/>
          <w:sz w:val="44"/>
          <w:lang w:val="en-US" w:eastAsia="zh-CN"/>
        </w:rPr>
        <w:t>石家庄市藁城区机关事务服务中心部门2022年度预算公开</w:t>
      </w:r>
      <w:r>
        <w:rPr>
          <w:rFonts w:ascii="黑体" w:hAnsi="黑体" w:eastAsia="黑体" w:cs="黑体"/>
          <w:b/>
          <w:color w:val="000000"/>
          <w:sz w:val="30"/>
        </w:rPr>
        <w:t xml:space="preserve"> </w:t>
      </w:r>
    </w:p>
    <w:p>
      <w:pPr>
        <w:jc w:val="center"/>
        <w:outlineLvl w:val="0"/>
      </w:pPr>
      <w:r>
        <w:rPr>
          <w:rFonts w:ascii="黑体" w:hAnsi="黑体" w:eastAsia="黑体" w:cs="黑体"/>
          <w:b/>
          <w:color w:val="000000"/>
          <w:sz w:val="44"/>
        </w:rPr>
        <w:t>2022年部门预算信息公开目录</w:t>
      </w:r>
      <w:bookmarkStart w:id="18" w:name="_GoBack"/>
      <w:bookmarkEnd w:id="18"/>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_Toc29029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_Toc29029 \h </w:instrText>
      </w:r>
      <w:r>
        <w:fldChar w:fldCharType="separate"/>
      </w:r>
      <w:r>
        <w:t>3</w:t>
      </w:r>
      <w:r>
        <w:fldChar w:fldCharType="end"/>
      </w:r>
      <w:r>
        <w:fldChar w:fldCharType="end"/>
      </w:r>
    </w:p>
    <w:p>
      <w:pPr>
        <w:pStyle w:val="4"/>
        <w:tabs>
          <w:tab w:val="right" w:leader="dot" w:pos="14800"/>
        </w:tabs>
      </w:pPr>
      <w:r>
        <w:fldChar w:fldCharType="begin"/>
      </w:r>
      <w:r>
        <w:instrText xml:space="preserve"> HYPERLINK \l _Toc11960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_Toc11960 \h </w:instrText>
      </w:r>
      <w:r>
        <w:fldChar w:fldCharType="separate"/>
      </w:r>
      <w:r>
        <w:t>5</w:t>
      </w:r>
      <w:r>
        <w:fldChar w:fldCharType="end"/>
      </w:r>
      <w:r>
        <w:fldChar w:fldCharType="end"/>
      </w:r>
    </w:p>
    <w:p>
      <w:pPr>
        <w:pStyle w:val="4"/>
        <w:tabs>
          <w:tab w:val="right" w:leader="dot" w:pos="14800"/>
        </w:tabs>
      </w:pPr>
      <w:r>
        <w:fldChar w:fldCharType="begin"/>
      </w:r>
      <w:r>
        <w:instrText xml:space="preserve"> HYPERLINK \l _Toc20727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_Toc20727 \h </w:instrText>
      </w:r>
      <w:r>
        <w:fldChar w:fldCharType="separate"/>
      </w:r>
      <w:r>
        <w:t>6</w:t>
      </w:r>
      <w:r>
        <w:fldChar w:fldCharType="end"/>
      </w:r>
      <w:r>
        <w:fldChar w:fldCharType="end"/>
      </w:r>
    </w:p>
    <w:p>
      <w:pPr>
        <w:pStyle w:val="4"/>
        <w:tabs>
          <w:tab w:val="right" w:leader="dot" w:pos="14800"/>
        </w:tabs>
      </w:pPr>
      <w:r>
        <w:fldChar w:fldCharType="begin"/>
      </w:r>
      <w:r>
        <w:instrText xml:space="preserve"> HYPERLINK \l _Toc27270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_Toc27270 \h </w:instrText>
      </w:r>
      <w:r>
        <w:fldChar w:fldCharType="separate"/>
      </w:r>
      <w:r>
        <w:t>7</w:t>
      </w:r>
      <w:r>
        <w:fldChar w:fldCharType="end"/>
      </w:r>
      <w:r>
        <w:fldChar w:fldCharType="end"/>
      </w:r>
    </w:p>
    <w:p>
      <w:pPr>
        <w:pStyle w:val="4"/>
        <w:tabs>
          <w:tab w:val="right" w:leader="dot" w:pos="14800"/>
        </w:tabs>
      </w:pPr>
      <w:r>
        <w:fldChar w:fldCharType="begin"/>
      </w:r>
      <w:r>
        <w:instrText xml:space="preserve"> HYPERLINK \l _Toc12327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_Toc12327 \h </w:instrText>
      </w:r>
      <w:r>
        <w:fldChar w:fldCharType="separate"/>
      </w:r>
      <w:r>
        <w:t>10</w:t>
      </w:r>
      <w:r>
        <w:fldChar w:fldCharType="end"/>
      </w:r>
      <w:r>
        <w:fldChar w:fldCharType="end"/>
      </w:r>
    </w:p>
    <w:p>
      <w:pPr>
        <w:pStyle w:val="4"/>
        <w:tabs>
          <w:tab w:val="right" w:leader="dot" w:pos="14800"/>
        </w:tabs>
      </w:pPr>
      <w:r>
        <w:fldChar w:fldCharType="begin"/>
      </w:r>
      <w:r>
        <w:instrText xml:space="preserve"> HYPERLINK \l _Toc11975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_Toc11975 \h </w:instrText>
      </w:r>
      <w:r>
        <w:fldChar w:fldCharType="separate"/>
      </w:r>
      <w:r>
        <w:t>11</w:t>
      </w:r>
      <w:r>
        <w:fldChar w:fldCharType="end"/>
      </w:r>
      <w:r>
        <w:fldChar w:fldCharType="end"/>
      </w:r>
    </w:p>
    <w:p>
      <w:pPr>
        <w:pStyle w:val="4"/>
        <w:tabs>
          <w:tab w:val="right" w:leader="dot" w:pos="14800"/>
        </w:tabs>
      </w:pPr>
      <w:r>
        <w:fldChar w:fldCharType="begin"/>
      </w:r>
      <w:r>
        <w:instrText xml:space="preserve"> HYPERLINK \l _Toc28942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_Toc28942 \h </w:instrText>
      </w:r>
      <w:r>
        <w:fldChar w:fldCharType="separate"/>
      </w:r>
      <w:r>
        <w:t>13</w:t>
      </w:r>
      <w:r>
        <w:fldChar w:fldCharType="end"/>
      </w:r>
      <w:r>
        <w:fldChar w:fldCharType="end"/>
      </w:r>
    </w:p>
    <w:p>
      <w:pPr>
        <w:pStyle w:val="4"/>
        <w:tabs>
          <w:tab w:val="right" w:leader="dot" w:pos="14800"/>
        </w:tabs>
      </w:pPr>
      <w:r>
        <w:fldChar w:fldCharType="begin"/>
      </w:r>
      <w:r>
        <w:instrText xml:space="preserve"> HYPERLINK \l _Toc10679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_Toc10679 \h </w:instrText>
      </w:r>
      <w:r>
        <w:fldChar w:fldCharType="separate"/>
      </w:r>
      <w:r>
        <w:t>14</w:t>
      </w:r>
      <w:r>
        <w:fldChar w:fldCharType="end"/>
      </w:r>
      <w:r>
        <w:fldChar w:fldCharType="end"/>
      </w:r>
    </w:p>
    <w:p>
      <w:pPr>
        <w:pStyle w:val="4"/>
        <w:tabs>
          <w:tab w:val="right" w:leader="dot" w:pos="14800"/>
        </w:tabs>
      </w:pPr>
      <w:r>
        <w:fldChar w:fldCharType="begin"/>
      </w:r>
      <w:r>
        <w:instrText xml:space="preserve"> HYPERLINK \l _Toc4976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_Toc4976 \h </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_Toc10874 </w:instrText>
      </w:r>
      <w:r>
        <w:fldChar w:fldCharType="separate"/>
      </w:r>
      <w:r>
        <w:rPr>
          <w:rFonts w:ascii="黑体" w:hAnsi="黑体" w:eastAsia="黑体" w:cs="黑体"/>
        </w:rPr>
        <w:t>一、部门职责及机构设置情况</w:t>
      </w:r>
      <w:r>
        <w:tab/>
      </w:r>
      <w:r>
        <w:fldChar w:fldCharType="begin"/>
      </w:r>
      <w:r>
        <w:instrText xml:space="preserve"> PAGEREF _Toc10874 \h </w:instrText>
      </w:r>
      <w:r>
        <w:fldChar w:fldCharType="separate"/>
      </w:r>
      <w:r>
        <w:t>16</w:t>
      </w:r>
      <w:r>
        <w:fldChar w:fldCharType="end"/>
      </w:r>
      <w:r>
        <w:fldChar w:fldCharType="end"/>
      </w:r>
    </w:p>
    <w:p>
      <w:pPr>
        <w:pStyle w:val="2"/>
        <w:tabs>
          <w:tab w:val="right" w:leader="dot" w:pos="14800"/>
        </w:tabs>
      </w:pPr>
      <w:r>
        <w:fldChar w:fldCharType="begin"/>
      </w:r>
      <w:r>
        <w:instrText xml:space="preserve"> HYPERLINK \l _Toc30661 </w:instrText>
      </w:r>
      <w:r>
        <w:fldChar w:fldCharType="separate"/>
      </w:r>
      <w:r>
        <w:rPr>
          <w:rFonts w:ascii="黑体" w:hAnsi="黑体" w:eastAsia="黑体" w:cs="黑体"/>
        </w:rPr>
        <w:t>二、部门预算安排的总体情况</w:t>
      </w:r>
      <w:r>
        <w:tab/>
      </w:r>
      <w:r>
        <w:fldChar w:fldCharType="begin"/>
      </w:r>
      <w:r>
        <w:instrText xml:space="preserve"> PAGEREF _Toc30661 \h </w:instrText>
      </w:r>
      <w:r>
        <w:fldChar w:fldCharType="separate"/>
      </w:r>
      <w:r>
        <w:t>17</w:t>
      </w:r>
      <w:r>
        <w:fldChar w:fldCharType="end"/>
      </w:r>
      <w:r>
        <w:fldChar w:fldCharType="end"/>
      </w:r>
    </w:p>
    <w:p>
      <w:pPr>
        <w:pStyle w:val="2"/>
        <w:tabs>
          <w:tab w:val="right" w:leader="dot" w:pos="14800"/>
        </w:tabs>
      </w:pPr>
      <w:r>
        <w:fldChar w:fldCharType="begin"/>
      </w:r>
      <w:r>
        <w:instrText xml:space="preserve"> HYPERLINK \l _Toc29372 </w:instrText>
      </w:r>
      <w:r>
        <w:fldChar w:fldCharType="separate"/>
      </w:r>
      <w:r>
        <w:rPr>
          <w:rFonts w:ascii="黑体" w:hAnsi="黑体" w:eastAsia="黑体" w:cs="黑体"/>
        </w:rPr>
        <w:t>三、机关运行经费安排情况</w:t>
      </w:r>
      <w:r>
        <w:tab/>
      </w:r>
      <w:r>
        <w:fldChar w:fldCharType="begin"/>
      </w:r>
      <w:r>
        <w:instrText xml:space="preserve"> PAGEREF _Toc29372 \h </w:instrText>
      </w:r>
      <w:r>
        <w:fldChar w:fldCharType="separate"/>
      </w:r>
      <w:r>
        <w:t>18</w:t>
      </w:r>
      <w:r>
        <w:fldChar w:fldCharType="end"/>
      </w:r>
      <w:r>
        <w:fldChar w:fldCharType="end"/>
      </w:r>
    </w:p>
    <w:p>
      <w:pPr>
        <w:pStyle w:val="2"/>
        <w:tabs>
          <w:tab w:val="right" w:leader="dot" w:pos="14800"/>
        </w:tabs>
      </w:pPr>
      <w:r>
        <w:fldChar w:fldCharType="begin"/>
      </w:r>
      <w:r>
        <w:instrText xml:space="preserve"> HYPERLINK \l _Toc16645 </w:instrText>
      </w:r>
      <w:r>
        <w:fldChar w:fldCharType="separate"/>
      </w:r>
      <w:r>
        <w:rPr>
          <w:rFonts w:ascii="黑体" w:hAnsi="黑体" w:eastAsia="黑体" w:cs="黑体"/>
        </w:rPr>
        <w:t>四、财政拨款“三公”经费预算情况及增减变化原因</w:t>
      </w:r>
      <w:r>
        <w:tab/>
      </w:r>
      <w:r>
        <w:fldChar w:fldCharType="begin"/>
      </w:r>
      <w:r>
        <w:instrText xml:space="preserve"> PAGEREF _Toc16645 \h </w:instrText>
      </w:r>
      <w:r>
        <w:fldChar w:fldCharType="separate"/>
      </w:r>
      <w:r>
        <w:t>18</w:t>
      </w:r>
      <w:r>
        <w:fldChar w:fldCharType="end"/>
      </w:r>
      <w:r>
        <w:fldChar w:fldCharType="end"/>
      </w:r>
    </w:p>
    <w:p>
      <w:pPr>
        <w:pStyle w:val="2"/>
        <w:tabs>
          <w:tab w:val="right" w:leader="dot" w:pos="14800"/>
        </w:tabs>
      </w:pPr>
      <w:r>
        <w:fldChar w:fldCharType="begin"/>
      </w:r>
      <w:r>
        <w:instrText xml:space="preserve"> HYPERLINK \l _Toc8592 </w:instrText>
      </w:r>
      <w:r>
        <w:fldChar w:fldCharType="separate"/>
      </w:r>
      <w:r>
        <w:rPr>
          <w:rFonts w:ascii="黑体" w:hAnsi="黑体" w:eastAsia="黑体" w:cs="黑体"/>
        </w:rPr>
        <w:t>五、预算绩效信息</w:t>
      </w:r>
      <w:r>
        <w:tab/>
      </w:r>
      <w:r>
        <w:fldChar w:fldCharType="begin"/>
      </w:r>
      <w:r>
        <w:instrText xml:space="preserve"> PAGEREF _Toc8592 \h </w:instrText>
      </w:r>
      <w:r>
        <w:fldChar w:fldCharType="separate"/>
      </w:r>
      <w:r>
        <w:t>18</w:t>
      </w:r>
      <w:r>
        <w:fldChar w:fldCharType="end"/>
      </w:r>
      <w:r>
        <w:fldChar w:fldCharType="end"/>
      </w:r>
    </w:p>
    <w:p>
      <w:pPr>
        <w:pStyle w:val="2"/>
        <w:tabs>
          <w:tab w:val="right" w:leader="dot" w:pos="14800"/>
        </w:tabs>
      </w:pPr>
      <w:r>
        <w:fldChar w:fldCharType="begin"/>
      </w:r>
      <w:r>
        <w:instrText xml:space="preserve"> HYPERLINK \l _Toc17130 </w:instrText>
      </w:r>
      <w:r>
        <w:fldChar w:fldCharType="separate"/>
      </w:r>
      <w:r>
        <w:rPr>
          <w:rFonts w:ascii="黑体" w:hAnsi="黑体" w:eastAsia="黑体" w:cs="黑体"/>
        </w:rPr>
        <w:t>六、政府采购预算情况</w:t>
      </w:r>
      <w:r>
        <w:tab/>
      </w:r>
      <w:r>
        <w:fldChar w:fldCharType="begin"/>
      </w:r>
      <w:r>
        <w:instrText xml:space="preserve"> PAGEREF _Toc17130 \h </w:instrText>
      </w:r>
      <w:r>
        <w:fldChar w:fldCharType="separate"/>
      </w:r>
      <w:r>
        <w:t>27</w:t>
      </w:r>
      <w:r>
        <w:fldChar w:fldCharType="end"/>
      </w:r>
      <w:r>
        <w:fldChar w:fldCharType="end"/>
      </w:r>
    </w:p>
    <w:p>
      <w:pPr>
        <w:pStyle w:val="2"/>
        <w:tabs>
          <w:tab w:val="right" w:leader="dot" w:pos="14800"/>
        </w:tabs>
      </w:pPr>
      <w:r>
        <w:fldChar w:fldCharType="begin"/>
      </w:r>
      <w:r>
        <w:instrText xml:space="preserve"> HYPERLINK \l _Toc26207 </w:instrText>
      </w:r>
      <w:r>
        <w:fldChar w:fldCharType="separate"/>
      </w:r>
      <w:r>
        <w:rPr>
          <w:rFonts w:ascii="黑体" w:hAnsi="黑体" w:eastAsia="黑体" w:cs="黑体"/>
        </w:rPr>
        <w:t>七、国有资产信息</w:t>
      </w:r>
      <w:r>
        <w:tab/>
      </w:r>
      <w:r>
        <w:fldChar w:fldCharType="begin"/>
      </w:r>
      <w:r>
        <w:instrText xml:space="preserve"> PAGEREF _Toc26207 \h </w:instrText>
      </w:r>
      <w:r>
        <w:fldChar w:fldCharType="separate"/>
      </w:r>
      <w:r>
        <w:t>27</w:t>
      </w:r>
      <w:r>
        <w:fldChar w:fldCharType="end"/>
      </w:r>
      <w:r>
        <w:fldChar w:fldCharType="end"/>
      </w:r>
    </w:p>
    <w:p>
      <w:pPr>
        <w:pStyle w:val="2"/>
        <w:tabs>
          <w:tab w:val="right" w:leader="dot" w:pos="14800"/>
        </w:tabs>
      </w:pPr>
      <w:r>
        <w:fldChar w:fldCharType="begin"/>
      </w:r>
      <w:r>
        <w:instrText xml:space="preserve"> HYPERLINK \l _Toc13348 </w:instrText>
      </w:r>
      <w:r>
        <w:fldChar w:fldCharType="separate"/>
      </w:r>
      <w:r>
        <w:rPr>
          <w:rFonts w:ascii="黑体" w:hAnsi="黑体" w:eastAsia="黑体" w:cs="黑体"/>
        </w:rPr>
        <w:t>八、名词解释</w:t>
      </w:r>
      <w:r>
        <w:tab/>
      </w:r>
      <w:r>
        <w:fldChar w:fldCharType="begin"/>
      </w:r>
      <w:r>
        <w:instrText xml:space="preserve"> PAGEREF _Toc13348 \h </w:instrText>
      </w:r>
      <w:r>
        <w:fldChar w:fldCharType="separate"/>
      </w:r>
      <w:r>
        <w:t>28</w:t>
      </w:r>
      <w:r>
        <w:fldChar w:fldCharType="end"/>
      </w:r>
      <w:r>
        <w:fldChar w:fldCharType="end"/>
      </w:r>
    </w:p>
    <w:p>
      <w:pPr>
        <w:pStyle w:val="2"/>
        <w:tabs>
          <w:tab w:val="right" w:leader="dot" w:pos="14800"/>
        </w:tabs>
      </w:pPr>
      <w:r>
        <w:fldChar w:fldCharType="begin"/>
      </w:r>
      <w:r>
        <w:instrText xml:space="preserve"> HYPERLINK \l _Toc30295 </w:instrText>
      </w:r>
      <w:r>
        <w:fldChar w:fldCharType="separate"/>
      </w:r>
      <w:r>
        <w:rPr>
          <w:rFonts w:ascii="黑体" w:hAnsi="黑体" w:eastAsia="黑体" w:cs="黑体"/>
        </w:rPr>
        <w:t>九、其他需要说明的事项</w:t>
      </w:r>
      <w:r>
        <w:tab/>
      </w:r>
      <w:r>
        <w:fldChar w:fldCharType="begin"/>
      </w:r>
      <w:r>
        <w:instrText xml:space="preserve"> PAGEREF _Toc30295 \h </w:instrText>
      </w:r>
      <w:r>
        <w:fldChar w:fldCharType="separate"/>
      </w:r>
      <w:r>
        <w:t>28</w:t>
      </w:r>
      <w:r>
        <w:fldChar w:fldCharType="end"/>
      </w:r>
      <w:r>
        <w:fldChar w:fldCharType="end"/>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fldChar w:fldCharType="end"/>
      </w:r>
    </w:p>
    <w:p>
      <w:pPr>
        <w:jc w:val="center"/>
        <w:outlineLvl w:val="1"/>
      </w:pPr>
      <w:bookmarkStart w:id="0" w:name="_Toc29029"/>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430石家庄市藁城区机关事务服务中心</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628.41</w:t>
            </w:r>
          </w:p>
        </w:tc>
        <w:tc>
          <w:tcPr>
            <w:tcW w:w="4535" w:type="dxa"/>
            <w:vAlign w:val="center"/>
          </w:tcPr>
          <w:p>
            <w:pPr>
              <w:pStyle w:val="12"/>
            </w:pPr>
            <w:r>
              <w:t>一、一般公共服务支出</w:t>
            </w:r>
          </w:p>
        </w:tc>
        <w:tc>
          <w:tcPr>
            <w:tcW w:w="2126" w:type="dxa"/>
            <w:vAlign w:val="center"/>
          </w:tcPr>
          <w:p>
            <w:pPr>
              <w:pStyle w:val="13"/>
            </w:pPr>
            <w:r>
              <w:t>628.41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五、事业收入</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r>
              <w:t>六、事业单位经营收入</w:t>
            </w: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r>
              <w:t>七、上级补助收入</w:t>
            </w: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r>
              <w:t>八、附属单位上缴收入</w:t>
            </w: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r>
              <w:t>九、其他收入</w:t>
            </w: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4"/>
            </w:pPr>
            <w:r>
              <w:t>本年收入合计</w:t>
            </w:r>
          </w:p>
        </w:tc>
        <w:tc>
          <w:tcPr>
            <w:tcW w:w="2126" w:type="dxa"/>
            <w:vAlign w:val="center"/>
          </w:tcPr>
          <w:p>
            <w:pPr>
              <w:pStyle w:val="15"/>
            </w:pPr>
            <w:r>
              <w:t>628.41</w:t>
            </w:r>
          </w:p>
        </w:tc>
        <w:tc>
          <w:tcPr>
            <w:tcW w:w="4535" w:type="dxa"/>
            <w:vAlign w:val="center"/>
          </w:tcPr>
          <w:p>
            <w:pPr>
              <w:pStyle w:val="14"/>
            </w:pPr>
            <w:r>
              <w:t>本年支出合计</w:t>
            </w:r>
          </w:p>
        </w:tc>
        <w:tc>
          <w:tcPr>
            <w:tcW w:w="2126" w:type="dxa"/>
            <w:vAlign w:val="center"/>
          </w:tcPr>
          <w:p>
            <w:pPr>
              <w:pStyle w:val="15"/>
            </w:pPr>
            <w:r>
              <w:t>628.41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4"/>
            </w:pPr>
            <w:r>
              <w:t>收入总计</w:t>
            </w:r>
          </w:p>
        </w:tc>
        <w:tc>
          <w:tcPr>
            <w:tcW w:w="2126" w:type="dxa"/>
            <w:vAlign w:val="center"/>
          </w:tcPr>
          <w:p>
            <w:pPr>
              <w:pStyle w:val="15"/>
            </w:pPr>
            <w:r>
              <w:t>628.41</w:t>
            </w:r>
          </w:p>
        </w:tc>
        <w:tc>
          <w:tcPr>
            <w:tcW w:w="4535" w:type="dxa"/>
            <w:vAlign w:val="center"/>
          </w:tcPr>
          <w:p>
            <w:pPr>
              <w:pStyle w:val="14"/>
            </w:pPr>
            <w:r>
              <w:t>支出总计</w:t>
            </w:r>
          </w:p>
        </w:tc>
        <w:tc>
          <w:tcPr>
            <w:tcW w:w="2126" w:type="dxa"/>
            <w:vAlign w:val="center"/>
          </w:tcPr>
          <w:p>
            <w:pPr>
              <w:pStyle w:val="15"/>
            </w:pPr>
            <w:r>
              <w:t>628.41</w:t>
            </w:r>
          </w:p>
        </w:tc>
      </w:tr>
    </w:tbl>
    <w:p>
      <w:pPr>
        <w:sectPr>
          <w:pgSz w:w="16840" w:h="11900" w:orient="landscape"/>
          <w:pgMar w:top="1361" w:right="1020" w:bottom="1134" w:left="1020" w:header="720" w:footer="720" w:gutter="0"/>
          <w:cols w:space="720" w:num="1"/>
        </w:sectPr>
      </w:pPr>
    </w:p>
    <w:p>
      <w:pPr>
        <w:jc w:val="center"/>
        <w:outlineLvl w:val="1"/>
      </w:pPr>
      <w:bookmarkStart w:id="1" w:name="_Toc11960"/>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430石家庄市藁城区机关事务服务中心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628.41</w:t>
            </w:r>
          </w:p>
        </w:tc>
        <w:tc>
          <w:tcPr>
            <w:tcW w:w="1134" w:type="dxa"/>
            <w:vAlign w:val="center"/>
          </w:tcPr>
          <w:p>
            <w:pPr>
              <w:pStyle w:val="15"/>
            </w:pPr>
            <w:r>
              <w:t>628.41</w:t>
            </w:r>
          </w:p>
        </w:tc>
        <w:tc>
          <w:tcPr>
            <w:tcW w:w="1134" w:type="dxa"/>
            <w:vAlign w:val="center"/>
          </w:tcPr>
          <w:p>
            <w:pPr>
              <w:pStyle w:val="15"/>
            </w:pPr>
            <w:r>
              <w:t>628.41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3"/>
            </w:pPr>
            <w:r>
              <w:t>628.41</w:t>
            </w:r>
          </w:p>
        </w:tc>
        <w:tc>
          <w:tcPr>
            <w:tcW w:w="1134" w:type="dxa"/>
            <w:vAlign w:val="center"/>
          </w:tcPr>
          <w:p>
            <w:pPr>
              <w:pStyle w:val="13"/>
            </w:pPr>
            <w:r>
              <w:t>628.41</w:t>
            </w:r>
          </w:p>
        </w:tc>
        <w:tc>
          <w:tcPr>
            <w:tcW w:w="1134" w:type="dxa"/>
            <w:vAlign w:val="center"/>
          </w:tcPr>
          <w:p>
            <w:pPr>
              <w:pStyle w:val="13"/>
            </w:pPr>
            <w:r>
              <w:t>628.41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3"/>
            </w:pPr>
            <w:r>
              <w:t>531.41</w:t>
            </w:r>
          </w:p>
        </w:tc>
        <w:tc>
          <w:tcPr>
            <w:tcW w:w="1134" w:type="dxa"/>
            <w:vAlign w:val="center"/>
          </w:tcPr>
          <w:p>
            <w:pPr>
              <w:pStyle w:val="13"/>
            </w:pPr>
            <w:r>
              <w:t>531.41</w:t>
            </w:r>
          </w:p>
        </w:tc>
        <w:tc>
          <w:tcPr>
            <w:tcW w:w="1134" w:type="dxa"/>
            <w:vAlign w:val="center"/>
          </w:tcPr>
          <w:p>
            <w:pPr>
              <w:pStyle w:val="13"/>
            </w:pPr>
            <w:r>
              <w:t>531.41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2010303</w:t>
            </w:r>
          </w:p>
        </w:tc>
        <w:tc>
          <w:tcPr>
            <w:tcW w:w="1559" w:type="dxa"/>
            <w:vAlign w:val="center"/>
          </w:tcPr>
          <w:p>
            <w:pPr>
              <w:pStyle w:val="12"/>
            </w:pPr>
            <w:r>
              <w:t>机关服务</w:t>
            </w:r>
          </w:p>
        </w:tc>
        <w:tc>
          <w:tcPr>
            <w:tcW w:w="1134" w:type="dxa"/>
            <w:vAlign w:val="center"/>
          </w:tcPr>
          <w:p>
            <w:pPr>
              <w:pStyle w:val="13"/>
            </w:pPr>
            <w:r>
              <w:t>434.41</w:t>
            </w:r>
          </w:p>
        </w:tc>
        <w:tc>
          <w:tcPr>
            <w:tcW w:w="1134" w:type="dxa"/>
            <w:vAlign w:val="center"/>
          </w:tcPr>
          <w:p>
            <w:pPr>
              <w:pStyle w:val="13"/>
            </w:pPr>
            <w:r>
              <w:t>434.41</w:t>
            </w:r>
          </w:p>
        </w:tc>
        <w:tc>
          <w:tcPr>
            <w:tcW w:w="1134" w:type="dxa"/>
            <w:vAlign w:val="center"/>
          </w:tcPr>
          <w:p>
            <w:pPr>
              <w:pStyle w:val="13"/>
            </w:pPr>
            <w:r>
              <w:t>434.41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2010305</w:t>
            </w:r>
          </w:p>
        </w:tc>
        <w:tc>
          <w:tcPr>
            <w:tcW w:w="1559" w:type="dxa"/>
            <w:vAlign w:val="center"/>
          </w:tcPr>
          <w:p>
            <w:pPr>
              <w:pStyle w:val="12"/>
            </w:pPr>
            <w:r>
              <w:t>专项业务及机关事务管理</w:t>
            </w:r>
          </w:p>
        </w:tc>
        <w:tc>
          <w:tcPr>
            <w:tcW w:w="1134" w:type="dxa"/>
            <w:vAlign w:val="center"/>
          </w:tcPr>
          <w:p>
            <w:pPr>
              <w:pStyle w:val="13"/>
            </w:pPr>
            <w:r>
              <w:t>97.00</w:t>
            </w:r>
          </w:p>
        </w:tc>
        <w:tc>
          <w:tcPr>
            <w:tcW w:w="1134" w:type="dxa"/>
            <w:vAlign w:val="center"/>
          </w:tcPr>
          <w:p>
            <w:pPr>
              <w:pStyle w:val="13"/>
            </w:pPr>
            <w:r>
              <w:t>97.00</w:t>
            </w:r>
          </w:p>
        </w:tc>
        <w:tc>
          <w:tcPr>
            <w:tcW w:w="1134" w:type="dxa"/>
            <w:vAlign w:val="center"/>
          </w:tcPr>
          <w:p>
            <w:pPr>
              <w:pStyle w:val="13"/>
            </w:pPr>
            <w:r>
              <w:t>97.00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3"/>
            </w:pPr>
            <w:r>
              <w:t>97.00</w:t>
            </w:r>
          </w:p>
        </w:tc>
        <w:tc>
          <w:tcPr>
            <w:tcW w:w="1134" w:type="dxa"/>
            <w:vAlign w:val="center"/>
          </w:tcPr>
          <w:p>
            <w:pPr>
              <w:pStyle w:val="13"/>
            </w:pPr>
            <w:r>
              <w:t>97.00</w:t>
            </w:r>
          </w:p>
        </w:tc>
        <w:tc>
          <w:tcPr>
            <w:tcW w:w="1134" w:type="dxa"/>
            <w:vAlign w:val="center"/>
          </w:tcPr>
          <w:p>
            <w:pPr>
              <w:pStyle w:val="13"/>
            </w:pPr>
            <w:r>
              <w:t>97.00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2013105</w:t>
            </w:r>
          </w:p>
        </w:tc>
        <w:tc>
          <w:tcPr>
            <w:tcW w:w="1559" w:type="dxa"/>
            <w:vAlign w:val="center"/>
          </w:tcPr>
          <w:p>
            <w:pPr>
              <w:pStyle w:val="12"/>
            </w:pPr>
            <w:r>
              <w:t>专项业务</w:t>
            </w:r>
          </w:p>
        </w:tc>
        <w:tc>
          <w:tcPr>
            <w:tcW w:w="1134" w:type="dxa"/>
            <w:vAlign w:val="center"/>
          </w:tcPr>
          <w:p>
            <w:pPr>
              <w:pStyle w:val="13"/>
            </w:pPr>
            <w:r>
              <w:t>97.00</w:t>
            </w:r>
          </w:p>
        </w:tc>
        <w:tc>
          <w:tcPr>
            <w:tcW w:w="1134" w:type="dxa"/>
            <w:vAlign w:val="center"/>
          </w:tcPr>
          <w:p>
            <w:pPr>
              <w:pStyle w:val="13"/>
            </w:pPr>
            <w:r>
              <w:t>97.00</w:t>
            </w:r>
          </w:p>
        </w:tc>
        <w:tc>
          <w:tcPr>
            <w:tcW w:w="1134" w:type="dxa"/>
            <w:vAlign w:val="center"/>
          </w:tcPr>
          <w:p>
            <w:pPr>
              <w:pStyle w:val="13"/>
            </w:pPr>
            <w:r>
              <w:t>97.00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20727"/>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430石家庄市藁城区机关事务服务中心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628.41</w:t>
            </w:r>
          </w:p>
        </w:tc>
        <w:tc>
          <w:tcPr>
            <w:tcW w:w="1361" w:type="dxa"/>
            <w:vAlign w:val="center"/>
          </w:tcPr>
          <w:p>
            <w:pPr>
              <w:pStyle w:val="15"/>
            </w:pPr>
            <w:r>
              <w:t>269.01</w:t>
            </w:r>
          </w:p>
        </w:tc>
        <w:tc>
          <w:tcPr>
            <w:tcW w:w="1361" w:type="dxa"/>
            <w:vAlign w:val="center"/>
          </w:tcPr>
          <w:p>
            <w:pPr>
              <w:pStyle w:val="15"/>
            </w:pPr>
            <w:r>
              <w:t>359.40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3"/>
            </w:pPr>
            <w:r>
              <w:t>628.41</w:t>
            </w:r>
          </w:p>
        </w:tc>
        <w:tc>
          <w:tcPr>
            <w:tcW w:w="1361" w:type="dxa"/>
            <w:vAlign w:val="center"/>
          </w:tcPr>
          <w:p>
            <w:pPr>
              <w:pStyle w:val="13"/>
            </w:pPr>
            <w:r>
              <w:t>269.01</w:t>
            </w:r>
          </w:p>
        </w:tc>
        <w:tc>
          <w:tcPr>
            <w:tcW w:w="1361" w:type="dxa"/>
            <w:vAlign w:val="center"/>
          </w:tcPr>
          <w:p>
            <w:pPr>
              <w:pStyle w:val="13"/>
            </w:pPr>
            <w:r>
              <w:t>359.40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3"/>
            </w:pPr>
            <w:r>
              <w:t>531.41</w:t>
            </w:r>
          </w:p>
        </w:tc>
        <w:tc>
          <w:tcPr>
            <w:tcW w:w="1361" w:type="dxa"/>
            <w:vAlign w:val="center"/>
          </w:tcPr>
          <w:p>
            <w:pPr>
              <w:pStyle w:val="13"/>
            </w:pPr>
            <w:r>
              <w:t>269.01</w:t>
            </w:r>
          </w:p>
        </w:tc>
        <w:tc>
          <w:tcPr>
            <w:tcW w:w="1361" w:type="dxa"/>
            <w:vAlign w:val="center"/>
          </w:tcPr>
          <w:p>
            <w:pPr>
              <w:pStyle w:val="13"/>
            </w:pPr>
            <w:r>
              <w:t>262.40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2010303</w:t>
            </w:r>
          </w:p>
        </w:tc>
        <w:tc>
          <w:tcPr>
            <w:tcW w:w="4535" w:type="dxa"/>
            <w:vAlign w:val="center"/>
          </w:tcPr>
          <w:p>
            <w:pPr>
              <w:pStyle w:val="12"/>
            </w:pPr>
            <w:r>
              <w:t>机关服务</w:t>
            </w:r>
          </w:p>
        </w:tc>
        <w:tc>
          <w:tcPr>
            <w:tcW w:w="1361" w:type="dxa"/>
            <w:vAlign w:val="center"/>
          </w:tcPr>
          <w:p>
            <w:pPr>
              <w:pStyle w:val="13"/>
            </w:pPr>
            <w:r>
              <w:t>434.41</w:t>
            </w:r>
          </w:p>
        </w:tc>
        <w:tc>
          <w:tcPr>
            <w:tcW w:w="1361" w:type="dxa"/>
            <w:vAlign w:val="center"/>
          </w:tcPr>
          <w:p>
            <w:pPr>
              <w:pStyle w:val="13"/>
            </w:pPr>
            <w:r>
              <w:t>269.01</w:t>
            </w:r>
          </w:p>
        </w:tc>
        <w:tc>
          <w:tcPr>
            <w:tcW w:w="1361" w:type="dxa"/>
            <w:vAlign w:val="center"/>
          </w:tcPr>
          <w:p>
            <w:pPr>
              <w:pStyle w:val="13"/>
            </w:pPr>
            <w:r>
              <w:t>165.40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2010305</w:t>
            </w:r>
          </w:p>
        </w:tc>
        <w:tc>
          <w:tcPr>
            <w:tcW w:w="4535" w:type="dxa"/>
            <w:vAlign w:val="center"/>
          </w:tcPr>
          <w:p>
            <w:pPr>
              <w:pStyle w:val="12"/>
            </w:pPr>
            <w:r>
              <w:t>专项业务及机关事务管理</w:t>
            </w:r>
          </w:p>
        </w:tc>
        <w:tc>
          <w:tcPr>
            <w:tcW w:w="1361" w:type="dxa"/>
            <w:vAlign w:val="center"/>
          </w:tcPr>
          <w:p>
            <w:pPr>
              <w:pStyle w:val="13"/>
            </w:pPr>
            <w:r>
              <w:t>97.00</w:t>
            </w:r>
          </w:p>
        </w:tc>
        <w:tc>
          <w:tcPr>
            <w:tcW w:w="1361" w:type="dxa"/>
            <w:vAlign w:val="center"/>
          </w:tcPr>
          <w:p>
            <w:pPr>
              <w:pStyle w:val="13"/>
            </w:pPr>
          </w:p>
        </w:tc>
        <w:tc>
          <w:tcPr>
            <w:tcW w:w="1361" w:type="dxa"/>
            <w:vAlign w:val="center"/>
          </w:tcPr>
          <w:p>
            <w:pPr>
              <w:pStyle w:val="13"/>
            </w:pPr>
            <w:r>
              <w:t>97.00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3"/>
            </w:pPr>
            <w:r>
              <w:t>97.00</w:t>
            </w:r>
          </w:p>
        </w:tc>
        <w:tc>
          <w:tcPr>
            <w:tcW w:w="1361" w:type="dxa"/>
            <w:vAlign w:val="center"/>
          </w:tcPr>
          <w:p>
            <w:pPr>
              <w:pStyle w:val="13"/>
            </w:pPr>
          </w:p>
        </w:tc>
        <w:tc>
          <w:tcPr>
            <w:tcW w:w="1361" w:type="dxa"/>
            <w:vAlign w:val="center"/>
          </w:tcPr>
          <w:p>
            <w:pPr>
              <w:pStyle w:val="13"/>
            </w:pPr>
            <w:r>
              <w:t>97.00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2013105</w:t>
            </w:r>
          </w:p>
        </w:tc>
        <w:tc>
          <w:tcPr>
            <w:tcW w:w="4535" w:type="dxa"/>
            <w:vAlign w:val="center"/>
          </w:tcPr>
          <w:p>
            <w:pPr>
              <w:pStyle w:val="12"/>
            </w:pPr>
            <w:r>
              <w:t>专项业务</w:t>
            </w:r>
          </w:p>
        </w:tc>
        <w:tc>
          <w:tcPr>
            <w:tcW w:w="1361" w:type="dxa"/>
            <w:vAlign w:val="center"/>
          </w:tcPr>
          <w:p>
            <w:pPr>
              <w:pStyle w:val="13"/>
            </w:pPr>
            <w:r>
              <w:t>97.00</w:t>
            </w:r>
          </w:p>
        </w:tc>
        <w:tc>
          <w:tcPr>
            <w:tcW w:w="1361" w:type="dxa"/>
            <w:vAlign w:val="center"/>
          </w:tcPr>
          <w:p>
            <w:pPr>
              <w:pStyle w:val="13"/>
            </w:pPr>
          </w:p>
        </w:tc>
        <w:tc>
          <w:tcPr>
            <w:tcW w:w="1361" w:type="dxa"/>
            <w:vAlign w:val="center"/>
          </w:tcPr>
          <w:p>
            <w:pPr>
              <w:pStyle w:val="13"/>
            </w:pPr>
            <w:r>
              <w:t>97.00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27270"/>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430石家庄市藁城区机关事务服务中心</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628.41</w:t>
            </w:r>
          </w:p>
        </w:tc>
        <w:tc>
          <w:tcPr>
            <w:tcW w:w="3402" w:type="dxa"/>
            <w:vAlign w:val="center"/>
          </w:tcPr>
          <w:p>
            <w:pPr>
              <w:pStyle w:val="12"/>
            </w:pPr>
            <w:r>
              <w:t>一、一般公共服务支出</w:t>
            </w:r>
          </w:p>
        </w:tc>
        <w:tc>
          <w:tcPr>
            <w:tcW w:w="1474" w:type="dxa"/>
            <w:vAlign w:val="center"/>
          </w:tcPr>
          <w:p>
            <w:pPr>
              <w:pStyle w:val="13"/>
            </w:pPr>
            <w:r>
              <w:t>628.41</w:t>
            </w:r>
          </w:p>
        </w:tc>
        <w:tc>
          <w:tcPr>
            <w:tcW w:w="1474" w:type="dxa"/>
            <w:vAlign w:val="center"/>
          </w:tcPr>
          <w:p>
            <w:pPr>
              <w:pStyle w:val="13"/>
            </w:pPr>
            <w:r>
              <w:t>628.41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t>本年收入合计</w:t>
            </w:r>
          </w:p>
        </w:tc>
        <w:tc>
          <w:tcPr>
            <w:tcW w:w="1474" w:type="dxa"/>
            <w:vAlign w:val="center"/>
          </w:tcPr>
          <w:p>
            <w:pPr>
              <w:pStyle w:val="15"/>
            </w:pPr>
            <w:r>
              <w:t>628.41</w:t>
            </w:r>
          </w:p>
        </w:tc>
        <w:tc>
          <w:tcPr>
            <w:tcW w:w="3402" w:type="dxa"/>
            <w:vAlign w:val="center"/>
          </w:tcPr>
          <w:p>
            <w:pPr>
              <w:pStyle w:val="14"/>
            </w:pPr>
            <w:r>
              <w:t>本年支出合计</w:t>
            </w:r>
          </w:p>
        </w:tc>
        <w:tc>
          <w:tcPr>
            <w:tcW w:w="1474" w:type="dxa"/>
            <w:vAlign w:val="center"/>
          </w:tcPr>
          <w:p>
            <w:pPr>
              <w:pStyle w:val="15"/>
            </w:pPr>
            <w:r>
              <w:t>628.41</w:t>
            </w:r>
          </w:p>
        </w:tc>
        <w:tc>
          <w:tcPr>
            <w:tcW w:w="1474" w:type="dxa"/>
            <w:vAlign w:val="center"/>
          </w:tcPr>
          <w:p>
            <w:pPr>
              <w:pStyle w:val="15"/>
            </w:pPr>
            <w:r>
              <w:t>628.41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年初财政拨款结转和结余</w:t>
            </w:r>
          </w:p>
        </w:tc>
        <w:tc>
          <w:tcPr>
            <w:tcW w:w="1474" w:type="dxa"/>
            <w:vAlign w:val="center"/>
          </w:tcPr>
          <w:p>
            <w:pPr>
              <w:pStyle w:val="13"/>
            </w:pP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t>收入总计</w:t>
            </w:r>
          </w:p>
        </w:tc>
        <w:tc>
          <w:tcPr>
            <w:tcW w:w="1474" w:type="dxa"/>
            <w:vAlign w:val="center"/>
          </w:tcPr>
          <w:p>
            <w:pPr>
              <w:pStyle w:val="15"/>
            </w:pPr>
            <w:r>
              <w:t>628.41</w:t>
            </w:r>
          </w:p>
        </w:tc>
        <w:tc>
          <w:tcPr>
            <w:tcW w:w="3402" w:type="dxa"/>
            <w:vAlign w:val="center"/>
          </w:tcPr>
          <w:p>
            <w:pPr>
              <w:pStyle w:val="14"/>
            </w:pPr>
            <w:r>
              <w:t>支出总计</w:t>
            </w:r>
          </w:p>
        </w:tc>
        <w:tc>
          <w:tcPr>
            <w:tcW w:w="1474" w:type="dxa"/>
            <w:vAlign w:val="center"/>
          </w:tcPr>
          <w:p>
            <w:pPr>
              <w:pStyle w:val="15"/>
            </w:pPr>
            <w:r>
              <w:t>628.41</w:t>
            </w:r>
          </w:p>
        </w:tc>
        <w:tc>
          <w:tcPr>
            <w:tcW w:w="1474" w:type="dxa"/>
            <w:vAlign w:val="center"/>
          </w:tcPr>
          <w:p>
            <w:pPr>
              <w:pStyle w:val="15"/>
            </w:pPr>
            <w:r>
              <w:t>628.41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12327"/>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430石家庄市藁城区机关事务服务中心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628.41</w:t>
            </w:r>
          </w:p>
        </w:tc>
        <w:tc>
          <w:tcPr>
            <w:tcW w:w="2551" w:type="dxa"/>
            <w:vAlign w:val="center"/>
          </w:tcPr>
          <w:p>
            <w:pPr>
              <w:pStyle w:val="15"/>
            </w:pPr>
            <w:r>
              <w:t>269.01</w:t>
            </w:r>
          </w:p>
        </w:tc>
        <w:tc>
          <w:tcPr>
            <w:tcW w:w="2551" w:type="dxa"/>
            <w:vAlign w:val="center"/>
          </w:tcPr>
          <w:p>
            <w:pPr>
              <w:pStyle w:val="15"/>
            </w:pPr>
            <w:r>
              <w:t>359.40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3"/>
            </w:pPr>
            <w:r>
              <w:t>628.41</w:t>
            </w:r>
          </w:p>
        </w:tc>
        <w:tc>
          <w:tcPr>
            <w:tcW w:w="2551" w:type="dxa"/>
            <w:vAlign w:val="center"/>
          </w:tcPr>
          <w:p>
            <w:pPr>
              <w:pStyle w:val="13"/>
            </w:pPr>
            <w:r>
              <w:t>269.01</w:t>
            </w:r>
          </w:p>
        </w:tc>
        <w:tc>
          <w:tcPr>
            <w:tcW w:w="2551" w:type="dxa"/>
            <w:vAlign w:val="center"/>
          </w:tcPr>
          <w:p>
            <w:pPr>
              <w:pStyle w:val="13"/>
            </w:pPr>
            <w:r>
              <w:t>359.40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3"/>
            </w:pPr>
            <w:r>
              <w:t>531.41</w:t>
            </w:r>
          </w:p>
        </w:tc>
        <w:tc>
          <w:tcPr>
            <w:tcW w:w="2551" w:type="dxa"/>
            <w:vAlign w:val="center"/>
          </w:tcPr>
          <w:p>
            <w:pPr>
              <w:pStyle w:val="13"/>
            </w:pPr>
            <w:r>
              <w:t>269.01</w:t>
            </w:r>
          </w:p>
        </w:tc>
        <w:tc>
          <w:tcPr>
            <w:tcW w:w="2551" w:type="dxa"/>
            <w:vAlign w:val="center"/>
          </w:tcPr>
          <w:p>
            <w:pPr>
              <w:pStyle w:val="13"/>
            </w:pPr>
            <w:r>
              <w:t>262.40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2010303</w:t>
            </w:r>
          </w:p>
        </w:tc>
        <w:tc>
          <w:tcPr>
            <w:tcW w:w="4535" w:type="dxa"/>
            <w:vAlign w:val="center"/>
          </w:tcPr>
          <w:p>
            <w:pPr>
              <w:pStyle w:val="12"/>
            </w:pPr>
            <w:r>
              <w:t>机关服务</w:t>
            </w:r>
          </w:p>
        </w:tc>
        <w:tc>
          <w:tcPr>
            <w:tcW w:w="2551" w:type="dxa"/>
            <w:vAlign w:val="center"/>
          </w:tcPr>
          <w:p>
            <w:pPr>
              <w:pStyle w:val="13"/>
            </w:pPr>
            <w:r>
              <w:t>434.41</w:t>
            </w:r>
          </w:p>
        </w:tc>
        <w:tc>
          <w:tcPr>
            <w:tcW w:w="2551" w:type="dxa"/>
            <w:vAlign w:val="center"/>
          </w:tcPr>
          <w:p>
            <w:pPr>
              <w:pStyle w:val="13"/>
            </w:pPr>
            <w:r>
              <w:t>269.01</w:t>
            </w:r>
          </w:p>
        </w:tc>
        <w:tc>
          <w:tcPr>
            <w:tcW w:w="2551" w:type="dxa"/>
            <w:vAlign w:val="center"/>
          </w:tcPr>
          <w:p>
            <w:pPr>
              <w:pStyle w:val="13"/>
            </w:pPr>
            <w:r>
              <w:t>165.40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2010305</w:t>
            </w:r>
          </w:p>
        </w:tc>
        <w:tc>
          <w:tcPr>
            <w:tcW w:w="4535" w:type="dxa"/>
            <w:vAlign w:val="center"/>
          </w:tcPr>
          <w:p>
            <w:pPr>
              <w:pStyle w:val="12"/>
            </w:pPr>
            <w:r>
              <w:t>专项业务及机关事务管理</w:t>
            </w:r>
          </w:p>
        </w:tc>
        <w:tc>
          <w:tcPr>
            <w:tcW w:w="2551" w:type="dxa"/>
            <w:vAlign w:val="center"/>
          </w:tcPr>
          <w:p>
            <w:pPr>
              <w:pStyle w:val="13"/>
            </w:pPr>
            <w:r>
              <w:t>97.00</w:t>
            </w:r>
          </w:p>
        </w:tc>
        <w:tc>
          <w:tcPr>
            <w:tcW w:w="2551" w:type="dxa"/>
            <w:vAlign w:val="center"/>
          </w:tcPr>
          <w:p>
            <w:pPr>
              <w:pStyle w:val="13"/>
            </w:pPr>
          </w:p>
        </w:tc>
        <w:tc>
          <w:tcPr>
            <w:tcW w:w="2551" w:type="dxa"/>
            <w:vAlign w:val="center"/>
          </w:tcPr>
          <w:p>
            <w:pPr>
              <w:pStyle w:val="13"/>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3"/>
            </w:pPr>
            <w:r>
              <w:t>97.00</w:t>
            </w:r>
          </w:p>
        </w:tc>
        <w:tc>
          <w:tcPr>
            <w:tcW w:w="2551" w:type="dxa"/>
            <w:vAlign w:val="center"/>
          </w:tcPr>
          <w:p>
            <w:pPr>
              <w:pStyle w:val="13"/>
            </w:pPr>
          </w:p>
        </w:tc>
        <w:tc>
          <w:tcPr>
            <w:tcW w:w="2551" w:type="dxa"/>
            <w:vAlign w:val="center"/>
          </w:tcPr>
          <w:p>
            <w:pPr>
              <w:pStyle w:val="13"/>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2013105</w:t>
            </w:r>
          </w:p>
        </w:tc>
        <w:tc>
          <w:tcPr>
            <w:tcW w:w="4535" w:type="dxa"/>
            <w:vAlign w:val="center"/>
          </w:tcPr>
          <w:p>
            <w:pPr>
              <w:pStyle w:val="12"/>
            </w:pPr>
            <w:r>
              <w:t>专项业务</w:t>
            </w:r>
          </w:p>
        </w:tc>
        <w:tc>
          <w:tcPr>
            <w:tcW w:w="2551" w:type="dxa"/>
            <w:vAlign w:val="center"/>
          </w:tcPr>
          <w:p>
            <w:pPr>
              <w:pStyle w:val="13"/>
            </w:pPr>
            <w:r>
              <w:t>97.00</w:t>
            </w:r>
          </w:p>
        </w:tc>
        <w:tc>
          <w:tcPr>
            <w:tcW w:w="2551" w:type="dxa"/>
            <w:vAlign w:val="center"/>
          </w:tcPr>
          <w:p>
            <w:pPr>
              <w:pStyle w:val="13"/>
            </w:pPr>
          </w:p>
        </w:tc>
        <w:tc>
          <w:tcPr>
            <w:tcW w:w="2551" w:type="dxa"/>
            <w:vAlign w:val="center"/>
          </w:tcPr>
          <w:p>
            <w:pPr>
              <w:pStyle w:val="13"/>
            </w:pPr>
            <w:r>
              <w:t>97.00</w:t>
            </w:r>
          </w:p>
        </w:tc>
      </w:tr>
    </w:tbl>
    <w:p>
      <w:pPr>
        <w:sectPr>
          <w:pgSz w:w="16840" w:h="11900" w:orient="landscape"/>
          <w:pgMar w:top="1361" w:right="1020" w:bottom="1134" w:left="1020" w:header="720" w:footer="720" w:gutter="0"/>
          <w:cols w:space="720" w:num="1"/>
        </w:sectPr>
      </w:pPr>
    </w:p>
    <w:p>
      <w:pPr>
        <w:jc w:val="center"/>
        <w:outlineLvl w:val="1"/>
      </w:pPr>
      <w:bookmarkStart w:id="5" w:name="_Toc11975"/>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430石家庄市藁城区机关事务服务中心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269.01</w:t>
            </w:r>
          </w:p>
        </w:tc>
        <w:tc>
          <w:tcPr>
            <w:tcW w:w="2551" w:type="dxa"/>
            <w:vAlign w:val="center"/>
          </w:tcPr>
          <w:p>
            <w:pPr>
              <w:pStyle w:val="15"/>
            </w:pPr>
            <w:r>
              <w:t>136.11</w:t>
            </w:r>
          </w:p>
        </w:tc>
        <w:tc>
          <w:tcPr>
            <w:tcW w:w="2551" w:type="dxa"/>
            <w:vAlign w:val="center"/>
          </w:tcPr>
          <w:p>
            <w:pPr>
              <w:pStyle w:val="15"/>
            </w:pPr>
            <w:r>
              <w:t>132.90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136.11</w:t>
            </w:r>
          </w:p>
        </w:tc>
        <w:tc>
          <w:tcPr>
            <w:tcW w:w="2551" w:type="dxa"/>
            <w:vAlign w:val="center"/>
          </w:tcPr>
          <w:p>
            <w:pPr>
              <w:pStyle w:val="13"/>
            </w:pPr>
            <w:r>
              <w:t>136.11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28.26</w:t>
            </w:r>
          </w:p>
        </w:tc>
        <w:tc>
          <w:tcPr>
            <w:tcW w:w="2551" w:type="dxa"/>
            <w:vAlign w:val="center"/>
          </w:tcPr>
          <w:p>
            <w:pPr>
              <w:pStyle w:val="13"/>
            </w:pPr>
            <w:r>
              <w:t>28.26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36.38</w:t>
            </w:r>
          </w:p>
        </w:tc>
        <w:tc>
          <w:tcPr>
            <w:tcW w:w="2551" w:type="dxa"/>
            <w:vAlign w:val="center"/>
          </w:tcPr>
          <w:p>
            <w:pPr>
              <w:pStyle w:val="13"/>
            </w:pPr>
            <w:r>
              <w:t>36.38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3"/>
            </w:pPr>
            <w:r>
              <w:t>27.47</w:t>
            </w:r>
          </w:p>
        </w:tc>
        <w:tc>
          <w:tcPr>
            <w:tcW w:w="2551" w:type="dxa"/>
            <w:vAlign w:val="center"/>
          </w:tcPr>
          <w:p>
            <w:pPr>
              <w:pStyle w:val="13"/>
            </w:pPr>
            <w:r>
              <w:t>27.47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11.71</w:t>
            </w:r>
          </w:p>
        </w:tc>
        <w:tc>
          <w:tcPr>
            <w:tcW w:w="2551" w:type="dxa"/>
            <w:vAlign w:val="center"/>
          </w:tcPr>
          <w:p>
            <w:pPr>
              <w:pStyle w:val="13"/>
            </w:pPr>
            <w:r>
              <w:t>11.71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3"/>
            </w:pPr>
            <w:r>
              <w:t>6.15</w:t>
            </w:r>
          </w:p>
        </w:tc>
        <w:tc>
          <w:tcPr>
            <w:tcW w:w="2551" w:type="dxa"/>
            <w:vAlign w:val="center"/>
          </w:tcPr>
          <w:p>
            <w:pPr>
              <w:pStyle w:val="13"/>
            </w:pPr>
            <w:r>
              <w:t>6.15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3"/>
            </w:pPr>
            <w:r>
              <w:t>4.76</w:t>
            </w:r>
          </w:p>
        </w:tc>
        <w:tc>
          <w:tcPr>
            <w:tcW w:w="2551" w:type="dxa"/>
            <w:vAlign w:val="center"/>
          </w:tcPr>
          <w:p>
            <w:pPr>
              <w:pStyle w:val="13"/>
            </w:pPr>
            <w:r>
              <w:t>4.76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11.68</w:t>
            </w:r>
          </w:p>
        </w:tc>
        <w:tc>
          <w:tcPr>
            <w:tcW w:w="2551" w:type="dxa"/>
            <w:vAlign w:val="center"/>
          </w:tcPr>
          <w:p>
            <w:pPr>
              <w:pStyle w:val="13"/>
            </w:pPr>
            <w:r>
              <w:t>11.68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3"/>
            </w:pPr>
            <w:r>
              <w:t>9.71</w:t>
            </w:r>
          </w:p>
        </w:tc>
        <w:tc>
          <w:tcPr>
            <w:tcW w:w="2551" w:type="dxa"/>
            <w:vAlign w:val="center"/>
          </w:tcPr>
          <w:p>
            <w:pPr>
              <w:pStyle w:val="13"/>
            </w:pPr>
            <w:r>
              <w:t>9.71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132.90</w:t>
            </w:r>
          </w:p>
        </w:tc>
        <w:tc>
          <w:tcPr>
            <w:tcW w:w="2551" w:type="dxa"/>
            <w:vAlign w:val="center"/>
          </w:tcPr>
          <w:p>
            <w:pPr>
              <w:pStyle w:val="13"/>
            </w:pPr>
          </w:p>
        </w:tc>
        <w:tc>
          <w:tcPr>
            <w:tcW w:w="2551" w:type="dxa"/>
            <w:vAlign w:val="center"/>
          </w:tcPr>
          <w:p>
            <w:pPr>
              <w:pStyle w:val="13"/>
            </w:pPr>
            <w:r>
              <w:t>132.90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2.70</w:t>
            </w:r>
          </w:p>
        </w:tc>
        <w:tc>
          <w:tcPr>
            <w:tcW w:w="2551" w:type="dxa"/>
            <w:vAlign w:val="center"/>
          </w:tcPr>
          <w:p>
            <w:pPr>
              <w:pStyle w:val="13"/>
            </w:pPr>
          </w:p>
        </w:tc>
        <w:tc>
          <w:tcPr>
            <w:tcW w:w="2551"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3"/>
            </w:pPr>
            <w:r>
              <w:t>52.50</w:t>
            </w:r>
          </w:p>
        </w:tc>
        <w:tc>
          <w:tcPr>
            <w:tcW w:w="2551" w:type="dxa"/>
            <w:vAlign w:val="center"/>
          </w:tcPr>
          <w:p>
            <w:pPr>
              <w:pStyle w:val="13"/>
            </w:pPr>
          </w:p>
        </w:tc>
        <w:tc>
          <w:tcPr>
            <w:tcW w:w="2551" w:type="dxa"/>
            <w:vAlign w:val="center"/>
          </w:tcPr>
          <w:p>
            <w:pPr>
              <w:pStyle w:val="13"/>
            </w:pPr>
            <w:r>
              <w:t>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3"/>
            </w:pPr>
            <w:r>
              <w:t>72.50</w:t>
            </w:r>
          </w:p>
        </w:tc>
        <w:tc>
          <w:tcPr>
            <w:tcW w:w="2551" w:type="dxa"/>
            <w:vAlign w:val="center"/>
          </w:tcPr>
          <w:p>
            <w:pPr>
              <w:pStyle w:val="13"/>
            </w:pPr>
          </w:p>
        </w:tc>
        <w:tc>
          <w:tcPr>
            <w:tcW w:w="2551" w:type="dxa"/>
            <w:vAlign w:val="center"/>
          </w:tcPr>
          <w:p>
            <w:pPr>
              <w:pStyle w:val="13"/>
            </w:pPr>
            <w:r>
              <w:t>72.50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3"/>
            </w:pPr>
            <w:r>
              <w:t>0.67</w:t>
            </w:r>
          </w:p>
        </w:tc>
        <w:tc>
          <w:tcPr>
            <w:tcW w:w="2551" w:type="dxa"/>
            <w:vAlign w:val="center"/>
          </w:tcPr>
          <w:p>
            <w:pPr>
              <w:pStyle w:val="13"/>
            </w:pPr>
          </w:p>
        </w:tc>
        <w:tc>
          <w:tcPr>
            <w:tcW w:w="2551" w:type="dxa"/>
            <w:vAlign w:val="center"/>
          </w:tcPr>
          <w:p>
            <w:pPr>
              <w:pStyle w:val="13"/>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3"/>
            </w:pPr>
            <w:r>
              <w:t>0.71</w:t>
            </w:r>
          </w:p>
        </w:tc>
        <w:tc>
          <w:tcPr>
            <w:tcW w:w="2551" w:type="dxa"/>
            <w:vAlign w:val="center"/>
          </w:tcPr>
          <w:p>
            <w:pPr>
              <w:pStyle w:val="13"/>
            </w:pPr>
          </w:p>
        </w:tc>
        <w:tc>
          <w:tcPr>
            <w:tcW w:w="2551" w:type="dxa"/>
            <w:vAlign w:val="center"/>
          </w:tcPr>
          <w:p>
            <w:pPr>
              <w:pStyle w:val="13"/>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3"/>
            </w:pPr>
            <w:r>
              <w:t>2.20</w:t>
            </w:r>
          </w:p>
        </w:tc>
        <w:tc>
          <w:tcPr>
            <w:tcW w:w="2551" w:type="dxa"/>
            <w:vAlign w:val="center"/>
          </w:tcPr>
          <w:p>
            <w:pPr>
              <w:pStyle w:val="13"/>
            </w:pPr>
          </w:p>
        </w:tc>
        <w:tc>
          <w:tcPr>
            <w:tcW w:w="2551"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3"/>
            </w:pPr>
            <w:r>
              <w:t>1.56</w:t>
            </w:r>
          </w:p>
        </w:tc>
        <w:tc>
          <w:tcPr>
            <w:tcW w:w="2551" w:type="dxa"/>
            <w:vAlign w:val="center"/>
          </w:tcPr>
          <w:p>
            <w:pPr>
              <w:pStyle w:val="13"/>
            </w:pPr>
          </w:p>
        </w:tc>
        <w:tc>
          <w:tcPr>
            <w:tcW w:w="2551" w:type="dxa"/>
            <w:vAlign w:val="center"/>
          </w:tcPr>
          <w:p>
            <w:pPr>
              <w:pStyle w:val="13"/>
            </w:pPr>
            <w:r>
              <w:t>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3"/>
            </w:pPr>
            <w:r>
              <w:t>0.07</w:t>
            </w:r>
          </w:p>
        </w:tc>
        <w:tc>
          <w:tcPr>
            <w:tcW w:w="2551" w:type="dxa"/>
            <w:vAlign w:val="center"/>
          </w:tcPr>
          <w:p>
            <w:pPr>
              <w:pStyle w:val="13"/>
            </w:pPr>
          </w:p>
        </w:tc>
        <w:tc>
          <w:tcPr>
            <w:tcW w:w="2551" w:type="dxa"/>
            <w:vAlign w:val="center"/>
          </w:tcPr>
          <w:p>
            <w:pPr>
              <w:pStyle w:val="13"/>
            </w:pPr>
            <w:r>
              <w:t>0.07</w:t>
            </w:r>
          </w:p>
        </w:tc>
      </w:tr>
    </w:tbl>
    <w:p>
      <w:pPr>
        <w:sectPr>
          <w:pgSz w:w="16840" w:h="11900" w:orient="landscape"/>
          <w:pgMar w:top="1361" w:right="1020" w:bottom="1134" w:left="1020" w:header="720" w:footer="720" w:gutter="0"/>
          <w:cols w:space="720" w:num="1"/>
        </w:sectPr>
      </w:pPr>
    </w:p>
    <w:p>
      <w:pPr>
        <w:jc w:val="center"/>
        <w:outlineLvl w:val="1"/>
      </w:pPr>
      <w:bookmarkStart w:id="6" w:name="_Toc28942"/>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430石家庄市藁城区机关事务服务中心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10679"/>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430石家庄市藁城区机关事务服务中心</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4976"/>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430石家庄市藁城区机关事务服务中心</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4"/>
            </w:pPr>
            <w:r>
              <w:t>合计</w:t>
            </w:r>
          </w:p>
        </w:tc>
        <w:tc>
          <w:tcPr>
            <w:tcW w:w="2382" w:type="dxa"/>
            <w:vAlign w:val="center"/>
          </w:tcPr>
          <w:p>
            <w:pPr>
              <w:pStyle w:val="15"/>
              <w:rPr>
                <w:rFonts w:hint="default"/>
                <w:lang w:val="en-US" w:eastAsia="zh-CN"/>
              </w:rPr>
            </w:pPr>
            <w:r>
              <w:rPr>
                <w:rFonts w:hint="eastAsia"/>
                <w:lang w:val="en-US" w:eastAsia="zh-CN"/>
              </w:rPr>
              <w:t>50.6</w:t>
            </w:r>
          </w:p>
        </w:tc>
        <w:tc>
          <w:tcPr>
            <w:tcW w:w="2381" w:type="dxa"/>
            <w:vAlign w:val="center"/>
          </w:tcPr>
          <w:p>
            <w:pPr>
              <w:pStyle w:val="15"/>
              <w:rPr>
                <w:rFonts w:hint="default"/>
                <w:lang w:val="en-US" w:eastAsia="zh-CN"/>
              </w:rPr>
            </w:pPr>
            <w:r>
              <w:rPr>
                <w:rFonts w:hint="eastAsia"/>
                <w:lang w:val="en-US" w:eastAsia="zh-CN"/>
              </w:rPr>
              <w:t>50.6</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2"/>
            </w:pPr>
            <w:r>
              <w:t>“三公”经费小计</w:t>
            </w:r>
          </w:p>
        </w:tc>
        <w:tc>
          <w:tcPr>
            <w:tcW w:w="2382" w:type="dxa"/>
            <w:vAlign w:val="center"/>
          </w:tcPr>
          <w:p>
            <w:pPr>
              <w:pStyle w:val="13"/>
              <w:rPr>
                <w:lang w:eastAsia="zh-CN"/>
              </w:rPr>
            </w:pPr>
            <w:r>
              <w:rPr>
                <w:rFonts w:hint="eastAsia"/>
                <w:lang w:eastAsia="zh-CN"/>
              </w:rPr>
              <w:t>50.6</w:t>
            </w:r>
          </w:p>
        </w:tc>
        <w:tc>
          <w:tcPr>
            <w:tcW w:w="2381" w:type="dxa"/>
            <w:vAlign w:val="center"/>
          </w:tcPr>
          <w:p>
            <w:pPr>
              <w:pStyle w:val="13"/>
              <w:rPr>
                <w:lang w:eastAsia="zh-CN"/>
              </w:rPr>
            </w:pPr>
            <w:r>
              <w:rPr>
                <w:rFonts w:hint="eastAsia"/>
                <w:lang w:eastAsia="zh-CN"/>
              </w:rPr>
              <w:t>50.6</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2"/>
            </w:pPr>
            <w: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2"/>
            </w:pPr>
            <w:r>
              <w:t xml:space="preserve">    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2"/>
            </w:pPr>
            <w:r>
              <w:t xml:space="preserve">          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2"/>
            </w:pPr>
            <w:r>
              <w:t>二、公务用车购置及运维费</w:t>
            </w:r>
          </w:p>
        </w:tc>
        <w:tc>
          <w:tcPr>
            <w:tcW w:w="2382" w:type="dxa"/>
            <w:vAlign w:val="center"/>
          </w:tcPr>
          <w:p>
            <w:pPr>
              <w:pStyle w:val="13"/>
              <w:rPr>
                <w:lang w:eastAsia="zh-CN"/>
              </w:rPr>
            </w:pPr>
            <w:r>
              <w:rPr>
                <w:rFonts w:hint="eastAsia"/>
                <w:lang w:eastAsia="zh-CN"/>
              </w:rPr>
              <w:t>50.6</w:t>
            </w:r>
          </w:p>
        </w:tc>
        <w:tc>
          <w:tcPr>
            <w:tcW w:w="2381" w:type="dxa"/>
            <w:vAlign w:val="center"/>
          </w:tcPr>
          <w:p>
            <w:pPr>
              <w:pStyle w:val="13"/>
              <w:rPr>
                <w:lang w:eastAsia="zh-CN"/>
              </w:rPr>
            </w:pPr>
            <w:r>
              <w:rPr>
                <w:rFonts w:hint="eastAsia"/>
                <w:lang w:eastAsia="zh-CN"/>
              </w:rPr>
              <w:t>50.6</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2"/>
            </w:pPr>
            <w:r>
              <w:t xml:space="preserve">    其中：公务用车购置费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2"/>
            </w:pPr>
            <w:r>
              <w:t xml:space="preserve">          公务用车运行维护费</w:t>
            </w:r>
          </w:p>
        </w:tc>
        <w:tc>
          <w:tcPr>
            <w:tcW w:w="2382" w:type="dxa"/>
            <w:vAlign w:val="center"/>
          </w:tcPr>
          <w:p>
            <w:pPr>
              <w:pStyle w:val="13"/>
            </w:pPr>
            <w:r>
              <w:t>50.60</w:t>
            </w:r>
          </w:p>
        </w:tc>
        <w:tc>
          <w:tcPr>
            <w:tcW w:w="2381" w:type="dxa"/>
            <w:vAlign w:val="center"/>
          </w:tcPr>
          <w:p>
            <w:pPr>
              <w:pStyle w:val="13"/>
            </w:pPr>
            <w:r>
              <w:t>50.60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2"/>
            </w:pPr>
            <w:r>
              <w:t>三、公务接待费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石家庄市藁城区机关事务服务中心2022年部门预算信息公开情况说明</w:t>
      </w:r>
    </w:p>
    <w:p>
      <w:pPr>
        <w:jc w:val="center"/>
      </w:pPr>
      <w:r>
        <w:rPr>
          <w:rFonts w:ascii="方正小标宋_GBK" w:hAnsi="方正小标宋_GBK" w:eastAsia="方正小标宋_GBK" w:cs="方正小标宋_GBK"/>
          <w:color w:val="000000"/>
          <w:sz w:val="44"/>
        </w:rPr>
        <w:t>石家庄市藁城区机关事务服务中心2022年部门预算信息公开情况说明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按照《预算法》、《地方预决算公开操作规程》和《关于进一步推进预算公开工作的实施意见》规定，现将石家庄市藁城区机关事务服务中心2022年部门预算公开如下：</w:t>
      </w:r>
    </w:p>
    <w:p>
      <w:pPr>
        <w:spacing w:before="10" w:after="10" w:line="360" w:lineRule="auto"/>
        <w:ind w:firstLine="640"/>
        <w:outlineLvl w:val="2"/>
      </w:pPr>
      <w:bookmarkStart w:id="9" w:name="_Toc10874"/>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机关事务服务中心是区委主管行政事务和保障的工作机构，主要负责东西两院的后勤保障工作。在上级部门正确领导下，2021年认真贯彻上级文件精神，部门整体职责是：</w:t>
      </w:r>
    </w:p>
    <w:p>
      <w:pPr>
        <w:pStyle w:val="17"/>
      </w:pPr>
      <w:r>
        <w:t>一、保障各项后勤工作顺利开展。</w:t>
      </w:r>
    </w:p>
    <w:p>
      <w:pPr>
        <w:pStyle w:val="17"/>
      </w:pPr>
      <w:r>
        <w:t>二、加强消防管理工作，排除消防安全隐患对大楼的监控设施和防雷设备进行定期维护，对两院的电梯进行定维护和保养。为政府大楼创造安全和谐的办公环境。</w:t>
      </w:r>
    </w:p>
    <w:p>
      <w:pPr>
        <w:pStyle w:val="17"/>
      </w:pPr>
      <w:r>
        <w:t>三、做好大院卫生和绿化管理工作，保持大院、大楼正常清洁，干净整齐，不留死角，绿化美化政策明显。</w:t>
      </w:r>
    </w:p>
    <w:p>
      <w:pPr>
        <w:pStyle w:val="17"/>
      </w:pPr>
      <w:r>
        <w:t>四、认真做好食堂餐饮及卫生管理工作，对食堂的操作间和就餐环境进行全面改造，保证领导干部职工用餐安全卫生。</w:t>
      </w:r>
    </w:p>
    <w:p>
      <w:pPr>
        <w:pStyle w:val="17"/>
      </w:pPr>
      <w:r>
        <w:t>五、加强安全保卫管理，认真查处外来上访人员违法门口聚集保障区委、区政府门口秩序，保障工作人员正常工作秩序。</w:t>
      </w:r>
    </w:p>
    <w:p>
      <w:pPr>
        <w:pStyle w:val="17"/>
      </w:pPr>
      <w:r>
        <w:t>六、做好公车管理中心的公务用车管理工作。工作达到干部职工的满意</w:t>
      </w:r>
    </w:p>
    <w:p>
      <w:pPr>
        <w:ind w:firstLine="640"/>
        <w:rPr>
          <w:rFonts w:ascii="方正楷体_GBK" w:hAnsi="方正楷体_GBK" w:eastAsia="方正楷体_GBK" w:cs="方正楷体_GBK"/>
          <w:b/>
          <w:color w:val="000000"/>
          <w:sz w:val="32"/>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石家庄市藁城区机关事务服务中心本级</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财政性资金基本保证</w:t>
            </w:r>
          </w:p>
        </w:tc>
      </w:tr>
    </w:tbl>
    <w:p>
      <w:pPr>
        <w:spacing w:before="10" w:after="10" w:line="360" w:lineRule="auto"/>
        <w:ind w:firstLine="640"/>
        <w:outlineLvl w:val="2"/>
      </w:pPr>
      <w:bookmarkStart w:id="10" w:name="_Toc30661"/>
      <w:r>
        <w:rPr>
          <w:rFonts w:ascii="黑体" w:hAnsi="黑体" w:eastAsia="黑体" w:cs="黑体"/>
          <w:color w:val="000000"/>
          <w:sz w:val="32"/>
        </w:rPr>
        <w:t>二、部门预算安排的总体情况</w:t>
      </w:r>
      <w:bookmarkEnd w:id="10"/>
    </w:p>
    <w:p>
      <w:pPr>
        <w:spacing w:line="500" w:lineRule="exact"/>
        <w:ind w:firstLine="560"/>
        <w:rPr>
          <w:rFonts w:eastAsia="方正仿宋_GBK" w:cs="Times New Roman"/>
          <w:color w:val="000000"/>
          <w:sz w:val="28"/>
        </w:rPr>
      </w:pPr>
      <w:r>
        <w:rPr>
          <w:rFonts w:eastAsia="方正仿宋_GBK" w:cs="Times New Roman"/>
          <w:color w:val="000000"/>
          <w:sz w:val="28"/>
        </w:rPr>
        <w:t>按照预算管理有关规定，目前我省部门预算的编制实行综合预算管理，即全部收入和支出都反映在预算中。石家庄市藁城区机关事务服务中心机关及所属事业单位的收支包含在部门预算中。</w:t>
      </w:r>
    </w:p>
    <w:p>
      <w:pPr>
        <w:spacing w:line="460" w:lineRule="exact"/>
        <w:ind w:firstLine="640"/>
        <w:rPr>
          <w:rFonts w:eastAsia="仿宋" w:cs="Times New Roman"/>
          <w:sz w:val="32"/>
          <w:szCs w:val="32"/>
        </w:rPr>
      </w:pPr>
      <w:r>
        <w:rPr>
          <w:rFonts w:hint="eastAsia" w:eastAsia="仿宋" w:cs="Times New Roman"/>
          <w:sz w:val="32"/>
          <w:szCs w:val="32"/>
        </w:rPr>
        <w:t>1、</w:t>
      </w:r>
      <w:r>
        <w:rPr>
          <w:rFonts w:eastAsia="仿宋" w:cs="Times New Roman"/>
          <w:sz w:val="32"/>
          <w:szCs w:val="32"/>
        </w:rPr>
        <w:t>收入说明</w:t>
      </w:r>
    </w:p>
    <w:p>
      <w:pPr>
        <w:spacing w:line="460" w:lineRule="exact"/>
        <w:ind w:firstLine="640"/>
        <w:rPr>
          <w:rFonts w:eastAsia="仿宋" w:cs="Times New Roman"/>
          <w:sz w:val="32"/>
          <w:szCs w:val="32"/>
          <w:highlight w:val="red"/>
        </w:rPr>
      </w:pPr>
      <w:r>
        <w:rPr>
          <w:rFonts w:hint="eastAsia" w:eastAsia="仿宋" w:cs="Times New Roman"/>
          <w:sz w:val="32"/>
          <w:szCs w:val="32"/>
        </w:rPr>
        <w:t>反映本部门当年全部收入。2022年预算收入</w:t>
      </w:r>
      <w:r>
        <w:rPr>
          <w:rFonts w:hint="eastAsia" w:eastAsia="仿宋" w:cs="Times New Roman"/>
          <w:sz w:val="32"/>
          <w:szCs w:val="32"/>
          <w:lang w:eastAsia="zh-CN"/>
        </w:rPr>
        <w:t xml:space="preserve">628.41 </w:t>
      </w:r>
      <w:r>
        <w:rPr>
          <w:rFonts w:hint="eastAsia" w:eastAsia="仿宋" w:cs="Times New Roman"/>
          <w:sz w:val="32"/>
          <w:szCs w:val="32"/>
        </w:rPr>
        <w:t>万元，其中：一般公共预算收入</w:t>
      </w:r>
      <w:r>
        <w:rPr>
          <w:rFonts w:hint="eastAsia" w:eastAsia="仿宋" w:cs="Times New Roman"/>
          <w:sz w:val="32"/>
          <w:szCs w:val="32"/>
          <w:lang w:eastAsia="zh-CN"/>
        </w:rPr>
        <w:t>628.41</w:t>
      </w:r>
      <w:r>
        <w:rPr>
          <w:rFonts w:hint="eastAsia" w:eastAsia="仿宋" w:cs="Times New Roman"/>
          <w:sz w:val="32"/>
          <w:szCs w:val="32"/>
        </w:rPr>
        <w:t>万元，基金预算收入0万元，财政专户核拨收入0万元，其他来源收入0万元。</w:t>
      </w:r>
    </w:p>
    <w:p>
      <w:pPr>
        <w:spacing w:line="460" w:lineRule="exact"/>
        <w:ind w:firstLine="640"/>
        <w:rPr>
          <w:rFonts w:eastAsia="仿宋" w:cs="Times New Roman"/>
          <w:sz w:val="32"/>
          <w:szCs w:val="32"/>
        </w:rPr>
      </w:pPr>
      <w:r>
        <w:rPr>
          <w:rFonts w:hint="eastAsia" w:eastAsia="仿宋" w:cs="Times New Roman"/>
          <w:sz w:val="32"/>
          <w:szCs w:val="32"/>
        </w:rPr>
        <w:t>2、</w:t>
      </w:r>
      <w:r>
        <w:rPr>
          <w:rFonts w:eastAsia="仿宋" w:cs="Times New Roman"/>
          <w:sz w:val="32"/>
          <w:szCs w:val="32"/>
        </w:rPr>
        <w:t>支出说明</w:t>
      </w:r>
    </w:p>
    <w:p>
      <w:pPr>
        <w:spacing w:line="460" w:lineRule="exact"/>
        <w:ind w:firstLine="640"/>
        <w:rPr>
          <w:rFonts w:eastAsia="仿宋" w:cs="Times New Roman"/>
          <w:sz w:val="32"/>
          <w:szCs w:val="32"/>
        </w:rPr>
      </w:pPr>
      <w:r>
        <w:rPr>
          <w:rFonts w:hint="eastAsia" w:eastAsia="仿宋" w:cs="Times New Roman"/>
          <w:sz w:val="32"/>
          <w:szCs w:val="32"/>
        </w:rPr>
        <w:t>收支预算总表支出栏、基本支出表、项目支出表按经济分类和支出功能分类科目编制，反映本部门预算中支出预算的总体情况。2022年部门支出预算为</w:t>
      </w:r>
      <w:r>
        <w:rPr>
          <w:rFonts w:hint="eastAsia" w:eastAsia="仿宋" w:cs="Times New Roman"/>
          <w:sz w:val="32"/>
          <w:szCs w:val="32"/>
          <w:lang w:eastAsia="zh-CN"/>
        </w:rPr>
        <w:t>628.41</w:t>
      </w:r>
      <w:r>
        <w:rPr>
          <w:rFonts w:hint="eastAsia" w:eastAsia="仿宋" w:cs="Times New Roman"/>
          <w:sz w:val="32"/>
          <w:szCs w:val="32"/>
        </w:rPr>
        <w:t>万元，其中基本支出</w:t>
      </w:r>
      <w:r>
        <w:rPr>
          <w:rFonts w:hint="eastAsia" w:eastAsia="仿宋" w:cs="Times New Roman"/>
          <w:sz w:val="32"/>
          <w:szCs w:val="32"/>
          <w:lang w:eastAsia="zh-CN"/>
        </w:rPr>
        <w:t>269.01</w:t>
      </w:r>
      <w:r>
        <w:rPr>
          <w:rFonts w:hint="eastAsia" w:eastAsia="仿宋" w:cs="Times New Roman"/>
          <w:sz w:val="32"/>
          <w:szCs w:val="32"/>
        </w:rPr>
        <w:t>万元，包括人员经费</w:t>
      </w:r>
      <w:r>
        <w:rPr>
          <w:rFonts w:hint="eastAsia" w:eastAsia="仿宋" w:cs="Times New Roman"/>
          <w:sz w:val="32"/>
          <w:szCs w:val="32"/>
          <w:lang w:eastAsia="zh-CN"/>
        </w:rPr>
        <w:t>136.11</w:t>
      </w:r>
      <w:r>
        <w:rPr>
          <w:rFonts w:hint="eastAsia" w:eastAsia="仿宋" w:cs="Times New Roman"/>
          <w:sz w:val="32"/>
          <w:szCs w:val="32"/>
        </w:rPr>
        <w:t>万元和日常公用经费</w:t>
      </w:r>
      <w:r>
        <w:rPr>
          <w:rFonts w:hint="eastAsia" w:eastAsia="仿宋" w:cs="Times New Roman"/>
          <w:sz w:val="32"/>
          <w:szCs w:val="32"/>
          <w:lang w:eastAsia="zh-CN"/>
        </w:rPr>
        <w:t>132.90</w:t>
      </w:r>
      <w:r>
        <w:rPr>
          <w:rFonts w:hint="eastAsia" w:eastAsia="仿宋" w:cs="Times New Roman"/>
          <w:sz w:val="32"/>
          <w:szCs w:val="32"/>
        </w:rPr>
        <w:t>万元；项目支出</w:t>
      </w:r>
      <w:r>
        <w:rPr>
          <w:rFonts w:hint="eastAsia" w:eastAsia="仿宋" w:cs="Times New Roman"/>
          <w:sz w:val="32"/>
          <w:szCs w:val="32"/>
          <w:lang w:eastAsia="zh-CN"/>
        </w:rPr>
        <w:t>359.40</w:t>
      </w:r>
      <w:r>
        <w:rPr>
          <w:rFonts w:hint="eastAsia" w:eastAsia="仿宋" w:cs="Times New Roman"/>
          <w:sz w:val="32"/>
          <w:szCs w:val="32"/>
        </w:rPr>
        <w:t>万元，主要为公车管理中心运行经费</w:t>
      </w:r>
      <w:r>
        <w:rPr>
          <w:rFonts w:hint="eastAsia" w:eastAsia="仿宋" w:cs="Times New Roman"/>
          <w:sz w:val="32"/>
          <w:szCs w:val="32"/>
          <w:lang w:eastAsia="zh-CN"/>
        </w:rPr>
        <w:t>48.40万元：</w:t>
      </w:r>
      <w:r>
        <w:rPr>
          <w:rFonts w:hint="eastAsia" w:eastAsia="仿宋" w:cs="Times New Roman"/>
          <w:sz w:val="32"/>
          <w:szCs w:val="32"/>
        </w:rPr>
        <w:t>劳务派遣人员经费</w:t>
      </w:r>
      <w:r>
        <w:rPr>
          <w:rFonts w:hint="eastAsia" w:eastAsia="仿宋" w:cs="Times New Roman"/>
          <w:sz w:val="32"/>
          <w:szCs w:val="32"/>
          <w:lang w:eastAsia="zh-CN"/>
        </w:rPr>
        <w:t>96万元；</w:t>
      </w:r>
      <w:r>
        <w:rPr>
          <w:rFonts w:hint="eastAsia" w:eastAsia="仿宋" w:cs="Times New Roman"/>
          <w:sz w:val="32"/>
          <w:szCs w:val="32"/>
        </w:rPr>
        <w:t>区委办会议组织和协调运转费</w:t>
      </w:r>
      <w:r>
        <w:rPr>
          <w:rFonts w:hint="eastAsia" w:eastAsia="仿宋" w:cs="Times New Roman"/>
          <w:sz w:val="32"/>
          <w:szCs w:val="32"/>
          <w:lang w:eastAsia="zh-CN"/>
        </w:rPr>
        <w:t>97万元；政府</w:t>
      </w:r>
      <w:r>
        <w:rPr>
          <w:rFonts w:hint="eastAsia" w:eastAsia="仿宋" w:cs="Times New Roman"/>
          <w:sz w:val="32"/>
          <w:szCs w:val="32"/>
        </w:rPr>
        <w:t>办会议组织和协调运转费</w:t>
      </w:r>
      <w:r>
        <w:rPr>
          <w:rFonts w:hint="eastAsia" w:eastAsia="仿宋" w:cs="Times New Roman"/>
          <w:sz w:val="32"/>
          <w:szCs w:val="32"/>
          <w:lang w:eastAsia="zh-CN"/>
        </w:rPr>
        <w:t>97万元；政府机关基本运行维护费21万元</w:t>
      </w:r>
      <w:r>
        <w:rPr>
          <w:rFonts w:hint="eastAsia" w:eastAsia="仿宋" w:cs="Times New Roman"/>
          <w:sz w:val="32"/>
          <w:szCs w:val="32"/>
        </w:rPr>
        <w:t>；其他支出0万元。</w:t>
      </w:r>
    </w:p>
    <w:p>
      <w:pPr>
        <w:spacing w:line="460" w:lineRule="exact"/>
        <w:ind w:firstLine="640"/>
        <w:rPr>
          <w:rFonts w:eastAsia="仿宋" w:cs="Times New Roman"/>
          <w:sz w:val="32"/>
          <w:szCs w:val="32"/>
          <w:lang w:eastAsia="zh-CN"/>
        </w:rPr>
      </w:pPr>
      <w:r>
        <w:rPr>
          <w:rFonts w:hint="eastAsia" w:eastAsia="仿宋" w:cs="Times New Roman"/>
          <w:sz w:val="32"/>
          <w:szCs w:val="32"/>
        </w:rPr>
        <w:t>3、比上年增减情况</w:t>
      </w:r>
    </w:p>
    <w:p>
      <w:pPr>
        <w:spacing w:line="460" w:lineRule="exact"/>
        <w:ind w:firstLine="640"/>
        <w:rPr>
          <w:rFonts w:eastAsia="仿宋" w:cs="Times New Roman"/>
          <w:sz w:val="32"/>
          <w:szCs w:val="32"/>
        </w:rPr>
      </w:pPr>
      <w:r>
        <w:rPr>
          <w:rFonts w:hint="eastAsia" w:eastAsia="仿宋" w:cs="Times New Roman"/>
          <w:sz w:val="32"/>
          <w:szCs w:val="32"/>
        </w:rPr>
        <w:t>2022年部门预算收支安排</w:t>
      </w:r>
      <w:r>
        <w:rPr>
          <w:rFonts w:hint="eastAsia" w:eastAsia="仿宋" w:cs="Times New Roman"/>
          <w:sz w:val="32"/>
          <w:szCs w:val="32"/>
          <w:lang w:eastAsia="zh-CN"/>
        </w:rPr>
        <w:t>628.41</w:t>
      </w:r>
      <w:r>
        <w:rPr>
          <w:rFonts w:hint="eastAsia" w:eastAsia="仿宋" w:cs="Times New Roman"/>
          <w:sz w:val="32"/>
          <w:szCs w:val="32"/>
        </w:rPr>
        <w:t>万元，较2021年</w:t>
      </w:r>
      <w:r>
        <w:rPr>
          <w:rFonts w:hint="eastAsia" w:eastAsia="仿宋" w:cs="Times New Roman"/>
          <w:sz w:val="32"/>
          <w:szCs w:val="32"/>
          <w:lang w:eastAsia="zh-CN"/>
        </w:rPr>
        <w:t>增加32.17</w:t>
      </w:r>
      <w:r>
        <w:rPr>
          <w:rFonts w:hint="eastAsia" w:eastAsia="仿宋" w:cs="Times New Roman"/>
          <w:sz w:val="32"/>
          <w:szCs w:val="32"/>
        </w:rPr>
        <w:t>万元，其中：基本支出</w:t>
      </w:r>
      <w:r>
        <w:rPr>
          <w:rFonts w:hint="eastAsia" w:eastAsia="仿宋" w:cs="Times New Roman"/>
          <w:sz w:val="32"/>
          <w:szCs w:val="32"/>
          <w:lang w:eastAsia="zh-CN"/>
        </w:rPr>
        <w:t>增加35.41</w:t>
      </w:r>
      <w:r>
        <w:rPr>
          <w:rFonts w:hint="eastAsia" w:eastAsia="仿宋" w:cs="Times New Roman"/>
          <w:sz w:val="32"/>
          <w:szCs w:val="32"/>
        </w:rPr>
        <w:t>万元，主要是人员</w:t>
      </w:r>
      <w:r>
        <w:rPr>
          <w:rFonts w:hint="eastAsia" w:eastAsia="仿宋" w:cs="Times New Roman"/>
          <w:sz w:val="32"/>
          <w:szCs w:val="32"/>
          <w:lang w:eastAsia="zh-CN"/>
        </w:rPr>
        <w:t>增加</w:t>
      </w:r>
      <w:r>
        <w:rPr>
          <w:rFonts w:hint="eastAsia" w:eastAsia="仿宋" w:cs="Times New Roman"/>
          <w:sz w:val="32"/>
          <w:szCs w:val="32"/>
        </w:rPr>
        <w:t>，相应</w:t>
      </w:r>
      <w:r>
        <w:rPr>
          <w:rFonts w:hint="eastAsia" w:eastAsia="仿宋" w:cs="Times New Roman"/>
          <w:sz w:val="32"/>
          <w:szCs w:val="32"/>
          <w:lang w:eastAsia="zh-CN"/>
        </w:rPr>
        <w:t>增加</w:t>
      </w:r>
      <w:r>
        <w:rPr>
          <w:rFonts w:hint="eastAsia" w:eastAsia="仿宋" w:cs="Times New Roman"/>
          <w:sz w:val="32"/>
          <w:szCs w:val="32"/>
        </w:rPr>
        <w:t>人员经费和日常公用经费；项目支出</w:t>
      </w:r>
      <w:r>
        <w:rPr>
          <w:rFonts w:hint="eastAsia" w:eastAsia="仿宋" w:cs="Times New Roman"/>
          <w:sz w:val="32"/>
          <w:szCs w:val="32"/>
          <w:lang w:eastAsia="zh-CN"/>
        </w:rPr>
        <w:t>减少3.24万元</w:t>
      </w:r>
      <w:r>
        <w:rPr>
          <w:rFonts w:hint="eastAsia" w:eastAsia="仿宋" w:cs="Times New Roman"/>
          <w:sz w:val="32"/>
          <w:szCs w:val="32"/>
        </w:rPr>
        <w:t>；其他支出无增减变化。</w:t>
      </w:r>
    </w:p>
    <w:p>
      <w:pPr>
        <w:pStyle w:val="18"/>
        <w:rPr>
          <w:highlight w:val="red"/>
        </w:rPr>
      </w:pPr>
    </w:p>
    <w:p>
      <w:pPr>
        <w:pStyle w:val="18"/>
        <w:ind w:firstLine="0"/>
        <w:rPr>
          <w:highlight w:val="red"/>
        </w:rPr>
      </w:pPr>
    </w:p>
    <w:p>
      <w:pPr>
        <w:spacing w:before="10" w:after="10" w:line="360" w:lineRule="auto"/>
        <w:ind w:firstLine="640"/>
        <w:outlineLvl w:val="2"/>
      </w:pPr>
      <w:bookmarkStart w:id="11" w:name="_Toc29372"/>
      <w:r>
        <w:rPr>
          <w:rFonts w:ascii="黑体" w:hAnsi="黑体" w:eastAsia="黑体" w:cs="黑体"/>
          <w:color w:val="000000"/>
          <w:sz w:val="32"/>
        </w:rPr>
        <w:t>三、机关运行经费安排情况</w:t>
      </w:r>
      <w:bookmarkEnd w:id="11"/>
    </w:p>
    <w:p>
      <w:pPr>
        <w:pStyle w:val="19"/>
      </w:pPr>
      <w:r>
        <w:rPr>
          <w:rFonts w:hint="eastAsia" w:eastAsia="仿宋"/>
          <w:sz w:val="32"/>
          <w:szCs w:val="32"/>
        </w:rPr>
        <w:t>2022年，我部门机关运行经费共计安排</w:t>
      </w:r>
      <w:r>
        <w:rPr>
          <w:rFonts w:hint="eastAsia" w:eastAsia="仿宋"/>
          <w:sz w:val="32"/>
          <w:szCs w:val="32"/>
          <w:lang w:eastAsia="zh-CN"/>
        </w:rPr>
        <w:t>21</w:t>
      </w:r>
      <w:r>
        <w:rPr>
          <w:rFonts w:hint="eastAsia" w:eastAsia="仿宋"/>
          <w:sz w:val="32"/>
          <w:szCs w:val="32"/>
        </w:rPr>
        <w:t>万元，主要用于保证机关正常运转的办公费、邮电费、公务交通补贴、工会经费、福利费、党组织活动经费等支出。</w:t>
      </w:r>
    </w:p>
    <w:p>
      <w:pPr>
        <w:spacing w:before="10" w:after="10" w:line="360" w:lineRule="auto"/>
        <w:ind w:firstLine="640"/>
        <w:outlineLvl w:val="2"/>
      </w:pPr>
      <w:bookmarkStart w:id="12" w:name="_Toc16645"/>
      <w:r>
        <w:rPr>
          <w:rFonts w:ascii="黑体" w:hAnsi="黑体" w:eastAsia="黑体" w:cs="黑体"/>
          <w:color w:val="000000"/>
          <w:sz w:val="32"/>
        </w:rPr>
        <w:t>四、财政拨款“三公”经费预算情况及增减变化原因</w:t>
      </w:r>
      <w:bookmarkEnd w:id="12"/>
    </w:p>
    <w:p>
      <w:pPr>
        <w:spacing w:line="460" w:lineRule="exact"/>
        <w:ind w:firstLine="640" w:firstLineChars="200"/>
        <w:rPr>
          <w:rFonts w:ascii="仿宋" w:hAnsi="仿宋" w:eastAsia="仿宋"/>
          <w:sz w:val="32"/>
          <w:szCs w:val="32"/>
        </w:rPr>
      </w:pPr>
      <w:r>
        <w:rPr>
          <w:rFonts w:hint="eastAsia" w:eastAsia="仿宋" w:cs="Times New Roman"/>
          <w:sz w:val="32"/>
          <w:szCs w:val="32"/>
        </w:rPr>
        <w:t>2022年，我部门财政拨款“三公”经费预算安排</w:t>
      </w:r>
      <w:r>
        <w:rPr>
          <w:rFonts w:hint="eastAsia" w:eastAsia="仿宋" w:cs="Times New Roman"/>
          <w:sz w:val="32"/>
          <w:szCs w:val="32"/>
          <w:lang w:eastAsia="zh-CN"/>
        </w:rPr>
        <w:t>50.6</w:t>
      </w:r>
      <w:r>
        <w:rPr>
          <w:rFonts w:hint="eastAsia" w:eastAsia="仿宋" w:cs="Times New Roman"/>
          <w:sz w:val="32"/>
          <w:szCs w:val="32"/>
        </w:rPr>
        <w:t>万元，其中：因公出国（境）费</w:t>
      </w:r>
      <w:r>
        <w:rPr>
          <w:rFonts w:hint="eastAsia" w:eastAsia="仿宋" w:cs="Times New Roman"/>
          <w:sz w:val="32"/>
          <w:szCs w:val="32"/>
          <w:lang w:eastAsia="zh-CN"/>
        </w:rPr>
        <w:t>0</w:t>
      </w:r>
      <w:r>
        <w:rPr>
          <w:rFonts w:hint="eastAsia" w:eastAsia="仿宋" w:cs="Times New Roman"/>
          <w:sz w:val="32"/>
          <w:szCs w:val="32"/>
        </w:rPr>
        <w:t>万元；公务用车购置及运维费</w:t>
      </w:r>
      <w:r>
        <w:rPr>
          <w:rFonts w:hint="eastAsia" w:eastAsia="仿宋" w:cs="Times New Roman"/>
          <w:sz w:val="32"/>
          <w:szCs w:val="32"/>
          <w:lang w:eastAsia="zh-CN"/>
        </w:rPr>
        <w:t>0</w:t>
      </w:r>
      <w:r>
        <w:rPr>
          <w:rFonts w:hint="eastAsia" w:eastAsia="仿宋" w:cs="Times New Roman"/>
          <w:sz w:val="32"/>
          <w:szCs w:val="32"/>
        </w:rPr>
        <w:t>万元（其中：公务用车购置费0万元，公务用车运行维护费</w:t>
      </w:r>
      <w:r>
        <w:rPr>
          <w:rFonts w:hint="eastAsia" w:eastAsia="仿宋" w:cs="Times New Roman"/>
          <w:sz w:val="32"/>
          <w:szCs w:val="32"/>
          <w:lang w:eastAsia="zh-CN"/>
        </w:rPr>
        <w:t>50.6</w:t>
      </w:r>
      <w:r>
        <w:rPr>
          <w:rFonts w:hint="eastAsia" w:eastAsia="仿宋" w:cs="Times New Roman"/>
          <w:sz w:val="32"/>
          <w:szCs w:val="32"/>
        </w:rPr>
        <w:t>万元)；公务接待费</w:t>
      </w:r>
      <w:r>
        <w:rPr>
          <w:rFonts w:hint="eastAsia" w:eastAsia="仿宋" w:cs="Times New Roman"/>
          <w:sz w:val="32"/>
          <w:szCs w:val="32"/>
          <w:lang w:eastAsia="zh-CN"/>
        </w:rPr>
        <w:t>0</w:t>
      </w:r>
      <w:r>
        <w:rPr>
          <w:rFonts w:hint="eastAsia" w:eastAsia="仿宋" w:cs="Times New Roman"/>
          <w:sz w:val="32"/>
          <w:szCs w:val="32"/>
        </w:rPr>
        <w:t>万元。“三公”经费与上年持平，无增减变化。</w:t>
      </w:r>
    </w:p>
    <w:p>
      <w:pPr>
        <w:pStyle w:val="20"/>
        <w:rPr>
          <w:lang w:eastAsia="zh-CN"/>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pPr>
      <w:bookmarkStart w:id="13" w:name="_Toc8592"/>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21"/>
      </w:pPr>
      <w:r>
        <w:t>一、总体绩效目标</w:t>
      </w:r>
    </w:p>
    <w:p>
      <w:pPr>
        <w:pStyle w:val="21"/>
      </w:pPr>
      <w:r>
        <w:t>机关事务服务中心是区委主管行政事务和保障的工作机构，主要负责东西两院的后勤保障工作。在上级部门正确领导下，2021年认真贯彻上级文件精神，部门整体绩效目标是：</w:t>
      </w:r>
    </w:p>
    <w:p>
      <w:pPr>
        <w:pStyle w:val="21"/>
      </w:pPr>
      <w:r>
        <w:t>一、认真贯彻落实解放思想大讨论活动精神，与推进机关后勤服务工作紧密结合，与改进工作作风紧密结合，廉洁自律，提高服务意识和工作素质，继续以良好的作风保障各项后勤工作顺利开展。</w:t>
      </w:r>
    </w:p>
    <w:p>
      <w:pPr>
        <w:pStyle w:val="21"/>
      </w:pPr>
      <w:r>
        <w:t>二、加强消防管理工作，排除消防安全隐患，防止火灾、雷电等意外事故，对大楼的监控设施和防雷设备进行定期维护，对两院的电梯进行定维护和保养。为政府大楼创造安全和谐的办公环境。</w:t>
      </w:r>
    </w:p>
    <w:p>
      <w:pPr>
        <w:pStyle w:val="21"/>
      </w:pPr>
      <w:r>
        <w:t>三、做好大院卫生和绿化管理工作，保持大院、大楼正常清洁，干净整齐，不留死角，四季有绿，绿化美化政策明显。</w:t>
      </w:r>
    </w:p>
    <w:p>
      <w:pPr>
        <w:pStyle w:val="21"/>
      </w:pPr>
      <w:r>
        <w:t>四、认真做好食堂餐饮及卫生管理工作，对食堂的操作间和就餐环境进行全面改造，保证领导干部职工用餐安全卫生。</w:t>
      </w:r>
    </w:p>
    <w:p>
      <w:pPr>
        <w:pStyle w:val="21"/>
      </w:pPr>
      <w:r>
        <w:t>五、加强安全保卫管理，认真查处外来上访人员违法门口聚集保障区委、区政府门口秩序，保障工作人员正常工作秩序。</w:t>
      </w:r>
    </w:p>
    <w:p>
      <w:pPr>
        <w:pStyle w:val="21"/>
      </w:pPr>
      <w:r>
        <w:t>六、做好公车管理中心的公务用车管理工作。工作达到干部职工的满意</w:t>
      </w:r>
    </w:p>
    <w:p>
      <w:pPr>
        <w:spacing w:line="500" w:lineRule="exact"/>
        <w:ind w:firstLine="560"/>
      </w:pPr>
      <w:r>
        <w:rPr>
          <w:rFonts w:eastAsia="方正仿宋_GBK" w:cs="Times New Roman"/>
          <w:color w:val="000000"/>
          <w:sz w:val="28"/>
        </w:rPr>
        <w:t>（二）分项绩效目标</w:t>
      </w:r>
    </w:p>
    <w:p>
      <w:pPr>
        <w:pStyle w:val="22"/>
      </w:pPr>
      <w:r>
        <w:t>二、分项绩效目标</w:t>
      </w:r>
    </w:p>
    <w:p>
      <w:pPr>
        <w:pStyle w:val="22"/>
      </w:pPr>
      <w:r>
        <w:t>（一）劳务派遣人员工资</w:t>
      </w:r>
    </w:p>
    <w:p>
      <w:pPr>
        <w:pStyle w:val="22"/>
      </w:pPr>
      <w:r>
        <w:t>绩效目标：认真做好大院各项后勤工作，保障机关各项后勤工作有序开展，保障机关工作人员按月正常发放工资.为各机关服好务。</w:t>
      </w:r>
    </w:p>
    <w:p>
      <w:pPr>
        <w:pStyle w:val="22"/>
      </w:pPr>
      <w:r>
        <w:t>绩效指标：保障工作人员工资正常发放,维护工作人员合法权益，确保单位正常运转。保障机关各项后勤工作有序开展，为各机关服好务。劳务派遣人员的满意度95%以上。</w:t>
      </w:r>
    </w:p>
    <w:p>
      <w:pPr>
        <w:pStyle w:val="22"/>
      </w:pPr>
      <w:r>
        <w:t>（二）公车管理中心运行费用</w:t>
      </w:r>
    </w:p>
    <w:p>
      <w:pPr>
        <w:pStyle w:val="22"/>
      </w:pPr>
      <w:r>
        <w:t>绩效目标：合理规范安排公务用车，定期对公车进行统一维修保养，确保管理高效，运行有序，为全区行政单位提供用车服务工作。</w:t>
      </w:r>
    </w:p>
    <w:p>
      <w:pPr>
        <w:pStyle w:val="22"/>
      </w:pPr>
      <w:r>
        <w:t>绩效指标：负责全区公务用车派遣使用维护保养等日常工作,确保公车派遣工作有序进行.确保公务用车工作正常安全完成规定要求，完成率95%以上，群众满意率95%以上。</w:t>
      </w:r>
    </w:p>
    <w:p>
      <w:pPr>
        <w:pStyle w:val="22"/>
      </w:pPr>
      <w:r>
        <w:t>（三）政府机关基本运行维护</w:t>
      </w:r>
    </w:p>
    <w:p>
      <w:pPr>
        <w:pStyle w:val="22"/>
      </w:pPr>
      <w:r>
        <w:t>绩效目标：政府食堂主要为用餐人员提供良好的饭菜质量和用餐环境，加强机关食堂各项管理工作，提高质量和服务水平，达到干部职工的满意。</w:t>
      </w:r>
    </w:p>
    <w:p>
      <w:pPr>
        <w:pStyle w:val="22"/>
      </w:pPr>
      <w:r>
        <w:t>绩效指标：认真做好机关食堂管理工作，提高饭菜质量，确保机关工作人员用餐安全卫生。食堂就餐人员对饭菜品种的满意率90%以上。</w:t>
      </w:r>
    </w:p>
    <w:p>
      <w:pPr>
        <w:pStyle w:val="22"/>
      </w:pPr>
      <w:r>
        <w:t>（四）政府办会议组织和协调运转费</w:t>
      </w:r>
    </w:p>
    <w:p>
      <w:pPr>
        <w:pStyle w:val="22"/>
      </w:pPr>
      <w:r>
        <w:t>绩效目标：本着热情服务、节俭办事的原则，围绕中心、服务大局，认真做好接待工作，保证区政府工作的正常运转。</w:t>
      </w:r>
    </w:p>
    <w:p>
      <w:pPr>
        <w:pStyle w:val="22"/>
      </w:pPr>
      <w:r>
        <w:t>绩效指标：认真做好会议组织和协调运转综合事务保障率会议效果和招待完成度95%以上，群众满意率90以上。</w:t>
      </w:r>
    </w:p>
    <w:p>
      <w:pPr>
        <w:pStyle w:val="22"/>
      </w:pPr>
      <w:r>
        <w:t>（五）区委办会议组织和协调运转费</w:t>
      </w:r>
    </w:p>
    <w:p>
      <w:pPr>
        <w:pStyle w:val="22"/>
      </w:pPr>
      <w:r>
        <w:t>绩效目标：区委办根据工作需要和领导安排，本着热情服务、节俭办事的原则，围绕中心、服务大局，认真做好接待工作，保证区委办公室组织协调上级机关视察督导检查，文件材料的印刷和会议用品商务活等工作正常运转。</w:t>
      </w:r>
    </w:p>
    <w:p>
      <w:pPr>
        <w:pStyle w:val="22"/>
      </w:pPr>
      <w:r>
        <w:t>绩效指标："本着热情服务、节俭办事的原则，围绕中心、服务大局，认真做好接待工作，保证区委办及四个班子领导会议，文件资料印刷会议用品商务活动等综合事务保障会议效果和招待完成度率95%以上，优质高效规范无差错，群众满意率90%以上。</w:t>
      </w:r>
    </w:p>
    <w:p>
      <w:pPr>
        <w:spacing w:line="500" w:lineRule="exact"/>
        <w:ind w:firstLine="560"/>
      </w:pPr>
      <w:r>
        <w:rPr>
          <w:rFonts w:eastAsia="方正仿宋_GBK" w:cs="Times New Roman"/>
          <w:color w:val="000000"/>
          <w:sz w:val="28"/>
        </w:rPr>
        <w:t>（三）工作保障措施</w:t>
      </w:r>
    </w:p>
    <w:p>
      <w:pPr>
        <w:pStyle w:val="23"/>
      </w:pPr>
      <w:r>
        <w:t>（一）发扬“服务是基本功”的传统，不断提高服务水平。党派办的基本职责是服务，不断提高服务水平是一个永恒的话题和基本功。2020年要对各项服务工作进行逐一的考核评议。各项工作和岗位都要制定细化量化的标准，使全体工作人员牢固树立为机关服务的意识，掌握服务工作的本领，为各机关提供良好的服务保障工作，机关事务服务中心后勤管理工作迈上一个新的台阶。</w:t>
      </w:r>
    </w:p>
    <w:p>
      <w:pPr>
        <w:pStyle w:val="23"/>
      </w:pPr>
      <w:r>
        <w:t>（二）健全各项制度，促进党派办工作规范化、程序化。我们要后勤管理日常管理要创一流的目标，着重抓好两方面的工作：一是健全各项规章制度，主要规范执行好大院内各单位之间涉及统一管理和共同遵守的制度。同时，还要进一步完善自身的制度。二是加强财务管理。严格执行财务报销制度，使财务管理更加规范化、程序化。</w:t>
      </w:r>
    </w:p>
    <w:p>
      <w:pPr>
        <w:pStyle w:val="24"/>
        <w:ind w:firstLine="640"/>
        <w:rPr>
          <w:rFonts w:ascii="方正楷体_GBK" w:hAnsi="方正楷体_GBK" w:eastAsia="方正楷体_GBK" w:cs="方正楷体_GBK"/>
          <w:b/>
          <w:color w:val="000000"/>
          <w:sz w:val="32"/>
        </w:rPr>
      </w:pPr>
    </w:p>
    <w:p>
      <w:pPr>
        <w:pStyle w:val="24"/>
        <w:ind w:firstLine="640"/>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pStyle w:val="24"/>
        <w:ind w:firstLine="560"/>
      </w:pPr>
      <w:r>
        <w:rPr>
          <w:rFonts w:ascii="方正仿宋_GBK" w:hAnsi="方正仿宋_GBK" w:eastAsia="方正仿宋_GBK" w:cs="方正仿宋_GBK"/>
          <w:b/>
          <w:color w:val="000000"/>
          <w:sz w:val="28"/>
        </w:rPr>
        <w:t>1、公车管理中心运行经费绩效目标表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1.在预算范围内保证公务用车正常安全运转，满足办公要求，提高办公效率</w:t>
            </w:r>
          </w:p>
          <w:p>
            <w:pPr>
              <w:pStyle w:val="26"/>
            </w:pP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机关工作人员用车及时安全率</w:t>
            </w:r>
          </w:p>
        </w:tc>
        <w:tc>
          <w:tcPr>
            <w:tcW w:w="2835" w:type="dxa"/>
            <w:vAlign w:val="center"/>
          </w:tcPr>
          <w:p>
            <w:pPr>
              <w:pStyle w:val="26"/>
            </w:pPr>
            <w:r>
              <w:t>派车次数满足日常办公需要</w:t>
            </w:r>
          </w:p>
        </w:tc>
        <w:tc>
          <w:tcPr>
            <w:tcW w:w="2551" w:type="dxa"/>
            <w:vAlign w:val="center"/>
          </w:tcPr>
          <w:p>
            <w:pPr>
              <w:pStyle w:val="26"/>
            </w:pPr>
            <w:r>
              <w:t>≥98%</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确保公务用车工作正常安全完成规定要求完成率</w:t>
            </w:r>
          </w:p>
        </w:tc>
        <w:tc>
          <w:tcPr>
            <w:tcW w:w="2835" w:type="dxa"/>
            <w:vAlign w:val="center"/>
          </w:tcPr>
          <w:p>
            <w:pPr>
              <w:pStyle w:val="26"/>
            </w:pPr>
            <w:r>
              <w:t>公车使用合规</w:t>
            </w:r>
          </w:p>
        </w:tc>
        <w:tc>
          <w:tcPr>
            <w:tcW w:w="2551" w:type="dxa"/>
            <w:vAlign w:val="center"/>
          </w:tcPr>
          <w:p>
            <w:pPr>
              <w:pStyle w:val="26"/>
            </w:pPr>
            <w:r>
              <w:t>≥98%</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及时派车</w:t>
            </w:r>
          </w:p>
        </w:tc>
        <w:tc>
          <w:tcPr>
            <w:tcW w:w="2835" w:type="dxa"/>
            <w:vAlign w:val="center"/>
          </w:tcPr>
          <w:p>
            <w:pPr>
              <w:pStyle w:val="26"/>
            </w:pPr>
            <w:r>
              <w:t>及时派车</w:t>
            </w:r>
          </w:p>
        </w:tc>
        <w:tc>
          <w:tcPr>
            <w:tcW w:w="2551" w:type="dxa"/>
            <w:vAlign w:val="center"/>
          </w:tcPr>
          <w:p>
            <w:pPr>
              <w:pStyle w:val="26"/>
            </w:pPr>
            <w:r>
              <w:t>≥98%</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在预算范围内保证公务用车正常安全运转，满足办公要求，提高办公效率</w:t>
            </w:r>
          </w:p>
        </w:tc>
        <w:tc>
          <w:tcPr>
            <w:tcW w:w="2835" w:type="dxa"/>
            <w:vAlign w:val="center"/>
          </w:tcPr>
          <w:p>
            <w:pPr>
              <w:pStyle w:val="26"/>
            </w:pPr>
            <w:r>
              <w:t>在预算范围内保证公务用车正常安全运转，满足办公要求，提高办公效率</w:t>
            </w:r>
          </w:p>
        </w:tc>
        <w:tc>
          <w:tcPr>
            <w:tcW w:w="2551" w:type="dxa"/>
            <w:vAlign w:val="center"/>
          </w:tcPr>
          <w:p>
            <w:pPr>
              <w:pStyle w:val="26"/>
            </w:pPr>
            <w:r>
              <w:t>在预算范围内保证公务用车正常安全运转，满足办公要求，提高办公效率</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在预算范围内保证公务用车正常安全运转，满足办公要求，提高办公效率</w:t>
            </w:r>
          </w:p>
        </w:tc>
        <w:tc>
          <w:tcPr>
            <w:tcW w:w="2835" w:type="dxa"/>
            <w:vAlign w:val="center"/>
          </w:tcPr>
          <w:p>
            <w:pPr>
              <w:pStyle w:val="26"/>
            </w:pPr>
            <w:r>
              <w:t>在预算范围内保证公务用车正常安全运转，满足办公要求，提高办公效率</w:t>
            </w:r>
          </w:p>
        </w:tc>
        <w:tc>
          <w:tcPr>
            <w:tcW w:w="2551" w:type="dxa"/>
            <w:vAlign w:val="center"/>
          </w:tcPr>
          <w:p>
            <w:pPr>
              <w:pStyle w:val="26"/>
            </w:pPr>
            <w:r>
              <w:t>在预算范围内保证公务用车正常安全运转，满足办公要求，提高办公效率</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确保机关工作人员能及时安全用车</w:t>
            </w:r>
          </w:p>
        </w:tc>
        <w:tc>
          <w:tcPr>
            <w:tcW w:w="2835" w:type="dxa"/>
            <w:vAlign w:val="center"/>
          </w:tcPr>
          <w:p>
            <w:pPr>
              <w:pStyle w:val="26"/>
            </w:pPr>
            <w:r>
              <w:t>公务用车正常安全运转，满足办公要求，提高办公效率</w:t>
            </w:r>
          </w:p>
        </w:tc>
        <w:tc>
          <w:tcPr>
            <w:tcW w:w="2551" w:type="dxa"/>
            <w:vAlign w:val="center"/>
          </w:tcPr>
          <w:p>
            <w:pPr>
              <w:pStyle w:val="26"/>
            </w:pPr>
            <w:r>
              <w:t>≥98%</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保证全程环保无污染</w:t>
            </w:r>
          </w:p>
        </w:tc>
        <w:tc>
          <w:tcPr>
            <w:tcW w:w="2835" w:type="dxa"/>
            <w:vAlign w:val="center"/>
          </w:tcPr>
          <w:p>
            <w:pPr>
              <w:pStyle w:val="26"/>
            </w:pPr>
            <w:r>
              <w:t>保证全程环保无污染</w:t>
            </w:r>
          </w:p>
        </w:tc>
        <w:tc>
          <w:tcPr>
            <w:tcW w:w="2551" w:type="dxa"/>
            <w:vAlign w:val="center"/>
          </w:tcPr>
          <w:p>
            <w:pPr>
              <w:pStyle w:val="26"/>
            </w:pPr>
            <w:r>
              <w:t>≥98%</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派车次数满足日常办公需要</w:t>
            </w:r>
          </w:p>
        </w:tc>
        <w:tc>
          <w:tcPr>
            <w:tcW w:w="2835" w:type="dxa"/>
            <w:vAlign w:val="center"/>
          </w:tcPr>
          <w:p>
            <w:pPr>
              <w:pStyle w:val="26"/>
            </w:pPr>
            <w:r>
              <w:t>派车次数满足日常办公需要</w:t>
            </w:r>
          </w:p>
        </w:tc>
        <w:tc>
          <w:tcPr>
            <w:tcW w:w="2551" w:type="dxa"/>
            <w:vAlign w:val="center"/>
          </w:tcPr>
          <w:p>
            <w:pPr>
              <w:pStyle w:val="26"/>
            </w:pPr>
            <w:r>
              <w:t>≥98%</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用车单位的满意度</w:t>
            </w:r>
          </w:p>
        </w:tc>
        <w:tc>
          <w:tcPr>
            <w:tcW w:w="2835" w:type="dxa"/>
            <w:vAlign w:val="center"/>
          </w:tcPr>
          <w:p>
            <w:pPr>
              <w:pStyle w:val="26"/>
            </w:pPr>
            <w:r>
              <w:t>机关工作人员用车及时和对我单位的满意率</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1.将成本控制在预算内,本着节约原则合理运用预算，按工资标准执行</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劳务派遣工资保准</w:t>
            </w:r>
          </w:p>
        </w:tc>
        <w:tc>
          <w:tcPr>
            <w:tcW w:w="2835" w:type="dxa"/>
            <w:vAlign w:val="center"/>
          </w:tcPr>
          <w:p>
            <w:pPr>
              <w:pStyle w:val="26"/>
            </w:pPr>
            <w:r>
              <w:t>按照聘用协议执行</w:t>
            </w:r>
          </w:p>
        </w:tc>
        <w:tc>
          <w:tcPr>
            <w:tcW w:w="2551" w:type="dxa"/>
            <w:vAlign w:val="center"/>
          </w:tcPr>
          <w:p>
            <w:pPr>
              <w:pStyle w:val="26"/>
            </w:pPr>
            <w:r>
              <w:t>工资标准按聘用协议执行</w:t>
            </w:r>
          </w:p>
        </w:tc>
        <w:tc>
          <w:tcPr>
            <w:tcW w:w="2268" w:type="dxa"/>
            <w:vAlign w:val="center"/>
          </w:tcPr>
          <w:p>
            <w:pPr>
              <w:pStyle w:val="2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劳务派遣工人数</w:t>
            </w:r>
          </w:p>
        </w:tc>
        <w:tc>
          <w:tcPr>
            <w:tcW w:w="2835" w:type="dxa"/>
            <w:vAlign w:val="center"/>
          </w:tcPr>
          <w:p>
            <w:pPr>
              <w:pStyle w:val="26"/>
            </w:pPr>
            <w:r>
              <w:t>确保发放及时</w:t>
            </w:r>
          </w:p>
        </w:tc>
        <w:tc>
          <w:tcPr>
            <w:tcW w:w="2551" w:type="dxa"/>
            <w:vAlign w:val="center"/>
          </w:tcPr>
          <w:p>
            <w:pPr>
              <w:pStyle w:val="26"/>
            </w:pPr>
            <w:r>
              <w:t>劳务派遣工人数</w:t>
            </w:r>
          </w:p>
        </w:tc>
        <w:tc>
          <w:tcPr>
            <w:tcW w:w="2268" w:type="dxa"/>
            <w:vAlign w:val="center"/>
          </w:tcPr>
          <w:p>
            <w:pPr>
              <w:pStyle w:val="2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在预算范围内</w:t>
            </w:r>
          </w:p>
        </w:tc>
        <w:tc>
          <w:tcPr>
            <w:tcW w:w="2835" w:type="dxa"/>
            <w:vAlign w:val="center"/>
          </w:tcPr>
          <w:p>
            <w:pPr>
              <w:pStyle w:val="26"/>
            </w:pPr>
            <w:r>
              <w:t>将成本控制在预算内,本着节约原则合理运用预算，按工资标准执行</w:t>
            </w:r>
          </w:p>
        </w:tc>
        <w:tc>
          <w:tcPr>
            <w:tcW w:w="2551" w:type="dxa"/>
            <w:vAlign w:val="center"/>
          </w:tcPr>
          <w:p>
            <w:pPr>
              <w:pStyle w:val="26"/>
            </w:pPr>
            <w:r>
              <w:t>≤96万元</w:t>
            </w:r>
          </w:p>
        </w:tc>
        <w:tc>
          <w:tcPr>
            <w:tcW w:w="2268" w:type="dxa"/>
            <w:vAlign w:val="center"/>
          </w:tcPr>
          <w:p>
            <w:pPr>
              <w:pStyle w:val="2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工资每月及时发放到位</w:t>
            </w:r>
          </w:p>
        </w:tc>
        <w:tc>
          <w:tcPr>
            <w:tcW w:w="2835" w:type="dxa"/>
            <w:vAlign w:val="center"/>
          </w:tcPr>
          <w:p>
            <w:pPr>
              <w:pStyle w:val="26"/>
            </w:pPr>
            <w:r>
              <w:t>工资每月及时发放到位</w:t>
            </w:r>
          </w:p>
        </w:tc>
        <w:tc>
          <w:tcPr>
            <w:tcW w:w="2551" w:type="dxa"/>
            <w:vAlign w:val="center"/>
          </w:tcPr>
          <w:p>
            <w:pPr>
              <w:pStyle w:val="26"/>
            </w:pPr>
            <w:r>
              <w:t>100%</w:t>
            </w:r>
          </w:p>
        </w:tc>
        <w:tc>
          <w:tcPr>
            <w:tcW w:w="2268" w:type="dxa"/>
            <w:vAlign w:val="center"/>
          </w:tcPr>
          <w:p>
            <w:pPr>
              <w:pStyle w:val="2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保障机关后勤及相关工作正常开展</w:t>
            </w:r>
          </w:p>
        </w:tc>
        <w:tc>
          <w:tcPr>
            <w:tcW w:w="2835" w:type="dxa"/>
            <w:vAlign w:val="center"/>
          </w:tcPr>
          <w:p>
            <w:pPr>
              <w:pStyle w:val="26"/>
            </w:pPr>
            <w:r>
              <w:t>每月完成所有后勤保障工作,让东西两院的工作人员有个舒适安全的工作环境.</w:t>
            </w:r>
          </w:p>
        </w:tc>
        <w:tc>
          <w:tcPr>
            <w:tcW w:w="2551" w:type="dxa"/>
            <w:vAlign w:val="center"/>
          </w:tcPr>
          <w:p>
            <w:pPr>
              <w:pStyle w:val="26"/>
            </w:pPr>
            <w:r>
              <w:t>≥99%</w:t>
            </w:r>
          </w:p>
        </w:tc>
        <w:tc>
          <w:tcPr>
            <w:tcW w:w="2268" w:type="dxa"/>
            <w:vAlign w:val="center"/>
          </w:tcPr>
          <w:p>
            <w:pPr>
              <w:pStyle w:val="2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保证后勤保障工作长期有效开展</w:t>
            </w:r>
          </w:p>
        </w:tc>
        <w:tc>
          <w:tcPr>
            <w:tcW w:w="2835" w:type="dxa"/>
            <w:vAlign w:val="center"/>
          </w:tcPr>
          <w:p>
            <w:pPr>
              <w:pStyle w:val="26"/>
            </w:pPr>
            <w:r>
              <w:t>保证后勤保障工作长期有效开展</w:t>
            </w:r>
          </w:p>
        </w:tc>
        <w:tc>
          <w:tcPr>
            <w:tcW w:w="2551" w:type="dxa"/>
            <w:vAlign w:val="center"/>
          </w:tcPr>
          <w:p>
            <w:pPr>
              <w:pStyle w:val="26"/>
            </w:pPr>
            <w:r>
              <w:t>保证后勤保障工作长期有效开展</w:t>
            </w:r>
          </w:p>
        </w:tc>
        <w:tc>
          <w:tcPr>
            <w:tcW w:w="2268" w:type="dxa"/>
            <w:vAlign w:val="center"/>
          </w:tcPr>
          <w:p>
            <w:pPr>
              <w:pStyle w:val="2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保证工资足量，可控</w:t>
            </w:r>
          </w:p>
        </w:tc>
        <w:tc>
          <w:tcPr>
            <w:tcW w:w="2835" w:type="dxa"/>
            <w:vAlign w:val="center"/>
          </w:tcPr>
          <w:p>
            <w:pPr>
              <w:pStyle w:val="26"/>
            </w:pPr>
            <w:r>
              <w:t>保证工资足量，可控</w:t>
            </w:r>
          </w:p>
        </w:tc>
        <w:tc>
          <w:tcPr>
            <w:tcW w:w="2551" w:type="dxa"/>
            <w:vAlign w:val="center"/>
          </w:tcPr>
          <w:p>
            <w:pPr>
              <w:pStyle w:val="26"/>
            </w:pPr>
            <w:r>
              <w:t>保证工资足量，可控</w:t>
            </w:r>
          </w:p>
        </w:tc>
        <w:tc>
          <w:tcPr>
            <w:tcW w:w="2268" w:type="dxa"/>
            <w:vAlign w:val="center"/>
          </w:tcPr>
          <w:p>
            <w:pPr>
              <w:pStyle w:val="2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保证工作中环保绿色无污染</w:t>
            </w:r>
          </w:p>
        </w:tc>
        <w:tc>
          <w:tcPr>
            <w:tcW w:w="2835" w:type="dxa"/>
            <w:vAlign w:val="center"/>
          </w:tcPr>
          <w:p>
            <w:pPr>
              <w:pStyle w:val="26"/>
            </w:pPr>
            <w:r>
              <w:t>保证工作中环保绿色无污染</w:t>
            </w:r>
          </w:p>
        </w:tc>
        <w:tc>
          <w:tcPr>
            <w:tcW w:w="2551" w:type="dxa"/>
            <w:vAlign w:val="center"/>
          </w:tcPr>
          <w:p>
            <w:pPr>
              <w:pStyle w:val="26"/>
            </w:pPr>
            <w:r>
              <w:t>≥99%</w:t>
            </w:r>
          </w:p>
        </w:tc>
        <w:tc>
          <w:tcPr>
            <w:tcW w:w="2268" w:type="dxa"/>
            <w:vAlign w:val="center"/>
          </w:tcPr>
          <w:p>
            <w:pPr>
              <w:pStyle w:val="2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两院工作人员的满意度</w:t>
            </w:r>
          </w:p>
        </w:tc>
        <w:tc>
          <w:tcPr>
            <w:tcW w:w="2835" w:type="dxa"/>
            <w:vAlign w:val="center"/>
          </w:tcPr>
          <w:p>
            <w:pPr>
              <w:pStyle w:val="26"/>
            </w:pPr>
            <w:r>
              <w:t>两院后勤工作的完成率和各项工作的完成质量,达到领导的标准</w:t>
            </w:r>
          </w:p>
        </w:tc>
        <w:tc>
          <w:tcPr>
            <w:tcW w:w="2551" w:type="dxa"/>
            <w:vAlign w:val="center"/>
          </w:tcPr>
          <w:p>
            <w:pPr>
              <w:pStyle w:val="26"/>
            </w:pPr>
            <w:r>
              <w:t>≥99%</w:t>
            </w:r>
          </w:p>
        </w:tc>
        <w:tc>
          <w:tcPr>
            <w:tcW w:w="2268" w:type="dxa"/>
            <w:vAlign w:val="center"/>
          </w:tcPr>
          <w:p>
            <w:pPr>
              <w:pStyle w:val="26"/>
            </w:pPr>
            <w:r>
              <w:t>领导批示</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3区委办会议组织和协调运转费绩效目标表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1.认真做好会议组织和协调运转,将成本控制预算范围内</w:t>
            </w:r>
          </w:p>
          <w:p>
            <w:pPr>
              <w:pStyle w:val="26"/>
            </w:pP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开会次数</w:t>
            </w:r>
          </w:p>
        </w:tc>
        <w:tc>
          <w:tcPr>
            <w:tcW w:w="2835" w:type="dxa"/>
            <w:vAlign w:val="center"/>
          </w:tcPr>
          <w:p>
            <w:pPr>
              <w:pStyle w:val="26"/>
            </w:pPr>
            <w:r>
              <w:t>严格执行标准，不得超标</w:t>
            </w:r>
          </w:p>
        </w:tc>
        <w:tc>
          <w:tcPr>
            <w:tcW w:w="2551" w:type="dxa"/>
            <w:vAlign w:val="center"/>
          </w:tcPr>
          <w:p>
            <w:pPr>
              <w:pStyle w:val="26"/>
            </w:pPr>
            <w:r>
              <w:t>100%</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保证会议顺利召开</w:t>
            </w:r>
          </w:p>
        </w:tc>
        <w:tc>
          <w:tcPr>
            <w:tcW w:w="2835" w:type="dxa"/>
            <w:vAlign w:val="center"/>
          </w:tcPr>
          <w:p>
            <w:pPr>
              <w:pStyle w:val="26"/>
            </w:pPr>
            <w:r>
              <w:t>保证会议顺利召开</w:t>
            </w:r>
          </w:p>
        </w:tc>
        <w:tc>
          <w:tcPr>
            <w:tcW w:w="2551" w:type="dxa"/>
            <w:vAlign w:val="center"/>
          </w:tcPr>
          <w:p>
            <w:pPr>
              <w:pStyle w:val="26"/>
            </w:pPr>
            <w:r>
              <w:t>保证会议顺利召开</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会议后勤保障及时率</w:t>
            </w:r>
          </w:p>
        </w:tc>
        <w:tc>
          <w:tcPr>
            <w:tcW w:w="2835" w:type="dxa"/>
            <w:vAlign w:val="center"/>
          </w:tcPr>
          <w:p>
            <w:pPr>
              <w:pStyle w:val="26"/>
            </w:pPr>
            <w:r>
              <w:t>保证会议按时召开</w:t>
            </w:r>
          </w:p>
        </w:tc>
        <w:tc>
          <w:tcPr>
            <w:tcW w:w="2551" w:type="dxa"/>
            <w:vAlign w:val="center"/>
          </w:tcPr>
          <w:p>
            <w:pPr>
              <w:pStyle w:val="26"/>
            </w:pPr>
            <w:r>
              <w:t>≥98%</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保证工作需求，尽降量低成本</w:t>
            </w:r>
          </w:p>
        </w:tc>
        <w:tc>
          <w:tcPr>
            <w:tcW w:w="2835" w:type="dxa"/>
            <w:vAlign w:val="center"/>
          </w:tcPr>
          <w:p>
            <w:pPr>
              <w:pStyle w:val="26"/>
            </w:pPr>
            <w:r>
              <w:t>热情服务、节俭办事。</w:t>
            </w:r>
          </w:p>
        </w:tc>
        <w:tc>
          <w:tcPr>
            <w:tcW w:w="2551" w:type="dxa"/>
            <w:vAlign w:val="center"/>
          </w:tcPr>
          <w:p>
            <w:pPr>
              <w:pStyle w:val="26"/>
            </w:pPr>
            <w:r>
              <w:t>保证工作需求，尽降量低成本</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保证工作需求，尽降量低成本</w:t>
            </w:r>
          </w:p>
        </w:tc>
        <w:tc>
          <w:tcPr>
            <w:tcW w:w="2835" w:type="dxa"/>
            <w:vAlign w:val="center"/>
          </w:tcPr>
          <w:p>
            <w:pPr>
              <w:pStyle w:val="26"/>
            </w:pPr>
            <w:r>
              <w:t>认真做好会议组织和协调运转,将成本控制预算范围内</w:t>
            </w:r>
          </w:p>
        </w:tc>
        <w:tc>
          <w:tcPr>
            <w:tcW w:w="2551" w:type="dxa"/>
            <w:vAlign w:val="center"/>
          </w:tcPr>
          <w:p>
            <w:pPr>
              <w:pStyle w:val="26"/>
            </w:pPr>
            <w:r>
              <w:t>保证工作需求，尽降量低成本</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保证会议顺利召开</w:t>
            </w:r>
          </w:p>
        </w:tc>
        <w:tc>
          <w:tcPr>
            <w:tcW w:w="2835" w:type="dxa"/>
            <w:vAlign w:val="center"/>
          </w:tcPr>
          <w:p>
            <w:pPr>
              <w:pStyle w:val="26"/>
            </w:pPr>
            <w:r>
              <w:t>保证会议顺利召开</w:t>
            </w:r>
          </w:p>
        </w:tc>
        <w:tc>
          <w:tcPr>
            <w:tcW w:w="2551" w:type="dxa"/>
            <w:vAlign w:val="center"/>
          </w:tcPr>
          <w:p>
            <w:pPr>
              <w:pStyle w:val="26"/>
            </w:pPr>
            <w:r>
              <w:t>保证会议顺利召开</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保证会议全程绿色环保</w:t>
            </w:r>
          </w:p>
        </w:tc>
        <w:tc>
          <w:tcPr>
            <w:tcW w:w="2835" w:type="dxa"/>
            <w:vAlign w:val="center"/>
          </w:tcPr>
          <w:p>
            <w:pPr>
              <w:pStyle w:val="26"/>
            </w:pPr>
            <w:r>
              <w:t>保证会议全程绿色环保</w:t>
            </w:r>
          </w:p>
        </w:tc>
        <w:tc>
          <w:tcPr>
            <w:tcW w:w="2551" w:type="dxa"/>
            <w:vAlign w:val="center"/>
          </w:tcPr>
          <w:p>
            <w:pPr>
              <w:pStyle w:val="26"/>
            </w:pPr>
            <w:r>
              <w:t>≥98%</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 xml:space="preserve"> 保证全年会议顺利开展</w:t>
            </w:r>
          </w:p>
        </w:tc>
        <w:tc>
          <w:tcPr>
            <w:tcW w:w="2835" w:type="dxa"/>
            <w:vAlign w:val="center"/>
          </w:tcPr>
          <w:p>
            <w:pPr>
              <w:pStyle w:val="26"/>
            </w:pPr>
            <w:r>
              <w:t xml:space="preserve"> 保证全年会议顺利开展</w:t>
            </w:r>
          </w:p>
        </w:tc>
        <w:tc>
          <w:tcPr>
            <w:tcW w:w="2551" w:type="dxa"/>
            <w:vAlign w:val="center"/>
          </w:tcPr>
          <w:p>
            <w:pPr>
              <w:pStyle w:val="26"/>
            </w:pPr>
            <w:r>
              <w:t>≥98%</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会议及时性</w:t>
            </w:r>
          </w:p>
        </w:tc>
        <w:tc>
          <w:tcPr>
            <w:tcW w:w="2835" w:type="dxa"/>
            <w:vAlign w:val="center"/>
          </w:tcPr>
          <w:p>
            <w:pPr>
              <w:pStyle w:val="26"/>
            </w:pPr>
            <w:r>
              <w:t>参会人员的满意程度和后勤保障服务的到位</w:t>
            </w:r>
          </w:p>
        </w:tc>
        <w:tc>
          <w:tcPr>
            <w:tcW w:w="2551" w:type="dxa"/>
            <w:vAlign w:val="center"/>
          </w:tcPr>
          <w:p>
            <w:pPr>
              <w:pStyle w:val="26"/>
            </w:pPr>
            <w:r>
              <w:t>≥98%</w:t>
            </w:r>
          </w:p>
        </w:tc>
        <w:tc>
          <w:tcPr>
            <w:tcW w:w="2268" w:type="dxa"/>
            <w:vAlign w:val="center"/>
          </w:tcPr>
          <w:p>
            <w:pPr>
              <w:pStyle w:val="26"/>
            </w:pPr>
            <w:r>
              <w:t xml:space="preserve"> 调查问卷</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4、政府办会议组织和协调运转费绩效目标表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1.保证会议顺利召开,认真做好会议组织和协调运转,将成本控制预算范围内</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开会次数</w:t>
            </w:r>
          </w:p>
        </w:tc>
        <w:tc>
          <w:tcPr>
            <w:tcW w:w="2835" w:type="dxa"/>
            <w:vAlign w:val="center"/>
          </w:tcPr>
          <w:p>
            <w:pPr>
              <w:pStyle w:val="26"/>
            </w:pPr>
            <w:r>
              <w:t>严格执行标准，不得超标</w:t>
            </w:r>
          </w:p>
        </w:tc>
        <w:tc>
          <w:tcPr>
            <w:tcW w:w="2551" w:type="dxa"/>
            <w:vAlign w:val="center"/>
          </w:tcPr>
          <w:p>
            <w:pPr>
              <w:pStyle w:val="26"/>
            </w:pPr>
            <w:r>
              <w:t>100%</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保证会议顺利召开</w:t>
            </w:r>
          </w:p>
        </w:tc>
        <w:tc>
          <w:tcPr>
            <w:tcW w:w="2835" w:type="dxa"/>
            <w:vAlign w:val="center"/>
          </w:tcPr>
          <w:p>
            <w:pPr>
              <w:pStyle w:val="26"/>
            </w:pPr>
            <w:r>
              <w:t>保证会议顺利召开</w:t>
            </w:r>
          </w:p>
        </w:tc>
        <w:tc>
          <w:tcPr>
            <w:tcW w:w="2551" w:type="dxa"/>
            <w:vAlign w:val="center"/>
          </w:tcPr>
          <w:p>
            <w:pPr>
              <w:pStyle w:val="26"/>
            </w:pPr>
            <w:r>
              <w:t>保证会议顺利召开</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会议后勤保障及时率</w:t>
            </w:r>
          </w:p>
        </w:tc>
        <w:tc>
          <w:tcPr>
            <w:tcW w:w="2835" w:type="dxa"/>
            <w:vAlign w:val="center"/>
          </w:tcPr>
          <w:p>
            <w:pPr>
              <w:pStyle w:val="26"/>
            </w:pPr>
            <w:r>
              <w:t>保证会议按时召开</w:t>
            </w:r>
          </w:p>
        </w:tc>
        <w:tc>
          <w:tcPr>
            <w:tcW w:w="2551" w:type="dxa"/>
            <w:vAlign w:val="center"/>
          </w:tcPr>
          <w:p>
            <w:pPr>
              <w:pStyle w:val="26"/>
            </w:pPr>
            <w:r>
              <w:t>保证会议按时召开</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热情服务、节俭办事。</w:t>
            </w:r>
          </w:p>
        </w:tc>
        <w:tc>
          <w:tcPr>
            <w:tcW w:w="2835" w:type="dxa"/>
            <w:vAlign w:val="center"/>
          </w:tcPr>
          <w:p>
            <w:pPr>
              <w:pStyle w:val="26"/>
            </w:pPr>
            <w:r>
              <w:t>热情服务、节俭办事。</w:t>
            </w:r>
          </w:p>
        </w:tc>
        <w:tc>
          <w:tcPr>
            <w:tcW w:w="2551" w:type="dxa"/>
            <w:vAlign w:val="center"/>
          </w:tcPr>
          <w:p>
            <w:pPr>
              <w:pStyle w:val="26"/>
            </w:pPr>
            <w:r>
              <w:t>保证工作需求，尽降量低成本</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热情服务、节俭办事。</w:t>
            </w:r>
          </w:p>
        </w:tc>
        <w:tc>
          <w:tcPr>
            <w:tcW w:w="2835" w:type="dxa"/>
            <w:vAlign w:val="center"/>
          </w:tcPr>
          <w:p>
            <w:pPr>
              <w:pStyle w:val="26"/>
            </w:pPr>
            <w:r>
              <w:t>热情服务、节俭办事。</w:t>
            </w:r>
          </w:p>
        </w:tc>
        <w:tc>
          <w:tcPr>
            <w:tcW w:w="2551" w:type="dxa"/>
            <w:vAlign w:val="center"/>
          </w:tcPr>
          <w:p>
            <w:pPr>
              <w:pStyle w:val="26"/>
            </w:pPr>
            <w:r>
              <w:t>保证工作需求，尽降量低成本</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保证会议顺利召开</w:t>
            </w:r>
          </w:p>
        </w:tc>
        <w:tc>
          <w:tcPr>
            <w:tcW w:w="2835" w:type="dxa"/>
            <w:vAlign w:val="center"/>
          </w:tcPr>
          <w:p>
            <w:pPr>
              <w:pStyle w:val="26"/>
            </w:pPr>
            <w:r>
              <w:t>保证会议顺利召开</w:t>
            </w:r>
          </w:p>
        </w:tc>
        <w:tc>
          <w:tcPr>
            <w:tcW w:w="2551" w:type="dxa"/>
            <w:vAlign w:val="center"/>
          </w:tcPr>
          <w:p>
            <w:pPr>
              <w:pStyle w:val="26"/>
            </w:pPr>
            <w:r>
              <w:t>≥98%</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保证会议全程绿色环保</w:t>
            </w:r>
          </w:p>
        </w:tc>
        <w:tc>
          <w:tcPr>
            <w:tcW w:w="2835" w:type="dxa"/>
            <w:vAlign w:val="center"/>
          </w:tcPr>
          <w:p>
            <w:pPr>
              <w:pStyle w:val="26"/>
            </w:pPr>
            <w:r>
              <w:t>保证会议全程绿色环保</w:t>
            </w:r>
          </w:p>
        </w:tc>
        <w:tc>
          <w:tcPr>
            <w:tcW w:w="2551" w:type="dxa"/>
            <w:vAlign w:val="center"/>
          </w:tcPr>
          <w:p>
            <w:pPr>
              <w:pStyle w:val="26"/>
            </w:pPr>
            <w:r>
              <w:t>保证会议全程绿色环保</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 xml:space="preserve"> 保证全年会议顺利开展</w:t>
            </w:r>
          </w:p>
        </w:tc>
        <w:tc>
          <w:tcPr>
            <w:tcW w:w="2835" w:type="dxa"/>
            <w:vAlign w:val="center"/>
          </w:tcPr>
          <w:p>
            <w:pPr>
              <w:pStyle w:val="26"/>
            </w:pPr>
            <w:r>
              <w:t xml:space="preserve"> 保证全年会议顺利开展</w:t>
            </w:r>
          </w:p>
        </w:tc>
        <w:tc>
          <w:tcPr>
            <w:tcW w:w="2551" w:type="dxa"/>
            <w:vAlign w:val="center"/>
          </w:tcPr>
          <w:p>
            <w:pPr>
              <w:pStyle w:val="26"/>
            </w:pPr>
            <w:r>
              <w:t>≥98%</w:t>
            </w:r>
          </w:p>
        </w:tc>
        <w:tc>
          <w:tcPr>
            <w:tcW w:w="2268" w:type="dxa"/>
            <w:vAlign w:val="center"/>
          </w:tcPr>
          <w:p>
            <w:pPr>
              <w:pStyle w:val="26"/>
            </w:pPr>
            <w:r>
              <w:t xml:space="preserve"> 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会议及时性</w:t>
            </w:r>
          </w:p>
        </w:tc>
        <w:tc>
          <w:tcPr>
            <w:tcW w:w="2835" w:type="dxa"/>
            <w:vAlign w:val="center"/>
          </w:tcPr>
          <w:p>
            <w:pPr>
              <w:pStyle w:val="26"/>
            </w:pPr>
            <w:r>
              <w:t>参会人员的满意程度和后勤保障服务的到位</w:t>
            </w:r>
          </w:p>
        </w:tc>
        <w:tc>
          <w:tcPr>
            <w:tcW w:w="2551" w:type="dxa"/>
            <w:vAlign w:val="center"/>
          </w:tcPr>
          <w:p>
            <w:pPr>
              <w:pStyle w:val="26"/>
            </w:pPr>
            <w:r>
              <w:t>≥98%</w:t>
            </w:r>
          </w:p>
        </w:tc>
        <w:tc>
          <w:tcPr>
            <w:tcW w:w="2268" w:type="dxa"/>
            <w:vAlign w:val="center"/>
          </w:tcPr>
          <w:p>
            <w:pPr>
              <w:pStyle w:val="26"/>
            </w:pPr>
            <w:r>
              <w:t xml:space="preserve"> 调查问卷</w:t>
            </w:r>
          </w:p>
        </w:tc>
      </w:tr>
    </w:tbl>
    <w:p>
      <w:pPr>
        <w:pStyle w:val="24"/>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rPr>
          <w:rFonts w:ascii="方正仿宋_GBK" w:hAnsi="方正仿宋_GBK" w:eastAsia="方正仿宋_GBK" w:cs="方正仿宋_GBK"/>
          <w:b/>
          <w:color w:val="000000"/>
          <w:sz w:val="28"/>
        </w:rPr>
      </w:pPr>
    </w:p>
    <w:p>
      <w:pPr>
        <w:pStyle w:val="24"/>
        <w:ind w:firstLine="560"/>
      </w:pPr>
      <w:r>
        <w:rPr>
          <w:rFonts w:ascii="方正仿宋_GBK" w:hAnsi="方正仿宋_GBK" w:eastAsia="方正仿宋_GBK" w:cs="方正仿宋_GBK"/>
          <w:b/>
          <w:color w:val="000000"/>
          <w:sz w:val="28"/>
        </w:rPr>
        <w:t>5、政府机关基本运行维护费绩效目标表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1.保障机关干部职工用餐需求，保障机关正常运转</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食材和天然气采购次数</w:t>
            </w:r>
          </w:p>
        </w:tc>
        <w:tc>
          <w:tcPr>
            <w:tcW w:w="2835" w:type="dxa"/>
            <w:vAlign w:val="center"/>
          </w:tcPr>
          <w:p>
            <w:pPr>
              <w:pStyle w:val="26"/>
            </w:pPr>
            <w:r>
              <w:t>食材和天然气采购次数按需进行</w:t>
            </w:r>
          </w:p>
        </w:tc>
        <w:tc>
          <w:tcPr>
            <w:tcW w:w="2551" w:type="dxa"/>
            <w:vAlign w:val="center"/>
          </w:tcPr>
          <w:p>
            <w:pPr>
              <w:pStyle w:val="26"/>
            </w:pPr>
            <w:r>
              <w:t>≥98%</w:t>
            </w:r>
          </w:p>
        </w:tc>
        <w:tc>
          <w:tcPr>
            <w:tcW w:w="2268" w:type="dxa"/>
            <w:vAlign w:val="center"/>
          </w:tcPr>
          <w:p>
            <w:pPr>
              <w:pStyle w:val="2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保证提供足量新鲜食材</w:t>
            </w:r>
          </w:p>
        </w:tc>
        <w:tc>
          <w:tcPr>
            <w:tcW w:w="2835" w:type="dxa"/>
            <w:vAlign w:val="center"/>
          </w:tcPr>
          <w:p>
            <w:pPr>
              <w:pStyle w:val="26"/>
            </w:pPr>
            <w:r>
              <w:t>保证提供足量新鲜食材</w:t>
            </w:r>
          </w:p>
        </w:tc>
        <w:tc>
          <w:tcPr>
            <w:tcW w:w="2551" w:type="dxa"/>
            <w:vAlign w:val="center"/>
          </w:tcPr>
          <w:p>
            <w:pPr>
              <w:pStyle w:val="26"/>
            </w:pPr>
            <w:r>
              <w:t>≥98%</w:t>
            </w:r>
          </w:p>
        </w:tc>
        <w:tc>
          <w:tcPr>
            <w:tcW w:w="2268" w:type="dxa"/>
            <w:vAlign w:val="center"/>
          </w:tcPr>
          <w:p>
            <w:pPr>
              <w:pStyle w:val="2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食堂用餐保障准时，足量</w:t>
            </w:r>
          </w:p>
        </w:tc>
        <w:tc>
          <w:tcPr>
            <w:tcW w:w="2835" w:type="dxa"/>
            <w:vAlign w:val="center"/>
          </w:tcPr>
          <w:p>
            <w:pPr>
              <w:pStyle w:val="26"/>
            </w:pPr>
            <w:r>
              <w:t>食堂用餐保障准时，足量</w:t>
            </w:r>
          </w:p>
        </w:tc>
        <w:tc>
          <w:tcPr>
            <w:tcW w:w="2551" w:type="dxa"/>
            <w:vAlign w:val="center"/>
          </w:tcPr>
          <w:p>
            <w:pPr>
              <w:pStyle w:val="26"/>
            </w:pPr>
            <w:r>
              <w:t>≥98%</w:t>
            </w:r>
          </w:p>
        </w:tc>
        <w:tc>
          <w:tcPr>
            <w:tcW w:w="2268" w:type="dxa"/>
            <w:vAlign w:val="center"/>
          </w:tcPr>
          <w:p>
            <w:pPr>
              <w:pStyle w:val="2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在预算范围内保障机关正常运转</w:t>
            </w:r>
          </w:p>
        </w:tc>
        <w:tc>
          <w:tcPr>
            <w:tcW w:w="2835" w:type="dxa"/>
            <w:vAlign w:val="center"/>
          </w:tcPr>
          <w:p>
            <w:pPr>
              <w:pStyle w:val="26"/>
            </w:pPr>
            <w:r>
              <w:t>在预算范围内保障机关正常运转</w:t>
            </w:r>
          </w:p>
        </w:tc>
        <w:tc>
          <w:tcPr>
            <w:tcW w:w="2551" w:type="dxa"/>
            <w:vAlign w:val="center"/>
          </w:tcPr>
          <w:p>
            <w:pPr>
              <w:pStyle w:val="26"/>
            </w:pPr>
            <w:r>
              <w:t>在预算范围内保障机关正常运转</w:t>
            </w:r>
          </w:p>
        </w:tc>
        <w:tc>
          <w:tcPr>
            <w:tcW w:w="2268" w:type="dxa"/>
            <w:vAlign w:val="center"/>
          </w:tcPr>
          <w:p>
            <w:pPr>
              <w:pStyle w:val="2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在预算范围内保障机关正常运转</w:t>
            </w:r>
          </w:p>
        </w:tc>
        <w:tc>
          <w:tcPr>
            <w:tcW w:w="2835" w:type="dxa"/>
            <w:vAlign w:val="center"/>
          </w:tcPr>
          <w:p>
            <w:pPr>
              <w:pStyle w:val="26"/>
            </w:pPr>
            <w:r>
              <w:t>在预算范围内保障机关正常运转</w:t>
            </w:r>
          </w:p>
        </w:tc>
        <w:tc>
          <w:tcPr>
            <w:tcW w:w="2551" w:type="dxa"/>
            <w:vAlign w:val="center"/>
          </w:tcPr>
          <w:p>
            <w:pPr>
              <w:pStyle w:val="26"/>
            </w:pPr>
            <w:r>
              <w:t>在预算范围内保障机关正常运转</w:t>
            </w:r>
          </w:p>
        </w:tc>
        <w:tc>
          <w:tcPr>
            <w:tcW w:w="2268" w:type="dxa"/>
            <w:vAlign w:val="center"/>
          </w:tcPr>
          <w:p>
            <w:pPr>
              <w:pStyle w:val="2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食堂的饭菜质量和干部职工的评价.满意度.</w:t>
            </w:r>
          </w:p>
        </w:tc>
        <w:tc>
          <w:tcPr>
            <w:tcW w:w="2835" w:type="dxa"/>
            <w:vAlign w:val="center"/>
          </w:tcPr>
          <w:p>
            <w:pPr>
              <w:pStyle w:val="26"/>
            </w:pPr>
            <w:r>
              <w:t>保障机关干部职工用餐需求，保障机关正常运转</w:t>
            </w:r>
          </w:p>
        </w:tc>
        <w:tc>
          <w:tcPr>
            <w:tcW w:w="2551" w:type="dxa"/>
            <w:vAlign w:val="center"/>
          </w:tcPr>
          <w:p>
            <w:pPr>
              <w:pStyle w:val="26"/>
            </w:pPr>
            <w:r>
              <w:t>≥98%</w:t>
            </w:r>
          </w:p>
        </w:tc>
        <w:tc>
          <w:tcPr>
            <w:tcW w:w="2268" w:type="dxa"/>
            <w:vAlign w:val="center"/>
          </w:tcPr>
          <w:p>
            <w:pPr>
              <w:pStyle w:val="2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保证全程环保无污染</w:t>
            </w:r>
          </w:p>
        </w:tc>
        <w:tc>
          <w:tcPr>
            <w:tcW w:w="2835" w:type="dxa"/>
            <w:vAlign w:val="center"/>
          </w:tcPr>
          <w:p>
            <w:pPr>
              <w:pStyle w:val="26"/>
            </w:pPr>
            <w:r>
              <w:t>保证全程环保无污染</w:t>
            </w:r>
          </w:p>
        </w:tc>
        <w:tc>
          <w:tcPr>
            <w:tcW w:w="2551" w:type="dxa"/>
            <w:vAlign w:val="center"/>
          </w:tcPr>
          <w:p>
            <w:pPr>
              <w:pStyle w:val="26"/>
            </w:pPr>
            <w:r>
              <w:t>保证全程环保无污染</w:t>
            </w:r>
          </w:p>
        </w:tc>
        <w:tc>
          <w:tcPr>
            <w:tcW w:w="2268" w:type="dxa"/>
            <w:vAlign w:val="center"/>
          </w:tcPr>
          <w:p>
            <w:pPr>
              <w:pStyle w:val="2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 xml:space="preserve"> 保障全年食堂有序运营</w:t>
            </w:r>
          </w:p>
        </w:tc>
        <w:tc>
          <w:tcPr>
            <w:tcW w:w="2835" w:type="dxa"/>
            <w:vAlign w:val="center"/>
          </w:tcPr>
          <w:p>
            <w:pPr>
              <w:pStyle w:val="26"/>
            </w:pPr>
            <w:r>
              <w:t xml:space="preserve"> 保障全年食堂有序运营</w:t>
            </w:r>
          </w:p>
        </w:tc>
        <w:tc>
          <w:tcPr>
            <w:tcW w:w="2551" w:type="dxa"/>
            <w:vAlign w:val="center"/>
          </w:tcPr>
          <w:p>
            <w:pPr>
              <w:pStyle w:val="26"/>
            </w:pPr>
            <w:r>
              <w:t>≥98%</w:t>
            </w:r>
          </w:p>
        </w:tc>
        <w:tc>
          <w:tcPr>
            <w:tcW w:w="2268" w:type="dxa"/>
            <w:vAlign w:val="center"/>
          </w:tcPr>
          <w:p>
            <w:pPr>
              <w:pStyle w:val="2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w:t>
            </w:r>
          </w:p>
        </w:tc>
        <w:tc>
          <w:tcPr>
            <w:tcW w:w="2551" w:type="dxa"/>
            <w:vAlign w:val="center"/>
          </w:tcPr>
          <w:p>
            <w:pPr>
              <w:pStyle w:val="26"/>
            </w:pPr>
            <w:r>
              <w:t>≥98%</w:t>
            </w:r>
          </w:p>
        </w:tc>
        <w:tc>
          <w:tcPr>
            <w:tcW w:w="2268" w:type="dxa"/>
            <w:vAlign w:val="center"/>
          </w:tcPr>
          <w:p>
            <w:pPr>
              <w:pStyle w:val="26"/>
            </w:pPr>
            <w:r>
              <w:t>调查问卷</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2"/>
      </w:pPr>
      <w:bookmarkStart w:id="14" w:name="_Toc17130"/>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2022年，石家庄市藁城区机关事务服务中心安排政府采购预算0.00万元。具体内容见下表。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430石家庄市藁城区机关事务服务中心</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15" w:name="_Toc26207"/>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石家庄市藁城区机关事务服务中心（含所属单位）上年末固定资产金额为0.00万元（详见下表）。本年度拟购置固定资产总额为0.00万元，已按要求列入政府采购预算，详见政府采购预算表。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430石家庄市藁城区机关事务服务中心</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1"/>
            </w:pPr>
          </w:p>
        </w:tc>
        <w:tc>
          <w:tcPr>
            <w:tcW w:w="2835" w:type="dxa"/>
            <w:vAlign w:val="center"/>
          </w:tcPr>
          <w:p>
            <w:pPr>
              <w:pStyle w:val="13"/>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s="Times New Roman"/>
          <w:color w:val="000000"/>
          <w:sz w:val="32"/>
        </w:rPr>
        <w:t xml:space="preserve"> </w:t>
      </w:r>
    </w:p>
    <w:p>
      <w:pPr>
        <w:spacing w:before="10" w:after="10"/>
        <w:ind w:firstLine="640"/>
        <w:outlineLvl w:val="2"/>
      </w:pPr>
      <w:bookmarkStart w:id="16" w:name="_Toc13348"/>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区县级</w:t>
      </w:r>
      <w:r>
        <w:rPr>
          <w:rFonts w:eastAsia="方正仿宋_GBK" w:cs="Times New Roman"/>
          <w:color w:val="000000"/>
          <w:sz w:val="28"/>
        </w:rPr>
        <w:t>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区县级</w:t>
      </w:r>
      <w:r>
        <w:rPr>
          <w:rFonts w:eastAsia="方正仿宋_GBK" w:cs="Times New Roman"/>
          <w:color w:val="000000"/>
          <w:sz w:val="28"/>
        </w:rPr>
        <w:t>财政预算管理的“三公”经费，是指</w:t>
      </w:r>
      <w:r>
        <w:rPr>
          <w:rFonts w:hint="eastAsia" w:eastAsia="方正仿宋_GBK" w:cs="Times New Roman"/>
          <w:color w:val="000000"/>
          <w:sz w:val="28"/>
          <w:lang w:eastAsia="zh-CN"/>
        </w:rPr>
        <w:t>区县级</w:t>
      </w:r>
      <w:r>
        <w:rPr>
          <w:rFonts w:eastAsia="方正仿宋_GBK" w:cs="Times New Roman"/>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30295"/>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p>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gyODMyNjcxM2Q1NWQ3NTZjOTBiNjUwYWY2YzY5NTAifQ=="/>
  </w:docVars>
  <w:rsids>
    <w:rsidRoot w:val="07F24C0D"/>
    <w:rsid w:val="07F24C0D"/>
    <w:rsid w:val="1D17179A"/>
    <w:rsid w:val="5F3B6A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2"/>
    <w:basedOn w:val="1"/>
    <w:next w:val="1"/>
    <w:uiPriority w:val="0"/>
    <w:pPr>
      <w:ind w:left="420" w:leftChars="200"/>
    </w:p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1">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4">
    <w:name w:val="Normal_8b4f2aa5-1cb9-4b0c-908e-c4b88fb15158"/>
    <w:qFormat/>
    <w:uiPriority w:val="0"/>
    <w:rPr>
      <w:rFonts w:ascii="Times New Roman" w:hAnsi="Times New Roman" w:eastAsia="Times New Roman" w:cstheme="minorBidi"/>
      <w:sz w:val="24"/>
      <w:szCs w:val="24"/>
      <w:lang w:val="en-US" w:eastAsia="uk-UA" w:bidi="ar-SA"/>
    </w:rPr>
  </w:style>
  <w:style w:type="paragraph" w:customStyle="1" w:styleId="25">
    <w:name w:val="单元格样式1_b9d52322-dd40-4292-bed8-e6b05314129a"/>
    <w:basedOn w:val="1"/>
    <w:qFormat/>
    <w:uiPriority w:val="0"/>
    <w:pPr>
      <w:jc w:val="center"/>
    </w:pPr>
    <w:rPr>
      <w:rFonts w:ascii="方正书宋_GBK" w:hAnsi="方正书宋_GBK" w:eastAsia="方正书宋_GBK" w:cs="方正书宋_GBK"/>
      <w:b/>
      <w:sz w:val="21"/>
    </w:rPr>
  </w:style>
  <w:style w:type="paragraph" w:customStyle="1" w:styleId="26">
    <w:name w:val="单元格样式2_fb348547-183a-463b-926d-d846db69ed13"/>
    <w:basedOn w:val="1"/>
    <w:qFormat/>
    <w:uiPriority w:val="0"/>
    <w:rPr>
      <w:rFonts w:ascii="方正书宋_GBK" w:hAnsi="方正书宋_GBK" w:eastAsia="方正书宋_GBK" w:cs="方正书宋_GBK"/>
      <w:sz w:val="21"/>
    </w:rPr>
  </w:style>
  <w:style w:type="paragraph" w:customStyle="1" w:styleId="27">
    <w:name w:val="单元格样式3_c8b1644d-1241-4595-a7ca-eacb0e01e9bf"/>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2023-09-04T05:34:00Z</dcterms:created>
  <dc:creator>浮生若梦亦是梦</dc:creator>
  <cp:lastModifiedBy>浮生若梦亦是梦</cp:lastModifiedBy>
  <dcterms:modified xsi:type="dcterms:W3CDTF">2023-09-04T08:30:09Z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78FFBC2ACBD841E7B213355A24E18B5F_11</vt:lpwstr>
  </property>
</Properties>
</file>