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C893F41">
      <w:pPr>
        <w:widowControl w:val="0"/>
        <w:wordWrap/>
        <w:adjustRightInd/>
        <w:snapToGrid w:val="0"/>
        <w:spacing w:line="560" w:lineRule="exact"/>
        <w:ind w:left="0" w:leftChars="0" w:right="0"/>
        <w:textAlignment w:val="auto"/>
        <w:outlineLvl w:val="9"/>
        <w:rPr>
          <w:rFonts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附件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</w:p>
    <w:p w14:paraId="6D9E89F4">
      <w:pPr>
        <w:widowControl w:val="0"/>
        <w:wordWrap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</w:rPr>
        <w:t>部门年度</w:t>
      </w:r>
      <w:r>
        <w:rPr>
          <w:rFonts w:hint="eastAsia" w:ascii="宋体" w:hAnsi="宋体" w:cs="宋体"/>
          <w:b/>
          <w:bCs/>
          <w:kern w:val="0"/>
          <w:sz w:val="44"/>
          <w:szCs w:val="44"/>
          <w:lang w:eastAsia="zh-CN"/>
        </w:rPr>
        <w:t>整体支出</w:t>
      </w:r>
      <w:r>
        <w:rPr>
          <w:rFonts w:hint="eastAsia" w:ascii="宋体" w:hAnsi="宋体" w:cs="宋体"/>
          <w:b/>
          <w:bCs/>
          <w:sz w:val="44"/>
          <w:szCs w:val="44"/>
        </w:rPr>
        <w:t>绩效自评工作报告</w:t>
      </w:r>
    </w:p>
    <w:p w14:paraId="7F57A83A">
      <w:pPr>
        <w:widowControl w:val="0"/>
        <w:wordWrap/>
        <w:adjustRightInd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仿宋"/>
          <w:b/>
          <w:sz w:val="32"/>
          <w:szCs w:val="32"/>
        </w:rPr>
      </w:pPr>
    </w:p>
    <w:p w14:paraId="2ED5FDA7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部门基本情况</w:t>
      </w:r>
    </w:p>
    <w:p w14:paraId="65C52607">
      <w:pPr>
        <w:pStyle w:val="8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石家庄市藁城区财政局的主要职责是：</w:t>
      </w:r>
    </w:p>
    <w:p w14:paraId="0BF0C49A">
      <w:pPr>
        <w:pStyle w:val="8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（一）办公室</w:t>
      </w:r>
    </w:p>
    <w:p w14:paraId="7FA49FF8">
      <w:pPr>
        <w:pStyle w:val="8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综合协调、管理局机关日常政务；负责有关重要会议的组织：起草和修改有关重要报告和文件；研究财政政策；负责局机关的人事工资管理；负责全区财政系统干部队伍建设、精神文明建设和法制宣传工作；负责文电、机要保密、档案、信访、办公自动化及机关后勤服务等工作；负责重要事项的督查督办。</w:t>
      </w:r>
    </w:p>
    <w:p w14:paraId="36359534">
      <w:pPr>
        <w:pStyle w:val="8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（二）预算股</w:t>
      </w:r>
    </w:p>
    <w:p w14:paraId="5866B4A3">
      <w:pPr>
        <w:pStyle w:val="8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负责编制年度区本级预算、汇总全区总预算，组织预算的执行，编制全区决算；执行国家预算管理体制和管理制度，研究地方预算体制改革；拟定区对乡财政管理体 ，研究制订增收节支和平衡预算的措施；负责审核批复部门（单位）的年度预决算。</w:t>
      </w:r>
    </w:p>
    <w:p w14:paraId="3236DA6C">
      <w:pPr>
        <w:pStyle w:val="8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（三）事业社保股</w:t>
      </w:r>
    </w:p>
    <w:p w14:paraId="10F5DF08">
      <w:pPr>
        <w:pStyle w:val="8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负责全区行政政法、财政教科文、财政社会保障财务管理事业单位财务管理。参与研究社会保障制度改革，会同有关部门研究建立社会保障预算和社会保障资金收支体系。</w:t>
      </w:r>
    </w:p>
    <w:p w14:paraId="16337AC5">
      <w:pPr>
        <w:pStyle w:val="8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（四）农业股</w:t>
      </w:r>
    </w:p>
    <w:p w14:paraId="5149710F">
      <w:pPr>
        <w:pStyle w:val="8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负责全区农业、林业、水利、畜牧、农机、农经、气象等单位的收支计划的落实及财务监督、管理工作；负责指导有关支农资金的分配和使用；汇总全区农口部门的年度收支预决算。负责农业综合开发项目专项资金的管理与监督。</w:t>
      </w:r>
    </w:p>
    <w:p w14:paraId="4CEBB962">
      <w:pPr>
        <w:pStyle w:val="8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（五）会计股</w:t>
      </w:r>
    </w:p>
    <w:p w14:paraId="778241E4">
      <w:pPr>
        <w:pStyle w:val="8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管理全区会计工作，研究提出加强会计工作的建议；贯彻实施国家会计法规、制度和“会计准则”；组织和管理会计人员业务培训；负责全区会计专业技术职务申报工作；指导和监督会计电算化工作等。</w:t>
      </w:r>
    </w:p>
    <w:p w14:paraId="6D29B735">
      <w:pPr>
        <w:pStyle w:val="8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（六）监察股</w:t>
      </w:r>
    </w:p>
    <w:p w14:paraId="010CAAAE">
      <w:pPr>
        <w:pStyle w:val="8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拟订财政监督检查制度并组织实施；监督检查财税法规、政策的执行情况，监督检查会计信息质量工作，依法查处违反财政法规的行为；组织协调全区财政监督工作，组织全区日常和专项财政收支的监督检查；负责对财政部门内部财经制度执行情况的监督检查。监督预算执行，检查各项财政收入的征管和财政资金分配使用效益情况；查处违反财经纪律行为。负责全区政府采购工作；负责全区控购工作及行政、事业和社会团体公车编制管理</w:t>
      </w:r>
    </w:p>
    <w:p w14:paraId="01F67A20">
      <w:pPr>
        <w:pStyle w:val="8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（七）企业股</w:t>
      </w:r>
    </w:p>
    <w:p w14:paraId="3FDE5843">
      <w:pPr>
        <w:pStyle w:val="8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负责经济建设资金、粮食风险基金、中小企业发展资金、地方国有企业财务的监督与管理，参与管理世界银行在我区的贷款项目；拟定土地收支管理制度并组织实施，拟定全区政府性债务管理制度并组织实施；编制区级政府性债务预算，统筹债务资金的安排使用，对全区政府性债务投资项目实施台账管理和分类指导，对政府性债务实施统计监督和评估预警，拟定化解政府性债务的政策措施，落实监督和债务偿还责任。负责归口管理的行政事业单位预算、决算编制；负责土地收支预算、决算；负责全区固定资产投资、粮食风险基金、国有企业及在统的集体企业决算的编制和上报。</w:t>
      </w:r>
    </w:p>
    <w:p w14:paraId="26160E13">
      <w:pPr>
        <w:pStyle w:val="8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（八）国库股</w:t>
      </w:r>
    </w:p>
    <w:p w14:paraId="3CF65ECB">
      <w:pPr>
        <w:pStyle w:val="8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组织预算执行及相关事宜协调；组织实施总预算会计、行政事业单位会计及政府会计制度；组织拟订全区国库管理制度、国库集中收付制度，推行国库管理制度改革；汇编全区财政总决算和部门决算；管理和核算财政专户资金，负责国库帐户的管理和各类财政性资金开设银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账户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</w:rPr>
        <w:t xml:space="preserve">的审批、建档工作。 </w:t>
      </w:r>
    </w:p>
    <w:p w14:paraId="1F5D2B89">
      <w:pPr>
        <w:pStyle w:val="8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（九）综合股</w:t>
      </w:r>
    </w:p>
    <w:p w14:paraId="40926A1F">
      <w:pPr>
        <w:pStyle w:val="8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承担区级住房保障、交通运输等方面的部门预算审核和年度预算执行分析、监督，管理住房改革预算资金，承担彩票管理的有关工作。</w:t>
      </w:r>
    </w:p>
    <w:p w14:paraId="7806AF46">
      <w:pPr>
        <w:pStyle w:val="8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（十）非税收入中心负责全区非税收入的项目审批、征缴管理、票据管理及监督检查工作。</w:t>
      </w:r>
    </w:p>
    <w:p w14:paraId="5D5D84E7">
      <w:pPr>
        <w:pStyle w:val="8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十一）农村综合改革办公室：负责村级公益事业建设一事一议财政奖补、农村公共服务运行维护机制建设试点工作;负责乡镇、村级财政转移支付资金的监督与管理;负责乡镇财政所标准化建设;负责农村公益性乡村债务化解工作;承担农村综合改革有关方面的工作，参与农民负担监管工作。</w:t>
      </w:r>
    </w:p>
    <w:p w14:paraId="7DF38CA7">
      <w:pPr>
        <w:pStyle w:val="8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（十二）综合治税中心：负责组织、协调国税、地税等部门，加强税收综合治理；负责税政及承担与处理综合治税日常工作。</w:t>
      </w:r>
    </w:p>
    <w:p w14:paraId="738F0DFA">
      <w:pPr>
        <w:pStyle w:val="8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（十三）财政集中支付中心：负责全区财政集中支付改革，负责区直所有纳入集中支付的行政、事业单位的日常经费、专项经费及专项工程建设资金的支付监督等。</w:t>
      </w:r>
    </w:p>
    <w:p w14:paraId="55151C5B">
      <w:pPr>
        <w:pStyle w:val="8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（十四）采购中心：负责统一组织纳入预算管理的国家机关、事业单位、社会团体的纳入集中采购目录的采购业务。</w:t>
      </w:r>
    </w:p>
    <w:p w14:paraId="72AD1795">
      <w:pPr>
        <w:pStyle w:val="8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（十五）财政投资评审中心：负责对财政性资金投资的建设项目进行跟踪评审等相关工作。</w:t>
      </w:r>
    </w:p>
    <w:p w14:paraId="52C758B9">
      <w:pPr>
        <w:pStyle w:val="8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（十六）财政信息中心：负责财政“金财工程”的实施，财政系统的信息及网络管理，财政干部教育培训工作。</w:t>
      </w:r>
    </w:p>
    <w:p w14:paraId="21646D0A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十七）国有资产管理办公室：贯彻执行国家有关国有资产管理的法律、法规和政策；负责全区国有资产管理、监督和处置工作；负责全区国有资产的产权登记、配置使用、资产评估、资产清查、产权纠纷调处、资产统计报告、监督检查和信息化管理等工作；负责本级国有资产收益的监督和管理，负责向本级政府和上级有关部门报告有关国有资产管理工作。负责区本级城建投资及政府投融资平台监督和管理工作。</w:t>
      </w:r>
    </w:p>
    <w:p w14:paraId="4C6B456B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2022年单位年度预算收入为2559.36万元，预算支出为2559.36万元；2022年单位年度决算收入为1881.86万元，决算支出为1881.86万元。</w:t>
      </w:r>
    </w:p>
    <w:p w14:paraId="048411D5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二、绩效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自评工作开展</w:t>
      </w:r>
      <w:r>
        <w:rPr>
          <w:rFonts w:hint="eastAsia" w:ascii="黑体" w:hAnsi="黑体" w:eastAsia="黑体" w:cs="黑体"/>
          <w:sz w:val="32"/>
          <w:szCs w:val="32"/>
        </w:rPr>
        <w:t>情况</w:t>
      </w:r>
    </w:p>
    <w:p w14:paraId="5A6E508A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</w:rPr>
        <w:t>为</w:t>
      </w:r>
      <w:r>
        <w:rPr>
          <w:rFonts w:hint="eastAsia" w:ascii="仿宋" w:hAnsi="仿宋" w:eastAsia="仿宋" w:cs="仿宋_GB2312"/>
          <w:sz w:val="32"/>
          <w:szCs w:val="32"/>
        </w:rPr>
        <w:t>进一步推进我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区</w:t>
      </w:r>
      <w:r>
        <w:rPr>
          <w:rFonts w:hint="eastAsia" w:ascii="仿宋" w:hAnsi="仿宋" w:eastAsia="仿宋" w:cs="仿宋_GB2312"/>
          <w:sz w:val="32"/>
          <w:szCs w:val="32"/>
        </w:rPr>
        <w:t>绩效预算管理工作，提高财政资金使用效益和财政管理科学化、精细化水平</w:t>
      </w:r>
      <w:r>
        <w:rPr>
          <w:rFonts w:hint="eastAsia" w:ascii="仿宋" w:hAnsi="仿宋" w:eastAsia="仿宋" w:cs="宋体"/>
          <w:sz w:val="32"/>
          <w:szCs w:val="32"/>
        </w:rPr>
        <w:t>，</w:t>
      </w:r>
      <w:r>
        <w:rPr>
          <w:rFonts w:hint="eastAsia" w:ascii="仿宋" w:hAnsi="仿宋" w:eastAsia="仿宋" w:cs="仿宋_GB2312"/>
          <w:sz w:val="32"/>
          <w:szCs w:val="32"/>
        </w:rPr>
        <w:t>根据</w:t>
      </w:r>
      <w:r>
        <w:rPr>
          <w:rFonts w:hint="eastAsia" w:ascii="仿宋" w:hAnsi="仿宋" w:eastAsia="仿宋" w:cs="宋体"/>
          <w:sz w:val="32"/>
          <w:szCs w:val="32"/>
        </w:rPr>
        <w:t>《石家庄市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藁城区区</w:t>
      </w:r>
      <w:r>
        <w:rPr>
          <w:rFonts w:hint="eastAsia" w:ascii="仿宋" w:hAnsi="仿宋" w:eastAsia="仿宋" w:cs="宋体"/>
          <w:sz w:val="32"/>
          <w:szCs w:val="32"/>
        </w:rPr>
        <w:t>级部门预算项目绩效自评管理办法》（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藁财字</w:t>
      </w:r>
      <w:r>
        <w:rPr>
          <w:rFonts w:hint="eastAsia" w:ascii="仿宋" w:hAnsi="仿宋" w:eastAsia="仿宋" w:cs="仿宋"/>
          <w:sz w:val="32"/>
          <w:szCs w:val="32"/>
        </w:rPr>
        <w:t>〔2020〕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23</w:t>
      </w:r>
      <w:r>
        <w:rPr>
          <w:rFonts w:hint="eastAsia" w:ascii="仿宋" w:hAnsi="仿宋" w:eastAsia="仿宋" w:cs="仿宋"/>
          <w:sz w:val="32"/>
          <w:szCs w:val="32"/>
        </w:rPr>
        <w:t>号</w:t>
      </w:r>
      <w:r>
        <w:rPr>
          <w:rFonts w:hint="eastAsia" w:ascii="仿宋" w:hAnsi="仿宋" w:eastAsia="仿宋" w:cs="宋体"/>
          <w:sz w:val="32"/>
          <w:szCs w:val="32"/>
        </w:rPr>
        <w:t>）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要求</w:t>
      </w:r>
      <w:r>
        <w:rPr>
          <w:rFonts w:hint="eastAsia" w:ascii="仿宋" w:hAnsi="仿宋" w:eastAsia="仿宋"/>
          <w:sz w:val="32"/>
          <w:szCs w:val="32"/>
        </w:rPr>
        <w:t>，遵循“科学性、规范性、客观性和公正性”的原则，</w:t>
      </w:r>
      <w:r>
        <w:rPr>
          <w:rFonts w:hint="eastAsia" w:ascii="仿宋" w:hAnsi="仿宋" w:eastAsia="仿宋" w:cs="仿宋"/>
          <w:sz w:val="32"/>
          <w:szCs w:val="32"/>
        </w:rPr>
        <w:t>我局认真开展了202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</w:rPr>
        <w:t>年度预算绩效自评工作。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为保证绩效评价工作顺利开展，我单位成立了绩效评价工作小组，负责绩效评价的组织管理和实施工作。评价小组对我单位年度绩效的相关资料进行收集、梳理，并撰写绩效评价报告。</w:t>
      </w:r>
    </w:p>
    <w:p w14:paraId="03CC684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按照上级文件的有关要求，结合我单位实际情况，经局办公会研究决定，成立了以李辉局长为组长的自评领导小组，明确了主管领导及业务科室等相关负责人，制定了2022年自评工作方案，为自评工作做好准备。</w:t>
      </w:r>
    </w:p>
    <w:p w14:paraId="01F58615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580" w:leftChars="0" w:right="0" w:rightChars="0" w:firstLine="0" w:firstLineChars="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实施过程</w:t>
      </w:r>
    </w:p>
    <w:p w14:paraId="26AA048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2022年我单位绩效自评项目共有12个，由自评工作小组负责实施项目绩效自评工作，首先对2022年度12个项目的实际完成情况进行了解，与年初预算制定的绩效目标相比较，均已完成年初预算绩效目标；其次对项目资金的使用情况进行评价，通过查阅有关项目收入支出明细账，审核项目资金是否专款专用、支出进度是否达到年初计划；最后，对项目实施过程中存在的问题进行分析讨论，并提出可行性建议和措施。</w:t>
      </w:r>
    </w:p>
    <w:p w14:paraId="0724F110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580" w:leftChars="0" w:right="0" w:rightChars="0" w:firstLine="0" w:firstLineChars="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预算资金安排</w:t>
      </w:r>
    </w:p>
    <w:p w14:paraId="4623C26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经自评得出，2022年我单位自评项目共12个，其中，一般公共预算项目11个，政府性基金项目1个；自评项目资金566.55万元，所有项目资金安排都较为合理。</w:t>
      </w:r>
    </w:p>
    <w:p w14:paraId="301F77A4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580" w:leftChars="0" w:right="0" w:rightChars="0" w:firstLine="0" w:firstLineChars="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审计部门意见</w:t>
      </w:r>
    </w:p>
    <w:p w14:paraId="2F923D3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区审计局对我单位2022年账目进行了审查，未发现项目执行情况存在问题。</w:t>
      </w:r>
    </w:p>
    <w:p w14:paraId="217ABF66">
      <w:pPr>
        <w:widowControl w:val="0"/>
        <w:numPr>
          <w:ilvl w:val="0"/>
          <w:numId w:val="2"/>
        </w:numPr>
        <w:wordWrap/>
        <w:adjustRightInd/>
        <w:snapToGrid w:val="0"/>
        <w:spacing w:line="560" w:lineRule="exact"/>
        <w:ind w:left="-10" w:leftChars="0" w:right="0" w:firstLine="640" w:firstLineChars="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部门整体支出绩效目标实现情况及指标分析</w:t>
      </w:r>
    </w:p>
    <w:p w14:paraId="31606599">
      <w:pPr>
        <w:widowControl w:val="0"/>
        <w:numPr>
          <w:ilvl w:val="0"/>
          <w:numId w:val="0"/>
        </w:numPr>
        <w:wordWrap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2022年我单位较高效率地使用了各专项资金，基本完成了各项目的绩效目标，圆满完成了一事一议、评审中心评审费等各项工作，项目综合评价均为优秀。</w:t>
      </w:r>
    </w:p>
    <w:p w14:paraId="6472BE17">
      <w:pPr>
        <w:widowControl w:val="0"/>
        <w:numPr>
          <w:ilvl w:val="0"/>
          <w:numId w:val="3"/>
        </w:numPr>
        <w:wordWrap/>
        <w:adjustRightInd/>
        <w:snapToGrid w:val="0"/>
        <w:spacing w:line="560" w:lineRule="exact"/>
        <w:ind w:left="0" w:leftChars="0" w:right="0" w:rightChars="0" w:firstLine="320" w:firstLineChars="10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专项资金和具体预算支出项目的完成情况</w:t>
      </w:r>
    </w:p>
    <w:p w14:paraId="3305FA7D">
      <w:pPr>
        <w:widowControl w:val="0"/>
        <w:numPr>
          <w:ilvl w:val="0"/>
          <w:numId w:val="4"/>
        </w:numPr>
        <w:wordWrap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2022年年度农村综合改革项目管理费用项目。2022年该项目预算3.6万，支付到位3.6万，预算执行率100%，资金到位率100%。</w:t>
      </w:r>
    </w:p>
    <w:p w14:paraId="2998595D">
      <w:pPr>
        <w:widowControl w:val="0"/>
        <w:numPr>
          <w:ilvl w:val="0"/>
          <w:numId w:val="4"/>
        </w:numPr>
        <w:wordWrap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财政网络等保测评费用项目。2022年该项目预算5.5万，支付到位5.5万，预算执行率100%，资金到位率100%。</w:t>
      </w:r>
    </w:p>
    <w:p w14:paraId="067259E2">
      <w:pPr>
        <w:widowControl w:val="0"/>
        <w:numPr>
          <w:ilvl w:val="0"/>
          <w:numId w:val="4"/>
        </w:numPr>
        <w:wordWrap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财政支付系统网络租赁及一体化信息维护费项目。2022年该项目预算10.4万，支付到位10.4万，预算执行率100%，资金到位率100%。</w:t>
      </w:r>
    </w:p>
    <w:p w14:paraId="7A45DE19">
      <w:pPr>
        <w:widowControl w:val="0"/>
        <w:numPr>
          <w:ilvl w:val="0"/>
          <w:numId w:val="4"/>
        </w:numPr>
        <w:wordWrap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财政综合管理经费项目。2022年该目预算54.1万，支付到位54.1万，预算执行率100%，资金到位率100%。</w:t>
      </w:r>
    </w:p>
    <w:p w14:paraId="47B3399B">
      <w:pPr>
        <w:widowControl w:val="0"/>
        <w:numPr>
          <w:ilvl w:val="0"/>
          <w:numId w:val="4"/>
        </w:numPr>
        <w:wordWrap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城中村改造驻村工作组经费补助项目。2022年该项目预算9.864499万，支付到位9.864499万，预算执行率100%，资金到位率100%。</w:t>
      </w:r>
    </w:p>
    <w:p w14:paraId="6E34FA26">
      <w:pPr>
        <w:widowControl w:val="0"/>
        <w:numPr>
          <w:ilvl w:val="0"/>
          <w:numId w:val="4"/>
        </w:numPr>
        <w:wordWrap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购买行政事业性收费票据项目。2022年该项目预算13万，支付到位13万，预算执行率100%，资金到位率100%。</w:t>
      </w:r>
    </w:p>
    <w:p w14:paraId="2CF70402">
      <w:pPr>
        <w:widowControl w:val="0"/>
        <w:numPr>
          <w:ilvl w:val="0"/>
          <w:numId w:val="4"/>
        </w:numPr>
        <w:wordWrap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劳务派遣及聘用人员经费项目。2022年该项目预算126.983192万，支付到位126.983192万，预算执行率100%，资金到位率100%。</w:t>
      </w:r>
    </w:p>
    <w:p w14:paraId="37189F6F">
      <w:pPr>
        <w:widowControl w:val="0"/>
        <w:numPr>
          <w:ilvl w:val="0"/>
          <w:numId w:val="4"/>
        </w:numPr>
        <w:wordWrap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聘请律师费用项目。2022年该项目预算8.5万，支付到位8.5万，预算执行率100%，资金到位率100%。</w:t>
      </w:r>
    </w:p>
    <w:p w14:paraId="18743FAF">
      <w:pPr>
        <w:widowControl w:val="0"/>
        <w:numPr>
          <w:ilvl w:val="0"/>
          <w:numId w:val="4"/>
        </w:numPr>
        <w:wordWrap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评审中心办公费及评审经费项目。2022年该项目预算219.61226万，支付到位219.61226万，预算执行率100%，资金到位率100%。</w:t>
      </w:r>
    </w:p>
    <w:p w14:paraId="32972CCD">
      <w:pPr>
        <w:widowControl w:val="0"/>
        <w:numPr>
          <w:ilvl w:val="0"/>
          <w:numId w:val="4"/>
        </w:numPr>
        <w:wordWrap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石财农【2021】101号关于提前下达2022年省级农村综合改革转移支付预算的通知项目。2022年该项目预算11万，支付到位3.882345万，预算执行率35.3%，资金到位率100%。</w:t>
      </w:r>
    </w:p>
    <w:p w14:paraId="116D0D54">
      <w:pPr>
        <w:widowControl w:val="0"/>
        <w:numPr>
          <w:ilvl w:val="0"/>
          <w:numId w:val="4"/>
        </w:numPr>
        <w:wordWrap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土地增值税清算费用项目。2022年该项目预算29.49万，支付到位29.49万，预算执行率100%，资金到位率100%。</w:t>
      </w:r>
    </w:p>
    <w:p w14:paraId="37CB5B20">
      <w:pPr>
        <w:widowControl w:val="0"/>
        <w:numPr>
          <w:ilvl w:val="0"/>
          <w:numId w:val="4"/>
        </w:numPr>
        <w:wordWrap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资产清查、专项审计等服务费项目。2022年该项目预算74.5万，支付到位74.5万，预算执行率100%，资金到位率100%。</w:t>
      </w:r>
    </w:p>
    <w:p w14:paraId="60597106">
      <w:pPr>
        <w:widowControl w:val="0"/>
        <w:numPr>
          <w:ilvl w:val="0"/>
          <w:numId w:val="2"/>
        </w:numPr>
        <w:wordWrap/>
        <w:adjustRightInd/>
        <w:snapToGrid w:val="0"/>
        <w:spacing w:line="560" w:lineRule="exact"/>
        <w:ind w:left="-10" w:leftChars="0" w:right="0" w:firstLine="640" w:firstLineChars="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评价结论和评价等级</w:t>
      </w:r>
    </w:p>
    <w:p w14:paraId="70F5204C">
      <w:pPr>
        <w:widowControl w:val="0"/>
        <w:numPr>
          <w:ilvl w:val="0"/>
          <w:numId w:val="0"/>
        </w:numPr>
        <w:wordWrap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通过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全年项目进行绩效评价，逐项分析每个项目产出和效果指标完成情况，并汇总整体得分、评价等级。</w:t>
      </w:r>
    </w:p>
    <w:p w14:paraId="256C8A59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五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、整改措</w:t>
      </w:r>
      <w:r>
        <w:rPr>
          <w:rFonts w:hint="eastAsia" w:ascii="黑体" w:hAnsi="黑体" w:eastAsia="黑体" w:cs="黑体"/>
          <w:sz w:val="32"/>
          <w:szCs w:val="32"/>
        </w:rPr>
        <w:t>施及结果应用</w:t>
      </w:r>
    </w:p>
    <w:p w14:paraId="7A238324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主要包括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存在主要问题，并</w:t>
      </w:r>
      <w:r>
        <w:rPr>
          <w:rFonts w:hint="eastAsia" w:ascii="仿宋" w:hAnsi="仿宋" w:eastAsia="仿宋" w:cs="仿宋"/>
          <w:sz w:val="32"/>
          <w:szCs w:val="32"/>
        </w:rPr>
        <w:t>针对存在的问题，研究制定的整改思路和工作措施，在</w:t>
      </w: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健全制度、完善政策、改进管理、优化</w:t>
      </w:r>
      <w:r>
        <w:rPr>
          <w:rFonts w:hint="eastAsia" w:ascii="仿宋" w:hAnsi="仿宋" w:eastAsia="仿宋" w:cs="仿宋"/>
          <w:sz w:val="32"/>
          <w:szCs w:val="32"/>
        </w:rPr>
        <w:t>流程等提高部门绩效方面的具体做法，在</w:t>
      </w: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整合资金、调整项目及改善投向等优化部门支出结构方面的安排，在提高绩效目标设置质量方面的打算等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 w14:paraId="02BC51F0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六、评价工作组人员名单及签字</w:t>
      </w:r>
    </w:p>
    <w:tbl>
      <w:tblPr>
        <w:tblStyle w:val="4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6"/>
        <w:gridCol w:w="1550"/>
        <w:gridCol w:w="2867"/>
        <w:gridCol w:w="1264"/>
        <w:gridCol w:w="1705"/>
      </w:tblGrid>
      <w:tr w14:paraId="303B28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5" w:hRule="atLeast"/>
        </w:trPr>
        <w:tc>
          <w:tcPr>
            <w:tcW w:w="1136" w:type="dxa"/>
            <w:noWrap w:val="0"/>
            <w:vAlign w:val="center"/>
          </w:tcPr>
          <w:p w14:paraId="65198AF7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firstLine="300" w:firstLineChars="100"/>
              <w:jc w:val="both"/>
              <w:textAlignment w:val="auto"/>
              <w:rPr>
                <w:rFonts w:hint="eastAsia" w:ascii="仿宋_GB2312" w:eastAsia="仿宋_GB2312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eastAsia="仿宋_GB2312"/>
                <w:sz w:val="30"/>
                <w:szCs w:val="30"/>
                <w:lang w:val="en-US" w:eastAsia="zh-CN"/>
              </w:rPr>
              <w:t>序号</w:t>
            </w:r>
          </w:p>
        </w:tc>
        <w:tc>
          <w:tcPr>
            <w:tcW w:w="1550" w:type="dxa"/>
            <w:noWrap w:val="0"/>
            <w:vAlign w:val="center"/>
          </w:tcPr>
          <w:p w14:paraId="1748C120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firstLine="300" w:firstLineChars="100"/>
              <w:jc w:val="both"/>
              <w:textAlignment w:val="auto"/>
              <w:rPr>
                <w:rFonts w:hint="eastAsia" w:ascii="仿宋_GB2312" w:eastAsia="仿宋_GB2312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eastAsia="仿宋_GB2312"/>
                <w:sz w:val="30"/>
                <w:szCs w:val="30"/>
                <w:lang w:val="en-US" w:eastAsia="zh-CN"/>
              </w:rPr>
              <w:t>姓名</w:t>
            </w:r>
          </w:p>
        </w:tc>
        <w:tc>
          <w:tcPr>
            <w:tcW w:w="2867" w:type="dxa"/>
            <w:noWrap w:val="0"/>
            <w:vAlign w:val="center"/>
          </w:tcPr>
          <w:p w14:paraId="72CBA1EB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firstLine="600" w:firstLineChars="200"/>
              <w:jc w:val="both"/>
              <w:textAlignment w:val="auto"/>
              <w:rPr>
                <w:rFonts w:hint="default" w:ascii="仿宋_GB2312" w:eastAsia="仿宋_GB2312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eastAsia="仿宋_GB2312"/>
                <w:sz w:val="30"/>
                <w:szCs w:val="30"/>
                <w:lang w:val="en-US" w:eastAsia="zh-CN"/>
              </w:rPr>
              <w:t>工作单位</w:t>
            </w:r>
          </w:p>
        </w:tc>
        <w:tc>
          <w:tcPr>
            <w:tcW w:w="1264" w:type="dxa"/>
            <w:noWrap w:val="0"/>
            <w:vAlign w:val="center"/>
          </w:tcPr>
          <w:p w14:paraId="514DFE6E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职务</w:t>
            </w:r>
          </w:p>
        </w:tc>
        <w:tc>
          <w:tcPr>
            <w:tcW w:w="1705" w:type="dxa"/>
            <w:noWrap w:val="0"/>
            <w:vAlign w:val="center"/>
          </w:tcPr>
          <w:p w14:paraId="5D371B81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firstLine="320" w:firstLineChars="100"/>
              <w:jc w:val="both"/>
              <w:textAlignment w:val="auto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签字</w:t>
            </w:r>
          </w:p>
        </w:tc>
      </w:tr>
      <w:tr w14:paraId="5C756D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1136" w:type="dxa"/>
            <w:noWrap w:val="0"/>
            <w:vAlign w:val="center"/>
          </w:tcPr>
          <w:p w14:paraId="65C5A553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firstLine="320" w:firstLineChars="100"/>
              <w:jc w:val="center"/>
              <w:textAlignment w:val="auto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1550" w:type="dxa"/>
            <w:noWrap w:val="0"/>
            <w:vAlign w:val="center"/>
          </w:tcPr>
          <w:p w14:paraId="100E8533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李辉</w:t>
            </w:r>
          </w:p>
        </w:tc>
        <w:tc>
          <w:tcPr>
            <w:tcW w:w="2867" w:type="dxa"/>
            <w:noWrap w:val="0"/>
            <w:vAlign w:val="center"/>
          </w:tcPr>
          <w:p w14:paraId="67FEA37C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藁城区财政局</w:t>
            </w:r>
          </w:p>
        </w:tc>
        <w:tc>
          <w:tcPr>
            <w:tcW w:w="1264" w:type="dxa"/>
            <w:noWrap w:val="0"/>
            <w:vAlign w:val="center"/>
          </w:tcPr>
          <w:p w14:paraId="680ABC99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局长</w:t>
            </w:r>
          </w:p>
        </w:tc>
        <w:tc>
          <w:tcPr>
            <w:tcW w:w="1705" w:type="dxa"/>
            <w:noWrap w:val="0"/>
            <w:vAlign w:val="center"/>
          </w:tcPr>
          <w:p w14:paraId="18991234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</w:rPr>
            </w:pPr>
          </w:p>
        </w:tc>
      </w:tr>
      <w:tr w14:paraId="461C75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1136" w:type="dxa"/>
            <w:noWrap w:val="0"/>
            <w:vAlign w:val="center"/>
          </w:tcPr>
          <w:p w14:paraId="48C755CF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firstLine="320" w:firstLineChars="1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1550" w:type="dxa"/>
            <w:noWrap w:val="0"/>
            <w:vAlign w:val="center"/>
          </w:tcPr>
          <w:p w14:paraId="671C5A47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马艳辉</w:t>
            </w:r>
          </w:p>
        </w:tc>
        <w:tc>
          <w:tcPr>
            <w:tcW w:w="2867" w:type="dxa"/>
            <w:noWrap w:val="0"/>
            <w:vAlign w:val="center"/>
          </w:tcPr>
          <w:p w14:paraId="5B27AC0F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藁城区财政局</w:t>
            </w:r>
          </w:p>
        </w:tc>
        <w:tc>
          <w:tcPr>
            <w:tcW w:w="1264" w:type="dxa"/>
            <w:noWrap w:val="0"/>
            <w:vAlign w:val="center"/>
          </w:tcPr>
          <w:p w14:paraId="0D42482D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副局长</w:t>
            </w:r>
          </w:p>
        </w:tc>
        <w:tc>
          <w:tcPr>
            <w:tcW w:w="1705" w:type="dxa"/>
            <w:noWrap w:val="0"/>
            <w:vAlign w:val="center"/>
          </w:tcPr>
          <w:p w14:paraId="4574C70B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</w:rPr>
            </w:pPr>
          </w:p>
        </w:tc>
      </w:tr>
      <w:tr w14:paraId="20B127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6" w:type="dxa"/>
            <w:noWrap w:val="0"/>
            <w:vAlign w:val="center"/>
          </w:tcPr>
          <w:p w14:paraId="7253038D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firstLine="320" w:firstLineChars="1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1550" w:type="dxa"/>
            <w:noWrap w:val="0"/>
            <w:vAlign w:val="center"/>
          </w:tcPr>
          <w:p w14:paraId="550307DB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王冬</w:t>
            </w:r>
          </w:p>
        </w:tc>
        <w:tc>
          <w:tcPr>
            <w:tcW w:w="2867" w:type="dxa"/>
            <w:noWrap w:val="0"/>
            <w:vAlign w:val="center"/>
          </w:tcPr>
          <w:p w14:paraId="26010105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藁城区财政局</w:t>
            </w:r>
          </w:p>
        </w:tc>
        <w:tc>
          <w:tcPr>
            <w:tcW w:w="1264" w:type="dxa"/>
            <w:noWrap w:val="0"/>
            <w:vAlign w:val="center"/>
          </w:tcPr>
          <w:p w14:paraId="48D8CBB3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股长</w:t>
            </w:r>
          </w:p>
        </w:tc>
        <w:tc>
          <w:tcPr>
            <w:tcW w:w="1705" w:type="dxa"/>
            <w:noWrap w:val="0"/>
            <w:vAlign w:val="center"/>
          </w:tcPr>
          <w:p w14:paraId="1E366B60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</w:rPr>
            </w:pPr>
          </w:p>
        </w:tc>
      </w:tr>
    </w:tbl>
    <w:p w14:paraId="7826201E">
      <w:pPr>
        <w:widowControl w:val="0"/>
        <w:numPr>
          <w:ilvl w:val="0"/>
          <w:numId w:val="0"/>
        </w:numPr>
        <w:wordWrap/>
        <w:adjustRightInd/>
        <w:snapToGrid w:val="0"/>
        <w:spacing w:line="560" w:lineRule="exact"/>
        <w:ind w:left="630" w:leftChars="0" w:right="0" w:rightChars="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</w:p>
    <w:sectPr>
      <w:headerReference r:id="rId3" w:type="default"/>
      <w:footerReference r:id="rId4" w:type="default"/>
      <w:pgSz w:w="11906" w:h="16838"/>
      <w:pgMar w:top="2041" w:right="1304" w:bottom="1701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2DA294E"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D44B47B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7D44B47B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630D085">
    <w:pPr>
      <w:pStyle w:val="3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79F1EC4"/>
    <w:multiLevelType w:val="singleLevel"/>
    <w:tmpl w:val="B79F1EC4"/>
    <w:lvl w:ilvl="0" w:tentative="0">
      <w:start w:val="3"/>
      <w:numFmt w:val="chineseCounting"/>
      <w:suff w:val="nothing"/>
      <w:lvlText w:val="%1、"/>
      <w:lvlJc w:val="left"/>
      <w:pPr>
        <w:ind w:left="-10"/>
      </w:pPr>
      <w:rPr>
        <w:rFonts w:hint="eastAsia"/>
      </w:rPr>
    </w:lvl>
  </w:abstractNum>
  <w:abstractNum w:abstractNumId="1">
    <w:nsid w:val="C5886CD6"/>
    <w:multiLevelType w:val="singleLevel"/>
    <w:tmpl w:val="C5886CD6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2">
    <w:nsid w:val="F4E341E2"/>
    <w:multiLevelType w:val="singleLevel"/>
    <w:tmpl w:val="F4E341E2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3">
    <w:nsid w:val="0CE3AC2F"/>
    <w:multiLevelType w:val="singleLevel"/>
    <w:tmpl w:val="0CE3AC2F"/>
    <w:lvl w:ilvl="0" w:tentative="0">
      <w:start w:val="1"/>
      <w:numFmt w:val="chineseCounting"/>
      <w:suff w:val="nothing"/>
      <w:lvlText w:val="（%1）"/>
      <w:lvlJc w:val="left"/>
      <w:pPr>
        <w:ind w:left="580" w:leftChars="0" w:firstLine="0" w:firstLineChars="0"/>
      </w:pPr>
      <w:rPr>
        <w:rFonts w:hint="eastAsia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8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MzZmIyODEyYmQwZGE2MGU2MDg2NjQ2ZDRlZTY2ODcifQ=="/>
  </w:docVars>
  <w:rsids>
    <w:rsidRoot w:val="00EF16A3"/>
    <w:rsid w:val="000D193E"/>
    <w:rsid w:val="000D29F1"/>
    <w:rsid w:val="001627CF"/>
    <w:rsid w:val="001646B1"/>
    <w:rsid w:val="00176210"/>
    <w:rsid w:val="001D2D4C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C242EC"/>
    <w:rsid w:val="00CE156F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51D4810"/>
    <w:rsid w:val="055B525F"/>
    <w:rsid w:val="13B61930"/>
    <w:rsid w:val="1BAF1154"/>
    <w:rsid w:val="1C655171"/>
    <w:rsid w:val="20276775"/>
    <w:rsid w:val="39C01E2E"/>
    <w:rsid w:val="3AEF6FE7"/>
    <w:rsid w:val="493B718D"/>
    <w:rsid w:val="53A42ADD"/>
    <w:rsid w:val="5A955B35"/>
    <w:rsid w:val="5C4A315B"/>
    <w:rsid w:val="6179004A"/>
    <w:rsid w:val="661D3074"/>
    <w:rsid w:val="6BDE7164"/>
    <w:rsid w:val="6E395FA1"/>
    <w:rsid w:val="74B209B2"/>
    <w:rsid w:val="7B1E03A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  <w:style w:type="paragraph" w:customStyle="1" w:styleId="8">
    <w:name w:val="插入文本样式-插入部门职责文件"/>
    <w:basedOn w:val="1"/>
    <w:qFormat/>
    <w:uiPriority w:val="0"/>
    <w:pPr>
      <w:spacing w:before="0" w:beforeLines="0" w:after="0" w:afterLines="0" w:line="500" w:lineRule="exact"/>
      <w:ind w:firstLine="560"/>
      <w:jc w:val="left"/>
      <w:outlineLvl w:val="9"/>
    </w:pPr>
    <w:rPr>
      <w:sz w:val="2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7</Pages>
  <Words>3443</Words>
  <Characters>3723</Characters>
  <Lines>3</Lines>
  <Paragraphs>1</Paragraphs>
  <TotalTime>0</TotalTime>
  <ScaleCrop>false</ScaleCrop>
  <LinksUpToDate>false</LinksUpToDate>
  <CharactersWithSpaces>3725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 </cp:lastModifiedBy>
  <cp:lastPrinted>2023-07-19T02:02:00Z</cp:lastPrinted>
  <dcterms:modified xsi:type="dcterms:W3CDTF">2024-09-19T11:30:20Z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25409326A35843089B8F77BCAAF7FDBE_12</vt:lpwstr>
  </property>
</Properties>
</file>