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4CC5D5">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bookmarkStart w:id="0" w:name="_GoBack"/>
      <w:bookmarkEnd w:id="0"/>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07EED056">
      <w:pPr>
        <w:widowControl w:val="0"/>
        <w:wordWrap/>
        <w:adjustRightInd/>
        <w:snapToGrid w:val="0"/>
        <w:spacing w:line="560" w:lineRule="exact"/>
        <w:ind w:left="0" w:leftChars="0" w:right="0"/>
        <w:jc w:val="center"/>
        <w:textAlignment w:val="auto"/>
        <w:outlineLvl w:val="9"/>
        <w:rPr>
          <w:rFonts w:hint="eastAsia" w:ascii="宋体" w:hAnsi="宋体" w:cs="宋体"/>
          <w:b/>
          <w:bCs/>
          <w:sz w:val="44"/>
          <w:szCs w:val="44"/>
          <w:lang w:eastAsia="zh-CN"/>
        </w:rPr>
      </w:pPr>
    </w:p>
    <w:p w14:paraId="5933E777">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rPr>
      </w:pPr>
      <w:r>
        <w:rPr>
          <w:rFonts w:hint="eastAsia" w:ascii="宋体" w:hAnsi="宋体" w:cs="宋体"/>
          <w:b/>
          <w:bCs/>
          <w:sz w:val="44"/>
          <w:szCs w:val="44"/>
          <w:lang w:eastAsia="zh-CN"/>
        </w:rPr>
        <w:t>石家庄市藁城区人大常务委员会办公室</w:t>
      </w:r>
    </w:p>
    <w:p w14:paraId="1BD7194F">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1513F649">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292FA726">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41E186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kern w:val="0"/>
          <w:sz w:val="32"/>
          <w:szCs w:val="32"/>
        </w:rPr>
      </w:pPr>
      <w:r>
        <w:rPr>
          <w:rFonts w:hint="eastAsia" w:ascii="楷体" w:hAnsi="楷体" w:eastAsia="楷体" w:cs="楷体"/>
          <w:kern w:val="0"/>
          <w:sz w:val="32"/>
          <w:szCs w:val="32"/>
        </w:rPr>
        <w:t>（一）部门总体工作开展情况</w:t>
      </w:r>
    </w:p>
    <w:p w14:paraId="012F76A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区人大常委会积极关注本区域经济社会发展的焦点难点，以决定、决议等形式推动和服务本地改革发展</w:t>
      </w:r>
      <w:r>
        <w:rPr>
          <w:rFonts w:hint="eastAsia" w:ascii="仿宋" w:hAnsi="仿宋" w:eastAsia="仿宋" w:cs="仿宋"/>
          <w:sz w:val="32"/>
          <w:szCs w:val="32"/>
          <w:lang w:eastAsia="zh-CN"/>
        </w:rPr>
        <w:t>。一是</w:t>
      </w:r>
      <w:r>
        <w:rPr>
          <w:rFonts w:hint="eastAsia" w:ascii="仿宋" w:hAnsi="仿宋" w:eastAsia="仿宋" w:cs="仿宋"/>
          <w:sz w:val="32"/>
          <w:szCs w:val="32"/>
        </w:rPr>
        <w:t>认真制定民生实事票决制实施办法</w:t>
      </w:r>
      <w:r>
        <w:rPr>
          <w:rFonts w:hint="eastAsia" w:ascii="仿宋" w:hAnsi="仿宋" w:eastAsia="仿宋" w:cs="仿宋"/>
          <w:sz w:val="32"/>
          <w:szCs w:val="32"/>
          <w:lang w:eastAsia="zh-CN"/>
        </w:rPr>
        <w:t>；</w:t>
      </w:r>
      <w:r>
        <w:rPr>
          <w:rFonts w:hint="eastAsia" w:ascii="仿宋" w:hAnsi="仿宋" w:eastAsia="仿宋" w:cs="仿宋"/>
          <w:sz w:val="32"/>
          <w:szCs w:val="32"/>
        </w:rPr>
        <w:t>二是普遍建立直选代表向选民述职制度，区乡人大代表每年进行口头述职评议的代表人数不少于总数的20%。</w:t>
      </w:r>
    </w:p>
    <w:p w14:paraId="3BA3CCE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组织全区省、市、区三级人大代表集中培训，为进一步提高人大代表政治理论素养、工作业务水平和依法履职能力奠定了坚实基础。组织省、市、区三级人大代表赴革命圣地和爱国主义教育基地西柏坡进行参观学习，进一步的提升代表们的使命感及责任感。</w:t>
      </w:r>
    </w:p>
    <w:p w14:paraId="6C404F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深化代表履职平台建设。全面落实《石家庄市“人大代表之家(站)”建设管理办法》，积极探索“网上代表联络站”。自“网上人大代表联络站”建设以来，所创建的无缝联系渠道可直接联系选民2500多人，间接覆盖选民6000余人。</w:t>
      </w:r>
    </w:p>
    <w:p w14:paraId="265134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充分运用座谈、视察、执法检查、专题询问等监督方式，紧盯</w:t>
      </w:r>
      <w:r>
        <w:rPr>
          <w:rFonts w:hint="eastAsia" w:ascii="仿宋" w:hAnsi="仿宋" w:eastAsia="仿宋" w:cs="仿宋"/>
          <w:sz w:val="32"/>
          <w:szCs w:val="32"/>
          <w:lang w:eastAsia="zh-CN"/>
        </w:rPr>
        <w:t>全区重点工作</w:t>
      </w:r>
      <w:r>
        <w:rPr>
          <w:rFonts w:hint="eastAsia" w:ascii="仿宋" w:hAnsi="仿宋" w:eastAsia="仿宋" w:cs="仿宋"/>
          <w:sz w:val="32"/>
          <w:szCs w:val="32"/>
        </w:rPr>
        <w:t>，</w:t>
      </w:r>
      <w:r>
        <w:rPr>
          <w:rFonts w:hint="eastAsia" w:ascii="仿宋" w:hAnsi="仿宋" w:eastAsia="仿宋" w:cs="仿宋"/>
          <w:sz w:val="32"/>
          <w:szCs w:val="32"/>
          <w:lang w:eastAsia="zh-CN"/>
        </w:rPr>
        <w:t>认真落实代表意见建议，</w:t>
      </w:r>
      <w:r>
        <w:rPr>
          <w:rFonts w:hint="eastAsia" w:ascii="仿宋" w:hAnsi="仿宋" w:eastAsia="仿宋" w:cs="仿宋"/>
          <w:sz w:val="32"/>
          <w:szCs w:val="32"/>
        </w:rPr>
        <w:t>打出“组合拳”，确保代表建议件件有着落、事事有回声。</w:t>
      </w:r>
    </w:p>
    <w:p w14:paraId="5381F7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认真做好选举任免工作</w:t>
      </w:r>
      <w:r>
        <w:rPr>
          <w:rFonts w:hint="eastAsia" w:ascii="仿宋" w:hAnsi="仿宋" w:eastAsia="仿宋" w:cs="仿宋"/>
          <w:sz w:val="32"/>
          <w:szCs w:val="32"/>
          <w:lang w:eastAsia="zh-CN"/>
        </w:rPr>
        <w:t>，</w:t>
      </w:r>
      <w:r>
        <w:rPr>
          <w:rFonts w:hint="eastAsia" w:ascii="仿宋" w:hAnsi="仿宋" w:eastAsia="仿宋" w:cs="仿宋"/>
          <w:sz w:val="32"/>
          <w:szCs w:val="32"/>
        </w:rPr>
        <w:t>规范任免程序，坚持和完善拟任人员任前考察、任职表态发言、颁发任命书和向宪法宣誓等制度。</w:t>
      </w:r>
    </w:p>
    <w:p w14:paraId="43B921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kern w:val="0"/>
          <w:sz w:val="32"/>
          <w:szCs w:val="32"/>
        </w:rPr>
      </w:pPr>
      <w:r>
        <w:rPr>
          <w:rFonts w:hint="eastAsia" w:ascii="楷体" w:hAnsi="楷体" w:eastAsia="楷体" w:cs="楷体"/>
          <w:kern w:val="0"/>
          <w:sz w:val="32"/>
          <w:szCs w:val="32"/>
        </w:rPr>
        <w:t>（二）具体预算支出项目的预期绩效目标完成情况</w:t>
      </w:r>
    </w:p>
    <w:p w14:paraId="7887213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2022</w:t>
      </w:r>
      <w:r>
        <w:rPr>
          <w:rFonts w:hint="eastAsia" w:ascii="仿宋" w:hAnsi="仿宋" w:eastAsia="仿宋" w:cs="仿宋"/>
          <w:kern w:val="0"/>
          <w:sz w:val="32"/>
          <w:szCs w:val="32"/>
        </w:rPr>
        <w:t>年度我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各项经费达到对应的绩效目标，圆满完成了</w:t>
      </w:r>
      <w:r>
        <w:rPr>
          <w:rFonts w:hint="eastAsia" w:ascii="仿宋" w:hAnsi="仿宋" w:eastAsia="仿宋" w:cs="仿宋"/>
          <w:kern w:val="0"/>
          <w:sz w:val="32"/>
          <w:szCs w:val="32"/>
          <w:lang w:eastAsia="zh-CN"/>
        </w:rPr>
        <w:t>各项</w:t>
      </w:r>
      <w:r>
        <w:rPr>
          <w:rFonts w:hint="eastAsia" w:ascii="仿宋" w:hAnsi="仿宋" w:eastAsia="仿宋" w:cs="仿宋"/>
          <w:kern w:val="0"/>
          <w:sz w:val="32"/>
          <w:szCs w:val="32"/>
        </w:rPr>
        <w:t>工作任务。充分发挥好监督</w:t>
      </w:r>
      <w:r>
        <w:rPr>
          <w:rFonts w:hint="eastAsia" w:ascii="仿宋" w:hAnsi="仿宋" w:eastAsia="仿宋" w:cs="仿宋"/>
          <w:kern w:val="0"/>
          <w:sz w:val="32"/>
          <w:szCs w:val="32"/>
          <w:lang w:eastAsia="zh-CN"/>
        </w:rPr>
        <w:t>和联系代表</w:t>
      </w:r>
      <w:r>
        <w:rPr>
          <w:rFonts w:hint="eastAsia" w:ascii="仿宋" w:hAnsi="仿宋" w:eastAsia="仿宋" w:cs="仿宋"/>
          <w:kern w:val="0"/>
          <w:sz w:val="32"/>
          <w:szCs w:val="32"/>
        </w:rPr>
        <w:t>职能，为</w:t>
      </w:r>
      <w:r>
        <w:rPr>
          <w:rFonts w:hint="eastAsia" w:ascii="仿宋" w:hAnsi="仿宋" w:eastAsia="仿宋" w:cs="仿宋"/>
          <w:kern w:val="0"/>
          <w:sz w:val="32"/>
          <w:szCs w:val="32"/>
          <w:lang w:eastAsia="zh-CN"/>
        </w:rPr>
        <w:t>区委、</w:t>
      </w:r>
      <w:r>
        <w:rPr>
          <w:rFonts w:hint="eastAsia" w:ascii="仿宋" w:hAnsi="仿宋" w:eastAsia="仿宋" w:cs="仿宋"/>
          <w:kern w:val="0"/>
          <w:sz w:val="32"/>
          <w:szCs w:val="32"/>
        </w:rPr>
        <w:t>政府部门</w:t>
      </w:r>
      <w:r>
        <w:rPr>
          <w:rFonts w:hint="eastAsia" w:ascii="仿宋" w:hAnsi="仿宋" w:eastAsia="仿宋" w:cs="仿宋"/>
          <w:kern w:val="0"/>
          <w:sz w:val="32"/>
          <w:szCs w:val="32"/>
          <w:lang w:eastAsia="zh-CN"/>
        </w:rPr>
        <w:t>更好地开展工作提供依据</w:t>
      </w:r>
      <w:r>
        <w:rPr>
          <w:rFonts w:hint="eastAsia" w:ascii="仿宋" w:hAnsi="仿宋" w:eastAsia="仿宋" w:cs="仿宋"/>
          <w:kern w:val="0"/>
          <w:sz w:val="32"/>
          <w:szCs w:val="32"/>
        </w:rPr>
        <w:t>。</w:t>
      </w:r>
    </w:p>
    <w:p w14:paraId="454B36B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从整体情况看，我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严格按照年初预算进行部门整体支出，在支出过程中，严格遵守各项规章制度。项目经费做到专款专用，按项目实施计划进行资金拨付，执行先有预算后有执行的支付原则。</w:t>
      </w:r>
    </w:p>
    <w:p w14:paraId="78888CA9">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3D46FA3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财政通知要求，我单位成立了财政预算绩效评价领导小组，并依照全区财政预算绩效考评指标对我区2022年度财政预算情况开展了考评。通过核实数据、查阅资料、实地查看、归纳汇总等环节，对绩效执行情况、资金的来源和使用情况以及绩效目标的实现程度进行了分析评价。</w:t>
      </w:r>
    </w:p>
    <w:p w14:paraId="639548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lang w:val="en-US" w:eastAsia="zh-CN"/>
        </w:rPr>
        <w:t>通过自评，2022年我单位自评绩效项目共7个，均为财政资金，自评绩效项目资金预算为141.044万元。其中，人大资料汇编4万元，占自评绩效项目资金得比重为2.8%；电子表决系统会议室租赁费6万元，占自评绩效项目资金得比重为4.25%；代表之家站工作经费37.2836万元，占自评绩效项目资金得比重为26.43%；代表活动经费7.8695万元，占自评绩效项目资金得比重</w:t>
      </w:r>
      <w:r>
        <w:rPr>
          <w:rFonts w:hint="eastAsia" w:ascii="仿宋" w:hAnsi="仿宋" w:eastAsia="仿宋" w:cs="仿宋"/>
          <w:sz w:val="32"/>
          <w:szCs w:val="32"/>
          <w:highlight w:val="none"/>
          <w:lang w:val="en-US" w:eastAsia="zh-CN"/>
        </w:rPr>
        <w:t>为5.57%；石市人民代表大会视察及调研3万元，占自评绩效项目资金得比重为2.12%；人大会议组织和协调运转65.0889万元，占自评绩效项目资金得比重为46.15%；购置公务用车17.802万元，占自评绩效项目资金得比重为12.62%。</w:t>
      </w:r>
    </w:p>
    <w:p w14:paraId="3A5D97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highlight w:val="none"/>
        </w:rPr>
      </w:pPr>
      <w:r>
        <w:rPr>
          <w:rFonts w:hint="eastAsia" w:ascii="仿宋" w:hAnsi="仿宋" w:eastAsia="仿宋" w:cs="仿宋"/>
          <w:sz w:val="32"/>
          <w:szCs w:val="32"/>
          <w:highlight w:val="none"/>
          <w:lang w:val="en-US" w:eastAsia="zh-CN"/>
        </w:rPr>
        <w:t>本次自查</w:t>
      </w:r>
      <w:r>
        <w:rPr>
          <w:rFonts w:hint="eastAsia" w:ascii="仿宋" w:hAnsi="仿宋" w:eastAsia="仿宋" w:cs="仿宋"/>
          <w:kern w:val="0"/>
          <w:sz w:val="32"/>
          <w:szCs w:val="32"/>
          <w:highlight w:val="none"/>
        </w:rPr>
        <w:t>采取成立本单位绩效自评工作组等形式，本着客观、公正、公开的原则开展自评工作，所有项目的绩效自评均设计了合理、明晰、可考核的、关键性产出指标和效果指标；自评结果真实可靠。</w:t>
      </w:r>
    </w:p>
    <w:p w14:paraId="63664E4D">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部门整体支出绩效目标实现情况及指标分析</w:t>
      </w:r>
    </w:p>
    <w:p w14:paraId="79DF96AF">
      <w:pPr>
        <w:snapToGrid w:val="0"/>
        <w:spacing w:line="560" w:lineRule="exact"/>
        <w:ind w:firstLine="640" w:firstLineChars="200"/>
        <w:rPr>
          <w:rFonts w:ascii="仿宋" w:hAnsi="仿宋" w:eastAsia="仿宋" w:cs="仿宋"/>
          <w:kern w:val="0"/>
          <w:sz w:val="32"/>
          <w:szCs w:val="32"/>
          <w:highlight w:val="none"/>
        </w:rPr>
      </w:pPr>
      <w:r>
        <w:rPr>
          <w:rFonts w:hint="eastAsia" w:ascii="仿宋" w:hAnsi="仿宋" w:eastAsia="仿宋" w:cs="仿宋"/>
          <w:kern w:val="0"/>
          <w:sz w:val="32"/>
          <w:szCs w:val="32"/>
          <w:highlight w:val="none"/>
        </w:rPr>
        <w:t>绩效目标设定是预算绩效管理的第一个环节。编制准确合理的绩效目标，有利于预算执行中绩效监控的实施，也能够使预算执行结束后的绩效评价有所遵循。绩效目标设定比较清晰准确，绩效指标比较全面完整、科学合理，绩效标准比较恰当适宜、易于评价。但是由于缺乏行业标准，加之未参加过专业培训，对绩效目标设定有一定的局限性，后期我们将通过不断学习，逐步完善绩效目标各项产出目标、效益指标及满意度指标等。</w:t>
      </w:r>
    </w:p>
    <w:p w14:paraId="1F672564">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评价结论和评价等级</w:t>
      </w:r>
    </w:p>
    <w:p w14:paraId="729B7532">
      <w:pPr>
        <w:snapToGrid w:val="0"/>
        <w:spacing w:line="560" w:lineRule="exact"/>
        <w:ind w:firstLine="640" w:firstLineChars="200"/>
        <w:rPr>
          <w:rFonts w:hint="default" w:ascii="黑体" w:hAnsi="黑体" w:eastAsia="黑体" w:cs="黑体"/>
          <w:sz w:val="32"/>
          <w:szCs w:val="32"/>
          <w:lang w:val="en-US" w:eastAsia="zh-CN"/>
        </w:rPr>
      </w:pPr>
      <w:r>
        <w:rPr>
          <w:rFonts w:hint="eastAsia" w:ascii="仿宋" w:hAnsi="仿宋" w:eastAsia="仿宋" w:cs="仿宋"/>
          <w:sz w:val="32"/>
          <w:szCs w:val="32"/>
        </w:rPr>
        <w:t>通过</w:t>
      </w:r>
      <w:r>
        <w:rPr>
          <w:rFonts w:hint="eastAsia" w:ascii="仿宋" w:hAnsi="仿宋" w:eastAsia="仿宋" w:cs="仿宋"/>
          <w:sz w:val="32"/>
          <w:szCs w:val="32"/>
          <w:lang w:eastAsia="zh-CN"/>
        </w:rPr>
        <w:t>对</w:t>
      </w:r>
      <w:r>
        <w:rPr>
          <w:rFonts w:hint="eastAsia" w:ascii="仿宋" w:hAnsi="仿宋" w:eastAsia="仿宋" w:cs="仿宋"/>
          <w:sz w:val="32"/>
          <w:szCs w:val="32"/>
          <w:lang w:val="en-US" w:eastAsia="zh-CN"/>
        </w:rPr>
        <w:t>全年项目进行绩效评价，</w:t>
      </w:r>
      <w:r>
        <w:rPr>
          <w:rFonts w:hint="eastAsia" w:ascii="仿宋" w:hAnsi="仿宋" w:eastAsia="仿宋" w:cs="仿宋"/>
          <w:sz w:val="32"/>
          <w:szCs w:val="32"/>
        </w:rPr>
        <w:t>代表活动经费</w:t>
      </w:r>
      <w:r>
        <w:rPr>
          <w:rFonts w:hint="eastAsia" w:ascii="仿宋" w:hAnsi="仿宋" w:eastAsia="仿宋" w:cs="仿宋"/>
          <w:sz w:val="32"/>
          <w:szCs w:val="32"/>
          <w:lang w:eastAsia="zh-CN"/>
        </w:rPr>
        <w:t>、代表之家站工作经费、电子表决系统会议室租赁费</w:t>
      </w:r>
      <w:r>
        <w:rPr>
          <w:rFonts w:hint="eastAsia" w:ascii="仿宋" w:hAnsi="仿宋" w:eastAsia="仿宋" w:cs="仿宋"/>
          <w:sz w:val="32"/>
          <w:szCs w:val="32"/>
          <w:lang w:val="en-US" w:eastAsia="zh-CN"/>
        </w:rPr>
        <w:t>等7各项目产出和效益指标良好，绩效自评为优秀。</w:t>
      </w:r>
    </w:p>
    <w:p w14:paraId="04299F3A">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rPr>
      </w:pP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3300DB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针对存在问题及我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整体支出管理工作的需要，拟实施改进措施如下：</w:t>
      </w:r>
    </w:p>
    <w:p w14:paraId="7632CB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一）加强部门之间的沟通，提高绩效意识。加强财务部门和业务科室之间的沟通，明确整体绩效管理不仅仅是财务部门的工作，所有专业均有涉及，财务部门仅仅是资金预算与安排，资金支出的实际绩效成果是由使用资金的部门来完成的；做好宣传工作，切实提高全员绩效意识。</w:t>
      </w:r>
    </w:p>
    <w:p w14:paraId="49D699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（二）健全内控建设。一是按财政要求完善内部控制规范建设</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二是继续按要求做好整体支出绩效评价和预决算公开工作</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三是进一步巩固国有资产清查工作的成果，规范固定资产购置和处置程序。</w:t>
      </w:r>
    </w:p>
    <w:p w14:paraId="0710C8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仿宋" w:hAnsi="仿宋" w:eastAsia="仿宋" w:cs="仿宋"/>
          <w:kern w:val="0"/>
          <w:sz w:val="32"/>
          <w:szCs w:val="32"/>
        </w:rPr>
        <w:t>（三）提高预算执行力。一是进一步规范经费支出，并严格按预算科目和金额执行，切实提高预算执行力</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二是及时调度预算执行情况，提高预算执行的前瞻性和预见性。</w:t>
      </w:r>
    </w:p>
    <w:p w14:paraId="35DD6FA9">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
        <w:gridCol w:w="1922"/>
        <w:gridCol w:w="1991"/>
        <w:gridCol w:w="2268"/>
        <w:gridCol w:w="2179"/>
      </w:tblGrid>
      <w:tr w14:paraId="7FD61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val="0"/>
            <w:vAlign w:val="top"/>
          </w:tcPr>
          <w:p w14:paraId="688B642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1922" w:type="dxa"/>
            <w:noWrap w:val="0"/>
            <w:vAlign w:val="top"/>
          </w:tcPr>
          <w:p w14:paraId="3794E94D">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991" w:type="dxa"/>
            <w:noWrap w:val="0"/>
            <w:vAlign w:val="top"/>
          </w:tcPr>
          <w:p w14:paraId="7182E908">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2268" w:type="dxa"/>
            <w:noWrap w:val="0"/>
            <w:vAlign w:val="top"/>
          </w:tcPr>
          <w:p w14:paraId="58ABC6D7">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2179" w:type="dxa"/>
            <w:noWrap w:val="0"/>
            <w:vAlign w:val="top"/>
          </w:tcPr>
          <w:p w14:paraId="1A6B8F0D">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14:paraId="3D813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val="0"/>
            <w:vAlign w:val="top"/>
          </w:tcPr>
          <w:p w14:paraId="7CEB1FD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1922" w:type="dxa"/>
            <w:noWrap w:val="0"/>
            <w:vAlign w:val="top"/>
          </w:tcPr>
          <w:p w14:paraId="7CB1686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刘分红</w:t>
            </w:r>
          </w:p>
        </w:tc>
        <w:tc>
          <w:tcPr>
            <w:tcW w:w="1991" w:type="dxa"/>
            <w:noWrap w:val="0"/>
            <w:vAlign w:val="top"/>
          </w:tcPr>
          <w:p w14:paraId="436D6C66">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14:paraId="55F9C70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办公室主任</w:t>
            </w:r>
          </w:p>
        </w:tc>
        <w:tc>
          <w:tcPr>
            <w:tcW w:w="2179" w:type="dxa"/>
            <w:noWrap w:val="0"/>
            <w:vAlign w:val="top"/>
          </w:tcPr>
          <w:p w14:paraId="2984BE43">
            <w:pPr>
              <w:jc w:val="center"/>
              <w:rPr>
                <w:rFonts w:ascii="仿宋_GB2312" w:hAnsi="仿宋_GB2312" w:eastAsia="仿宋_GB2312" w:cs="仿宋_GB2312"/>
                <w:sz w:val="32"/>
                <w:szCs w:val="32"/>
              </w:rPr>
            </w:pPr>
          </w:p>
        </w:tc>
      </w:tr>
      <w:tr w14:paraId="4D8B2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val="0"/>
            <w:vAlign w:val="top"/>
          </w:tcPr>
          <w:p w14:paraId="70893239">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1922" w:type="dxa"/>
            <w:noWrap w:val="0"/>
            <w:vAlign w:val="top"/>
          </w:tcPr>
          <w:p w14:paraId="7E596386">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杜于江</w:t>
            </w:r>
          </w:p>
        </w:tc>
        <w:tc>
          <w:tcPr>
            <w:tcW w:w="1991" w:type="dxa"/>
            <w:noWrap w:val="0"/>
            <w:vAlign w:val="top"/>
          </w:tcPr>
          <w:p w14:paraId="603E57A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14:paraId="7E0F842C">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选任工委主任</w:t>
            </w:r>
          </w:p>
        </w:tc>
        <w:tc>
          <w:tcPr>
            <w:tcW w:w="2179" w:type="dxa"/>
            <w:noWrap w:val="0"/>
            <w:vAlign w:val="top"/>
          </w:tcPr>
          <w:p w14:paraId="101476E5">
            <w:pPr>
              <w:jc w:val="center"/>
              <w:rPr>
                <w:rFonts w:ascii="仿宋_GB2312" w:hAnsi="仿宋_GB2312" w:eastAsia="仿宋_GB2312" w:cs="仿宋_GB2312"/>
                <w:sz w:val="32"/>
                <w:szCs w:val="32"/>
              </w:rPr>
            </w:pPr>
          </w:p>
        </w:tc>
      </w:tr>
      <w:tr w14:paraId="22319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val="0"/>
            <w:vAlign w:val="top"/>
          </w:tcPr>
          <w:p w14:paraId="46AA9460">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1922" w:type="dxa"/>
            <w:noWrap w:val="0"/>
            <w:vAlign w:val="top"/>
          </w:tcPr>
          <w:p w14:paraId="0EF58B4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石朝霞</w:t>
            </w:r>
          </w:p>
        </w:tc>
        <w:tc>
          <w:tcPr>
            <w:tcW w:w="1991" w:type="dxa"/>
            <w:noWrap w:val="0"/>
            <w:vAlign w:val="top"/>
          </w:tcPr>
          <w:p w14:paraId="2C42BB2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14:paraId="5E649830">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办公室副主任</w:t>
            </w:r>
          </w:p>
        </w:tc>
        <w:tc>
          <w:tcPr>
            <w:tcW w:w="2179" w:type="dxa"/>
            <w:noWrap w:val="0"/>
            <w:vAlign w:val="top"/>
          </w:tcPr>
          <w:p w14:paraId="6149239F">
            <w:pPr>
              <w:jc w:val="center"/>
              <w:rPr>
                <w:rFonts w:ascii="仿宋_GB2312" w:hAnsi="仿宋_GB2312" w:eastAsia="仿宋_GB2312" w:cs="仿宋_GB2312"/>
                <w:sz w:val="32"/>
                <w:szCs w:val="32"/>
              </w:rPr>
            </w:pPr>
          </w:p>
        </w:tc>
      </w:tr>
      <w:tr w14:paraId="508B0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noWrap w:val="0"/>
            <w:vAlign w:val="top"/>
          </w:tcPr>
          <w:p w14:paraId="49AD19D3">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1922" w:type="dxa"/>
            <w:noWrap w:val="0"/>
            <w:vAlign w:val="top"/>
          </w:tcPr>
          <w:p w14:paraId="10F839B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张建鹏</w:t>
            </w:r>
          </w:p>
        </w:tc>
        <w:tc>
          <w:tcPr>
            <w:tcW w:w="1991" w:type="dxa"/>
            <w:noWrap w:val="0"/>
            <w:vAlign w:val="top"/>
          </w:tcPr>
          <w:p w14:paraId="448D33C4">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14:paraId="15E97FCA">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秘书</w:t>
            </w:r>
            <w:r>
              <w:rPr>
                <w:rFonts w:hint="eastAsia" w:ascii="仿宋_GB2312" w:hAnsi="仿宋_GB2312" w:eastAsia="仿宋_GB2312" w:cs="仿宋_GB2312"/>
                <w:sz w:val="32"/>
                <w:szCs w:val="32"/>
                <w:lang w:eastAsia="zh-CN"/>
              </w:rPr>
              <w:t>股股</w:t>
            </w:r>
            <w:r>
              <w:rPr>
                <w:rFonts w:hint="eastAsia" w:ascii="仿宋_GB2312" w:hAnsi="仿宋_GB2312" w:eastAsia="仿宋_GB2312" w:cs="仿宋_GB2312"/>
                <w:sz w:val="32"/>
                <w:szCs w:val="32"/>
              </w:rPr>
              <w:t>长</w:t>
            </w:r>
          </w:p>
        </w:tc>
        <w:tc>
          <w:tcPr>
            <w:tcW w:w="2179" w:type="dxa"/>
            <w:noWrap w:val="0"/>
            <w:vAlign w:val="top"/>
          </w:tcPr>
          <w:p w14:paraId="17C343B8">
            <w:pPr>
              <w:jc w:val="center"/>
              <w:rPr>
                <w:rFonts w:ascii="仿宋_GB2312" w:hAnsi="仿宋_GB2312" w:eastAsia="仿宋_GB2312" w:cs="仿宋_GB2312"/>
                <w:sz w:val="32"/>
                <w:szCs w:val="32"/>
              </w:rPr>
            </w:pPr>
          </w:p>
        </w:tc>
      </w:tr>
    </w:tbl>
    <w:p w14:paraId="0ADFC72C">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B4F4F">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73E88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73E88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AD6AC">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B61930"/>
    <w:rsid w:val="1BAF1154"/>
    <w:rsid w:val="1C655171"/>
    <w:rsid w:val="20276775"/>
    <w:rsid w:val="331343E7"/>
    <w:rsid w:val="3AEF6FE7"/>
    <w:rsid w:val="3B5E6BD6"/>
    <w:rsid w:val="3FC704AE"/>
    <w:rsid w:val="49044726"/>
    <w:rsid w:val="493B718D"/>
    <w:rsid w:val="515327E2"/>
    <w:rsid w:val="53A42ADD"/>
    <w:rsid w:val="5C4A315B"/>
    <w:rsid w:val="661D3074"/>
    <w:rsid w:val="6BDE71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1842</Words>
  <Characters>1917</Characters>
  <Lines>3</Lines>
  <Paragraphs>1</Paragraphs>
  <TotalTime>6</TotalTime>
  <ScaleCrop>false</ScaleCrop>
  <LinksUpToDate>false</LinksUpToDate>
  <CharactersWithSpaces>1917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2024-09-19T11:21:59Z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434E990E119942A19EFFF4EC9F85ABA7_12</vt:lpwstr>
  </property>
</Properties>
</file>