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52BBF8">
      <w:pPr>
        <w:snapToGrid w:val="0"/>
        <w:spacing w:line="560" w:lineRule="exact"/>
        <w:ind w:left="210" w:leftChars="100" w:firstLine="883" w:firstLineChars="200"/>
        <w:jc w:val="center"/>
        <w:rPr>
          <w:rFonts w:asciiTheme="majorEastAsia" w:hAnsiTheme="majorEastAsia" w:eastAsiaTheme="majorEastAsia" w:cstheme="majorEastAsia"/>
          <w:b/>
          <w:bCs/>
          <w:sz w:val="44"/>
          <w:szCs w:val="44"/>
        </w:rPr>
      </w:pPr>
    </w:p>
    <w:p w14:paraId="13A3E563">
      <w:pPr>
        <w:snapToGrid w:val="0"/>
        <w:spacing w:line="560" w:lineRule="exact"/>
        <w:jc w:val="center"/>
        <w:rPr>
          <w:rFonts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sz w:val="44"/>
          <w:szCs w:val="44"/>
        </w:rPr>
        <w:t>藁城区委组织部</w:t>
      </w:r>
    </w:p>
    <w:p w14:paraId="0F59AD44">
      <w:pPr>
        <w:snapToGrid w:val="0"/>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2</w:t>
      </w:r>
      <w:r>
        <w:rPr>
          <w:rFonts w:hint="eastAsia" w:ascii="宋体" w:hAnsi="宋体" w:cs="宋体"/>
          <w:b/>
          <w:bCs/>
          <w:sz w:val="44"/>
          <w:szCs w:val="44"/>
        </w:rPr>
        <w:t>年度部门整体支出绩效评价报告</w:t>
      </w:r>
    </w:p>
    <w:p w14:paraId="4D609E8E">
      <w:pPr>
        <w:snapToGrid w:val="0"/>
        <w:spacing w:line="560" w:lineRule="exact"/>
        <w:ind w:left="210" w:leftChars="100" w:firstLine="640" w:firstLineChars="200"/>
        <w:rPr>
          <w:rFonts w:hint="eastAsia" w:ascii="仿宋" w:hAnsi="仿宋" w:eastAsia="仿宋" w:cs="宋体"/>
          <w:sz w:val="32"/>
          <w:szCs w:val="32"/>
        </w:rPr>
      </w:pPr>
    </w:p>
    <w:p w14:paraId="23364936">
      <w:pPr>
        <w:snapToGrid w:val="0"/>
        <w:spacing w:line="560" w:lineRule="exact"/>
        <w:ind w:left="210" w:leftChars="100" w:firstLine="640" w:firstLineChars="200"/>
        <w:rPr>
          <w:rFonts w:ascii="仿宋" w:hAnsi="仿宋" w:eastAsia="仿宋" w:cs="仿宋"/>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进一步推进我区绩效预算管理工作，提高财政资金</w:t>
      </w:r>
      <w:r>
        <w:rPr>
          <w:rFonts w:hint="eastAsia" w:ascii="仿宋" w:hAnsi="仿宋" w:eastAsia="仿宋" w:cs="宋体"/>
          <w:sz w:val="32"/>
          <w:szCs w:val="32"/>
        </w:rPr>
        <w:t>使用</w:t>
      </w:r>
      <w:r>
        <w:rPr>
          <w:rFonts w:hint="eastAsia" w:ascii="仿宋" w:hAnsi="仿宋" w:eastAsia="仿宋" w:cs="仿宋_GB2312"/>
          <w:sz w:val="32"/>
          <w:szCs w:val="32"/>
        </w:rPr>
        <w:t>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我部门认真开展了202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年度预算绩效自评工作，现将有关情况报告如下;</w:t>
      </w:r>
    </w:p>
    <w:p w14:paraId="2245A35B">
      <w:pPr>
        <w:adjustRightInd w:val="0"/>
        <w:snapToGrid w:val="0"/>
        <w:spacing w:line="560" w:lineRule="exact"/>
        <w:ind w:firstLine="960" w:firstLineChars="300"/>
        <w:rPr>
          <w:rFonts w:ascii="黑体" w:hAnsi="黑体" w:eastAsia="黑体" w:cs="黑体"/>
          <w:sz w:val="32"/>
          <w:szCs w:val="32"/>
        </w:rPr>
      </w:pPr>
      <w:r>
        <w:rPr>
          <w:rFonts w:hint="eastAsia" w:ascii="黑体" w:hAnsi="黑体" w:eastAsia="黑体" w:cs="黑体"/>
          <w:sz w:val="32"/>
          <w:szCs w:val="32"/>
        </w:rPr>
        <w:t>一、部门基本情况及职责职能</w:t>
      </w:r>
    </w:p>
    <w:p w14:paraId="1CB82592">
      <w:pPr>
        <w:snapToGrid w:val="0"/>
        <w:spacing w:line="560" w:lineRule="exact"/>
        <w:ind w:left="210" w:leftChars="100" w:firstLine="643" w:firstLineChars="200"/>
        <w:rPr>
          <w:rFonts w:ascii="仿宋" w:hAnsi="仿宋" w:eastAsia="仿宋" w:cs="宋体"/>
          <w:sz w:val="32"/>
          <w:szCs w:val="32"/>
        </w:rPr>
      </w:pPr>
      <w:r>
        <w:rPr>
          <w:rFonts w:hint="eastAsia" w:ascii="仿宋" w:hAnsi="仿宋" w:eastAsia="仿宋" w:cs="宋体"/>
          <w:b/>
          <w:bCs/>
          <w:sz w:val="32"/>
          <w:szCs w:val="32"/>
        </w:rPr>
        <w:t>藁城区委组织部的主要职责是</w:t>
      </w:r>
      <w:r>
        <w:rPr>
          <w:rFonts w:hint="eastAsia" w:ascii="仿宋" w:hAnsi="仿宋" w:eastAsia="仿宋" w:cs="宋体"/>
          <w:sz w:val="32"/>
          <w:szCs w:val="32"/>
        </w:rPr>
        <w:t>：</w:t>
      </w:r>
    </w:p>
    <w:p w14:paraId="4E6D6688">
      <w:pPr>
        <w:spacing w:line="580" w:lineRule="exact"/>
        <w:ind w:firstLine="640" w:firstLineChars="200"/>
        <w:rPr>
          <w:rFonts w:eastAsia="仿宋"/>
          <w:sz w:val="32"/>
          <w:szCs w:val="32"/>
        </w:rPr>
      </w:pPr>
      <w:r>
        <w:rPr>
          <w:rFonts w:hint="eastAsia" w:eastAsia="仿宋"/>
          <w:sz w:val="32"/>
          <w:szCs w:val="32"/>
        </w:rPr>
        <w:t>（一）根据党的路线、方针、政策和上级的指示、决议，研究制定具体实施意见，并抓好落实。</w:t>
      </w:r>
    </w:p>
    <w:p w14:paraId="25B62646">
      <w:pPr>
        <w:adjustRightInd w:val="0"/>
        <w:snapToGrid w:val="0"/>
        <w:spacing w:line="600" w:lineRule="exact"/>
        <w:ind w:firstLine="640" w:firstLineChars="200"/>
        <w:rPr>
          <w:rFonts w:eastAsia="仿宋"/>
          <w:sz w:val="32"/>
          <w:szCs w:val="32"/>
        </w:rPr>
      </w:pPr>
      <w:r>
        <w:rPr>
          <w:rFonts w:hint="eastAsia" w:eastAsia="仿宋"/>
          <w:sz w:val="32"/>
          <w:szCs w:val="32"/>
        </w:rPr>
        <w:t>（二）检查督促区直部门党组（党委）和乡镇党委贯彻执行民主集中制，坚持集体领导和民主生活会制度情况，加强领导班子的思想作风建设，总结推广经验，提出改进意见。</w:t>
      </w:r>
    </w:p>
    <w:p w14:paraId="570B8B8C">
      <w:pPr>
        <w:adjustRightInd w:val="0"/>
        <w:snapToGrid w:val="0"/>
        <w:spacing w:line="600" w:lineRule="exact"/>
        <w:ind w:firstLine="640" w:firstLineChars="200"/>
        <w:rPr>
          <w:rFonts w:eastAsia="仿宋"/>
          <w:sz w:val="32"/>
          <w:szCs w:val="32"/>
        </w:rPr>
      </w:pPr>
      <w:r>
        <w:rPr>
          <w:rFonts w:hint="eastAsia" w:eastAsia="仿宋"/>
          <w:sz w:val="32"/>
          <w:szCs w:val="32"/>
        </w:rPr>
        <w:t>（三）贯彻执行党的干部路线和干部政策，按照改革的要求，搞好全区干部队伍的宏观管理、教育、培训、规划，抓好具体落实，提高干部队伍素质。</w:t>
      </w:r>
    </w:p>
    <w:p w14:paraId="15CED532">
      <w:pPr>
        <w:adjustRightInd w:val="0"/>
        <w:snapToGrid w:val="0"/>
        <w:spacing w:line="600" w:lineRule="exact"/>
        <w:ind w:firstLine="640" w:firstLineChars="200"/>
        <w:rPr>
          <w:rFonts w:eastAsia="仿宋"/>
          <w:sz w:val="32"/>
          <w:szCs w:val="32"/>
        </w:rPr>
      </w:pPr>
      <w:r>
        <w:rPr>
          <w:rFonts w:hint="eastAsia" w:eastAsia="仿宋"/>
          <w:sz w:val="32"/>
          <w:szCs w:val="32"/>
        </w:rPr>
        <w:t>（四）按照“四化”标准和德才兼备的原则，搞好乡局级领导班子和领导干部的调配、任免、管理和监督工作。搞好后备干部的选拔、培养和管理。</w:t>
      </w:r>
    </w:p>
    <w:p w14:paraId="7B2F1A72">
      <w:pPr>
        <w:adjustRightInd w:val="0"/>
        <w:snapToGrid w:val="0"/>
        <w:spacing w:line="600" w:lineRule="exact"/>
        <w:ind w:firstLine="640" w:firstLineChars="200"/>
        <w:rPr>
          <w:rFonts w:eastAsia="仿宋"/>
          <w:sz w:val="32"/>
          <w:szCs w:val="32"/>
        </w:rPr>
      </w:pPr>
      <w:r>
        <w:rPr>
          <w:rFonts w:hint="eastAsia" w:eastAsia="仿宋"/>
          <w:sz w:val="32"/>
          <w:szCs w:val="32"/>
        </w:rPr>
        <w:t>（五）负责全区乡局级领导班子及成员的考核工作。</w:t>
      </w:r>
    </w:p>
    <w:p w14:paraId="4453F52A">
      <w:pPr>
        <w:adjustRightInd w:val="0"/>
        <w:snapToGrid w:val="0"/>
        <w:spacing w:line="600" w:lineRule="exact"/>
        <w:ind w:firstLine="640" w:firstLineChars="200"/>
        <w:rPr>
          <w:rFonts w:eastAsia="仿宋"/>
          <w:sz w:val="32"/>
          <w:szCs w:val="32"/>
        </w:rPr>
      </w:pPr>
      <w:r>
        <w:rPr>
          <w:rFonts w:hint="eastAsia" w:eastAsia="仿宋"/>
          <w:sz w:val="32"/>
          <w:szCs w:val="32"/>
        </w:rPr>
        <w:t>（六）负责党的基层组织建设和党员队伍建设，搞好全区党员发展和教育管理，以及党费收缴、管理和使用工作。</w:t>
      </w:r>
    </w:p>
    <w:p w14:paraId="794A9592">
      <w:pPr>
        <w:adjustRightInd w:val="0"/>
        <w:snapToGrid w:val="0"/>
        <w:spacing w:line="600" w:lineRule="exact"/>
        <w:ind w:firstLine="640" w:firstLineChars="200"/>
        <w:rPr>
          <w:rFonts w:eastAsia="仿宋"/>
          <w:sz w:val="32"/>
          <w:szCs w:val="32"/>
        </w:rPr>
      </w:pPr>
      <w:r>
        <w:rPr>
          <w:rFonts w:hint="eastAsia" w:eastAsia="仿宋"/>
          <w:sz w:val="32"/>
          <w:szCs w:val="32"/>
        </w:rPr>
        <w:t>（七）认真做好全区人才管理工作，充分调动他们的积极性。</w:t>
      </w:r>
    </w:p>
    <w:p w14:paraId="59182DAF">
      <w:pPr>
        <w:adjustRightInd w:val="0"/>
        <w:snapToGrid w:val="0"/>
        <w:spacing w:line="600" w:lineRule="exact"/>
        <w:ind w:firstLine="640" w:firstLineChars="200"/>
        <w:rPr>
          <w:rFonts w:eastAsia="仿宋"/>
          <w:sz w:val="32"/>
          <w:szCs w:val="32"/>
        </w:rPr>
      </w:pPr>
      <w:r>
        <w:rPr>
          <w:rFonts w:hint="eastAsia" w:eastAsia="仿宋"/>
          <w:sz w:val="32"/>
          <w:szCs w:val="32"/>
        </w:rPr>
        <w:t>（八）认真做好老干部管理工作。</w:t>
      </w:r>
    </w:p>
    <w:p w14:paraId="28C306A2">
      <w:pPr>
        <w:adjustRightInd w:val="0"/>
        <w:snapToGrid w:val="0"/>
        <w:spacing w:line="600" w:lineRule="exact"/>
        <w:ind w:firstLine="640" w:firstLineChars="200"/>
        <w:rPr>
          <w:rFonts w:eastAsia="仿宋"/>
          <w:sz w:val="32"/>
          <w:szCs w:val="32"/>
        </w:rPr>
      </w:pPr>
      <w:r>
        <w:rPr>
          <w:rFonts w:hint="eastAsia" w:eastAsia="仿宋"/>
          <w:sz w:val="32"/>
          <w:szCs w:val="32"/>
        </w:rPr>
        <w:t>（九）负责组织史征编工作。</w:t>
      </w:r>
    </w:p>
    <w:p w14:paraId="5DADDC2D">
      <w:pPr>
        <w:pStyle w:val="7"/>
        <w:spacing w:before="0" w:beforeAutospacing="0" w:after="0" w:afterAutospacing="0" w:line="560" w:lineRule="exact"/>
        <w:ind w:left="210" w:leftChars="100" w:firstLine="643" w:firstLineChars="200"/>
        <w:rPr>
          <w:rFonts w:ascii="仿宋" w:hAnsi="仿宋" w:eastAsia="仿宋" w:cs="Times New Roman"/>
          <w:b/>
          <w:bCs/>
          <w:kern w:val="2"/>
          <w:sz w:val="32"/>
          <w:szCs w:val="32"/>
        </w:rPr>
      </w:pPr>
      <w:r>
        <w:rPr>
          <w:rFonts w:hint="eastAsia" w:ascii="仿宋" w:hAnsi="仿宋" w:eastAsia="仿宋" w:cs="Times New Roman"/>
          <w:b/>
          <w:bCs/>
          <w:kern w:val="2"/>
          <w:sz w:val="32"/>
          <w:szCs w:val="32"/>
        </w:rPr>
        <w:t>机构设置</w:t>
      </w:r>
    </w:p>
    <w:p w14:paraId="7916CE61">
      <w:pPr>
        <w:snapToGrid w:val="0"/>
        <w:spacing w:line="560" w:lineRule="exact"/>
        <w:ind w:left="210" w:leftChars="100" w:firstLine="640" w:firstLineChars="200"/>
        <w:rPr>
          <w:rFonts w:ascii="仿宋" w:hAnsi="仿宋" w:eastAsia="仿宋" w:cs="宋体"/>
          <w:sz w:val="32"/>
          <w:szCs w:val="32"/>
          <w:highlight w:val="none"/>
        </w:rPr>
      </w:pPr>
      <w:r>
        <w:rPr>
          <w:rFonts w:hint="eastAsia" w:ascii="仿宋" w:hAnsi="仿宋" w:eastAsia="仿宋" w:cs="宋体"/>
          <w:sz w:val="32"/>
          <w:szCs w:val="32"/>
          <w:highlight w:val="none"/>
        </w:rPr>
        <w:t>藁城区委组织部为区委工作机关，是区委负责全区组织、干部工作的职能部门，机构规格为正科级，单位性质为行政，资金保障形式为财政拨款。内设行政股室15个，分别是办公室、研究室、干部股、干部监督股、公务员管理股、组织一股、组织二股、组织三股、组织四股、人才工作股、干教征编股、干部考核股、老干部服务管理股、老干部组织指导股、关心下一代工作委员会办公室，15个行政股级。设副科级事业单位两个藁城区干部信息管理中心、藁城区人才服务中心。设事业股室两个，区党员干部远程教育中心，区老干部活动中心（差额事业）。</w:t>
      </w:r>
    </w:p>
    <w:p w14:paraId="38566BF4">
      <w:pPr>
        <w:adjustRightInd w:val="0"/>
        <w:snapToGrid w:val="0"/>
        <w:spacing w:line="560" w:lineRule="exact"/>
        <w:ind w:left="210" w:leftChars="100"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（一）部门整体支出概况</w:t>
      </w:r>
    </w:p>
    <w:p w14:paraId="1371D614">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202</w:t>
      </w:r>
      <w:r>
        <w:rPr>
          <w:rFonts w:hint="eastAsia" w:ascii="仿宋" w:hAnsi="仿宋" w:eastAsia="仿宋" w:cs="宋体"/>
          <w:sz w:val="32"/>
          <w:szCs w:val="32"/>
          <w:lang w:val="en-US" w:eastAsia="zh-CN"/>
        </w:rPr>
        <w:t>2</w:t>
      </w:r>
      <w:r>
        <w:rPr>
          <w:rFonts w:hint="eastAsia" w:ascii="仿宋" w:hAnsi="仿宋" w:eastAsia="仿宋" w:cs="宋体"/>
          <w:sz w:val="32"/>
          <w:szCs w:val="32"/>
        </w:rPr>
        <w:t>年部门决算收支完成情况如下：</w:t>
      </w:r>
    </w:p>
    <w:p w14:paraId="6A319ABD">
      <w:pPr>
        <w:snapToGrid w:val="0"/>
        <w:spacing w:line="560" w:lineRule="exact"/>
        <w:ind w:left="210" w:leftChars="100" w:firstLine="640" w:firstLineChars="200"/>
        <w:rPr>
          <w:rFonts w:ascii="仿宋" w:hAnsi="仿宋" w:eastAsia="仿宋" w:cs="宋体"/>
          <w:sz w:val="32"/>
          <w:szCs w:val="32"/>
          <w:highlight w:val="none"/>
        </w:rPr>
      </w:pPr>
      <w:r>
        <w:rPr>
          <w:rFonts w:hint="eastAsia" w:ascii="仿宋" w:hAnsi="仿宋" w:eastAsia="仿宋" w:cs="宋体"/>
          <w:sz w:val="32"/>
          <w:szCs w:val="32"/>
          <w:highlight w:val="none"/>
        </w:rPr>
        <w:t>全年收入为</w:t>
      </w:r>
      <w:r>
        <w:rPr>
          <w:rFonts w:hint="eastAsia" w:ascii="仿宋" w:hAnsi="仿宋" w:eastAsia="仿宋" w:cs="宋体"/>
          <w:sz w:val="32"/>
          <w:szCs w:val="32"/>
          <w:highlight w:val="none"/>
          <w:lang w:val="en-US" w:eastAsia="zh-CN"/>
        </w:rPr>
        <w:t>8200.44</w:t>
      </w:r>
      <w:r>
        <w:rPr>
          <w:rFonts w:hint="eastAsia" w:ascii="仿宋" w:hAnsi="仿宋" w:eastAsia="仿宋" w:cs="宋体"/>
          <w:sz w:val="32"/>
          <w:szCs w:val="32"/>
          <w:highlight w:val="none"/>
        </w:rPr>
        <w:t>万元，其中财政拨款收入</w:t>
      </w:r>
      <w:r>
        <w:rPr>
          <w:rFonts w:hint="eastAsia" w:ascii="仿宋" w:hAnsi="仿宋" w:eastAsia="仿宋" w:cs="宋体"/>
          <w:sz w:val="32"/>
          <w:szCs w:val="32"/>
          <w:highlight w:val="none"/>
          <w:lang w:val="en-US" w:eastAsia="zh-CN"/>
        </w:rPr>
        <w:t>8200.44</w:t>
      </w:r>
      <w:r>
        <w:rPr>
          <w:rFonts w:hint="eastAsia" w:ascii="仿宋" w:hAnsi="仿宋" w:eastAsia="仿宋" w:cs="宋体"/>
          <w:sz w:val="32"/>
          <w:szCs w:val="32"/>
          <w:highlight w:val="none"/>
        </w:rPr>
        <w:t>万元，非财政补助收0万元。</w:t>
      </w:r>
    </w:p>
    <w:p w14:paraId="3C94D7E6">
      <w:pPr>
        <w:snapToGrid w:val="0"/>
        <w:spacing w:line="560" w:lineRule="exact"/>
        <w:ind w:left="210" w:leftChars="100" w:firstLine="640" w:firstLineChars="200"/>
        <w:rPr>
          <w:rFonts w:ascii="仿宋" w:hAnsi="仿宋" w:eastAsia="仿宋" w:cs="宋体"/>
          <w:sz w:val="32"/>
          <w:szCs w:val="32"/>
          <w:highlight w:val="none"/>
        </w:rPr>
      </w:pPr>
      <w:r>
        <w:rPr>
          <w:rFonts w:hint="eastAsia" w:ascii="仿宋" w:hAnsi="仿宋" w:eastAsia="仿宋" w:cs="宋体"/>
          <w:sz w:val="32"/>
          <w:szCs w:val="32"/>
          <w:highlight w:val="none"/>
        </w:rPr>
        <w:t>全年支出为</w:t>
      </w:r>
      <w:r>
        <w:rPr>
          <w:rFonts w:hint="eastAsia" w:ascii="仿宋" w:hAnsi="仿宋" w:eastAsia="仿宋" w:cs="宋体"/>
          <w:sz w:val="32"/>
          <w:szCs w:val="32"/>
          <w:highlight w:val="none"/>
          <w:lang w:val="en-US" w:eastAsia="zh-CN"/>
        </w:rPr>
        <w:t>8200.44</w:t>
      </w:r>
      <w:r>
        <w:rPr>
          <w:rFonts w:hint="eastAsia" w:ascii="仿宋" w:hAnsi="仿宋" w:eastAsia="仿宋" w:cs="宋体"/>
          <w:sz w:val="32"/>
          <w:szCs w:val="32"/>
          <w:highlight w:val="none"/>
        </w:rPr>
        <w:t>万元，其中基本支出：</w:t>
      </w:r>
      <w:r>
        <w:rPr>
          <w:rFonts w:hint="eastAsia" w:ascii="仿宋" w:hAnsi="仿宋" w:eastAsia="仿宋" w:cs="宋体"/>
          <w:sz w:val="32"/>
          <w:szCs w:val="32"/>
          <w:highlight w:val="none"/>
          <w:lang w:val="en-US" w:eastAsia="zh-CN"/>
        </w:rPr>
        <w:t>900.71</w:t>
      </w:r>
      <w:r>
        <w:rPr>
          <w:rFonts w:hint="eastAsia" w:ascii="仿宋" w:hAnsi="仿宋" w:eastAsia="仿宋" w:cs="宋体"/>
          <w:sz w:val="32"/>
          <w:szCs w:val="32"/>
          <w:highlight w:val="none"/>
        </w:rPr>
        <w:t>万元，项目支出</w:t>
      </w:r>
      <w:r>
        <w:rPr>
          <w:rFonts w:hint="eastAsia" w:ascii="仿宋" w:hAnsi="仿宋" w:eastAsia="仿宋" w:cs="宋体"/>
          <w:sz w:val="32"/>
          <w:szCs w:val="32"/>
          <w:highlight w:val="none"/>
          <w:lang w:val="en-US" w:eastAsia="zh-CN"/>
        </w:rPr>
        <w:t>7299.73</w:t>
      </w:r>
      <w:r>
        <w:rPr>
          <w:rFonts w:hint="eastAsia" w:ascii="仿宋" w:hAnsi="仿宋" w:eastAsia="仿宋" w:cs="宋体"/>
          <w:sz w:val="32"/>
          <w:szCs w:val="32"/>
          <w:highlight w:val="none"/>
        </w:rPr>
        <w:t>万元。</w:t>
      </w:r>
    </w:p>
    <w:p w14:paraId="1AC1F629">
      <w:pPr>
        <w:snapToGrid w:val="0"/>
        <w:spacing w:line="560" w:lineRule="exact"/>
        <w:ind w:left="210" w:leftChars="100" w:firstLine="640" w:firstLineChars="200"/>
        <w:rPr>
          <w:rFonts w:ascii="仿宋" w:hAnsi="仿宋" w:eastAsia="仿宋" w:cs="宋体"/>
          <w:sz w:val="32"/>
          <w:szCs w:val="32"/>
          <w:highlight w:val="none"/>
        </w:rPr>
      </w:pPr>
      <w:r>
        <w:rPr>
          <w:rFonts w:hint="eastAsia" w:ascii="仿宋" w:hAnsi="仿宋" w:eastAsia="仿宋" w:cs="宋体"/>
          <w:sz w:val="32"/>
          <w:szCs w:val="32"/>
          <w:highlight w:val="none"/>
        </w:rPr>
        <w:t>资金结存情况：财政拨款结转结余0万元，其中财政拨款结转（项目结转）0万元，财政结余0万元，非财政拨款结转0万元。</w:t>
      </w:r>
    </w:p>
    <w:p w14:paraId="1A8F8332">
      <w:pPr>
        <w:adjustRightInd w:val="0"/>
        <w:snapToGrid w:val="0"/>
        <w:spacing w:line="560" w:lineRule="exact"/>
        <w:ind w:left="210" w:leftChars="100" w:firstLine="643" w:firstLineChars="200"/>
        <w:rPr>
          <w:rFonts w:ascii="仿宋" w:hAnsi="仿宋" w:eastAsia="仿宋" w:cs="楷体_GB2312"/>
          <w:b/>
          <w:bCs/>
          <w:sz w:val="32"/>
          <w:szCs w:val="32"/>
        </w:rPr>
      </w:pPr>
      <w:r>
        <w:rPr>
          <w:rFonts w:hint="eastAsia" w:ascii="仿宋" w:hAnsi="仿宋" w:eastAsia="仿宋" w:cs="楷体_GB2312"/>
          <w:b/>
          <w:bCs/>
          <w:sz w:val="32"/>
          <w:szCs w:val="32"/>
        </w:rPr>
        <w:t>（二）整体支出绩效目标</w:t>
      </w:r>
    </w:p>
    <w:p w14:paraId="1631B226">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1、部门总目标</w:t>
      </w:r>
    </w:p>
    <w:p w14:paraId="4BE16AAC">
      <w:pPr>
        <w:autoSpaceDE w:val="0"/>
        <w:autoSpaceDN w:val="0"/>
        <w:adjustRightInd w:val="0"/>
        <w:ind w:left="198" w:firstLine="640" w:firstLineChars="200"/>
        <w:jc w:val="left"/>
        <w:rPr>
          <w:rFonts w:hint="eastAsia" w:ascii="仿宋" w:hAnsi="仿宋" w:eastAsia="仿宋" w:cs="宋体"/>
          <w:bCs/>
          <w:sz w:val="32"/>
          <w:szCs w:val="32"/>
          <w:lang w:eastAsia="zh-CN"/>
        </w:rPr>
      </w:pPr>
      <w:r>
        <w:rPr>
          <w:rFonts w:hint="eastAsia" w:ascii="Times New Roman" w:hAnsi="Times New Roman" w:eastAsia="仿宋" w:cs="Times New Roman"/>
          <w:bCs/>
          <w:sz w:val="32"/>
          <w:szCs w:val="32"/>
          <w:lang w:val="en-US" w:eastAsia="zh-CN"/>
        </w:rPr>
        <w:t>以习近平新时代中国特色社会主义思想为核心，全面贯彻落实党的二十大精神，不断夯实基层基础、建强班子队伍、集聚优秀人才，为推进藁城“二次创业”，奋力打造藁城“一极四城”建设新场景提供了坚强组织保证。</w:t>
      </w:r>
    </w:p>
    <w:p w14:paraId="3D29F9F9">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2、预决算公开</w:t>
      </w:r>
    </w:p>
    <w:p w14:paraId="79DB0E7D">
      <w:pPr>
        <w:snapToGrid w:val="0"/>
        <w:spacing w:line="560" w:lineRule="exact"/>
        <w:ind w:left="210" w:leftChars="100" w:firstLine="600" w:firstLineChars="200"/>
        <w:rPr>
          <w:rFonts w:ascii="仿宋" w:hAnsi="仿宋" w:eastAsia="仿宋" w:cs="宋体"/>
          <w:sz w:val="30"/>
          <w:szCs w:val="30"/>
          <w:highlight w:val="none"/>
        </w:rPr>
      </w:pPr>
      <w:r>
        <w:rPr>
          <w:rFonts w:hint="eastAsia" w:ascii="仿宋" w:hAnsi="仿宋" w:eastAsia="仿宋" w:cs="宋体"/>
          <w:sz w:val="30"/>
          <w:szCs w:val="30"/>
          <w:highlight w:val="none"/>
        </w:rPr>
        <w:t>202</w:t>
      </w:r>
      <w:r>
        <w:rPr>
          <w:rFonts w:hint="eastAsia" w:ascii="仿宋" w:hAnsi="仿宋" w:eastAsia="仿宋" w:cs="宋体"/>
          <w:sz w:val="30"/>
          <w:szCs w:val="30"/>
          <w:highlight w:val="none"/>
          <w:lang w:val="en-US" w:eastAsia="zh-CN"/>
        </w:rPr>
        <w:t>2</w:t>
      </w:r>
      <w:r>
        <w:rPr>
          <w:rFonts w:hint="eastAsia" w:ascii="仿宋" w:hAnsi="仿宋" w:eastAsia="仿宋" w:cs="宋体"/>
          <w:sz w:val="30"/>
          <w:szCs w:val="30"/>
          <w:highlight w:val="none"/>
        </w:rPr>
        <w:t>年本部门收入年初预算安排为</w:t>
      </w:r>
      <w:r>
        <w:rPr>
          <w:rFonts w:hint="eastAsia" w:ascii="仿宋" w:hAnsi="仿宋" w:eastAsia="仿宋" w:cs="宋体"/>
          <w:sz w:val="30"/>
          <w:szCs w:val="30"/>
          <w:highlight w:val="none"/>
          <w:lang w:val="en-US" w:eastAsia="zh-CN"/>
        </w:rPr>
        <w:t>8713.74</w:t>
      </w:r>
      <w:r>
        <w:rPr>
          <w:rFonts w:hint="eastAsia" w:ascii="仿宋" w:hAnsi="仿宋" w:eastAsia="仿宋" w:cs="宋体"/>
          <w:sz w:val="30"/>
          <w:szCs w:val="30"/>
          <w:highlight w:val="none"/>
        </w:rPr>
        <w:t>万元， 支出年初预算安排为</w:t>
      </w:r>
      <w:r>
        <w:rPr>
          <w:rFonts w:hint="eastAsia" w:ascii="仿宋" w:hAnsi="仿宋" w:eastAsia="仿宋" w:cs="宋体"/>
          <w:sz w:val="30"/>
          <w:szCs w:val="30"/>
          <w:highlight w:val="none"/>
          <w:lang w:val="en-US" w:eastAsia="zh-CN"/>
        </w:rPr>
        <w:t>8713.74</w:t>
      </w:r>
      <w:r>
        <w:rPr>
          <w:rFonts w:hint="eastAsia" w:ascii="仿宋" w:hAnsi="仿宋" w:eastAsia="仿宋" w:cs="宋体"/>
          <w:sz w:val="30"/>
          <w:szCs w:val="30"/>
          <w:highlight w:val="none"/>
        </w:rPr>
        <w:t>万元。2021年本部门决算总收入</w:t>
      </w:r>
      <w:r>
        <w:rPr>
          <w:rFonts w:hint="eastAsia" w:ascii="仿宋" w:hAnsi="仿宋" w:eastAsia="仿宋" w:cs="宋体"/>
          <w:sz w:val="30"/>
          <w:szCs w:val="30"/>
          <w:highlight w:val="none"/>
          <w:lang w:val="en-US" w:eastAsia="zh-CN"/>
        </w:rPr>
        <w:t>8200.44</w:t>
      </w:r>
      <w:r>
        <w:rPr>
          <w:rFonts w:hint="eastAsia" w:ascii="仿宋" w:hAnsi="仿宋" w:eastAsia="仿宋" w:cs="宋体"/>
          <w:sz w:val="30"/>
          <w:szCs w:val="30"/>
          <w:highlight w:val="none"/>
        </w:rPr>
        <w:t>万元，决算总支出</w:t>
      </w:r>
      <w:r>
        <w:rPr>
          <w:rFonts w:hint="eastAsia" w:ascii="仿宋" w:hAnsi="仿宋" w:eastAsia="仿宋" w:cs="宋体"/>
          <w:sz w:val="30"/>
          <w:szCs w:val="30"/>
          <w:highlight w:val="none"/>
          <w:lang w:val="en-US" w:eastAsia="zh-CN"/>
        </w:rPr>
        <w:t>8200.44</w:t>
      </w:r>
      <w:r>
        <w:rPr>
          <w:rFonts w:hint="eastAsia" w:ascii="仿宋" w:hAnsi="仿宋" w:eastAsia="仿宋" w:cs="宋体"/>
          <w:sz w:val="30"/>
          <w:szCs w:val="30"/>
          <w:highlight w:val="none"/>
        </w:rPr>
        <w:t>万元。</w:t>
      </w:r>
    </w:p>
    <w:p w14:paraId="069A537C">
      <w:pPr>
        <w:snapToGrid w:val="0"/>
        <w:spacing w:line="560" w:lineRule="exact"/>
        <w:ind w:left="210" w:leftChars="100" w:firstLine="600" w:firstLineChars="200"/>
        <w:rPr>
          <w:rFonts w:ascii="仿宋" w:hAnsi="仿宋" w:eastAsia="仿宋" w:cs="宋体"/>
          <w:sz w:val="30"/>
          <w:szCs w:val="30"/>
          <w:highlight w:val="none"/>
        </w:rPr>
      </w:pPr>
      <w:r>
        <w:rPr>
          <w:rFonts w:hint="eastAsia" w:ascii="仿宋" w:hAnsi="仿宋" w:eastAsia="仿宋" w:cs="宋体"/>
          <w:sz w:val="30"/>
          <w:szCs w:val="30"/>
          <w:highlight w:val="none"/>
        </w:rPr>
        <w:t>3、资产管理</w:t>
      </w:r>
    </w:p>
    <w:p w14:paraId="0078E0E7">
      <w:pPr>
        <w:snapToGrid w:val="0"/>
        <w:spacing w:line="560" w:lineRule="exact"/>
        <w:ind w:left="210" w:leftChars="100" w:firstLine="600" w:firstLineChars="200"/>
        <w:rPr>
          <w:rFonts w:ascii="仿宋" w:hAnsi="仿宋" w:eastAsia="仿宋" w:cs="宋体"/>
          <w:sz w:val="30"/>
          <w:szCs w:val="30"/>
          <w:highlight w:val="none"/>
        </w:rPr>
      </w:pPr>
      <w:r>
        <w:rPr>
          <w:rFonts w:hint="eastAsia" w:ascii="仿宋" w:hAnsi="仿宋" w:eastAsia="仿宋" w:cs="宋体"/>
          <w:sz w:val="30"/>
          <w:szCs w:val="30"/>
          <w:highlight w:val="none"/>
          <w:lang w:val="en-US" w:eastAsia="zh-CN"/>
        </w:rPr>
        <w:t>截至</w:t>
      </w:r>
      <w:bookmarkStart w:id="0" w:name="_GoBack"/>
      <w:bookmarkEnd w:id="0"/>
      <w:r>
        <w:rPr>
          <w:rFonts w:hint="eastAsia" w:ascii="仿宋" w:hAnsi="仿宋" w:eastAsia="仿宋" w:cs="宋体"/>
          <w:sz w:val="30"/>
          <w:szCs w:val="30"/>
          <w:highlight w:val="none"/>
        </w:rPr>
        <w:t>202</w:t>
      </w:r>
      <w:r>
        <w:rPr>
          <w:rFonts w:hint="eastAsia" w:ascii="仿宋" w:hAnsi="仿宋" w:eastAsia="仿宋" w:cs="宋体"/>
          <w:sz w:val="30"/>
          <w:szCs w:val="30"/>
          <w:highlight w:val="none"/>
          <w:lang w:val="en-US" w:eastAsia="zh-CN"/>
        </w:rPr>
        <w:t>2</w:t>
      </w:r>
      <w:r>
        <w:rPr>
          <w:rFonts w:hint="eastAsia" w:ascii="仿宋" w:hAnsi="仿宋" w:eastAsia="仿宋" w:cs="宋体"/>
          <w:sz w:val="30"/>
          <w:szCs w:val="30"/>
          <w:highlight w:val="none"/>
        </w:rPr>
        <w:t>年底，我部门共有固定资产原值</w:t>
      </w:r>
      <w:r>
        <w:rPr>
          <w:rFonts w:hint="eastAsia" w:ascii="仿宋" w:hAnsi="仿宋" w:eastAsia="仿宋" w:cs="宋体"/>
          <w:sz w:val="30"/>
          <w:szCs w:val="30"/>
          <w:highlight w:val="none"/>
          <w:lang w:val="en-US" w:eastAsia="zh-CN"/>
        </w:rPr>
        <w:t>396.02万</w:t>
      </w:r>
      <w:r>
        <w:rPr>
          <w:rFonts w:hint="eastAsia" w:ascii="仿宋" w:hAnsi="仿宋" w:eastAsia="仿宋" w:cs="宋体"/>
          <w:sz w:val="30"/>
          <w:szCs w:val="30"/>
          <w:highlight w:val="none"/>
        </w:rPr>
        <w:t>元；固定资产累计折旧</w:t>
      </w:r>
      <w:r>
        <w:rPr>
          <w:rFonts w:hint="eastAsia" w:ascii="仿宋" w:hAnsi="仿宋" w:eastAsia="仿宋" w:cs="宋体"/>
          <w:sz w:val="30"/>
          <w:szCs w:val="30"/>
          <w:highlight w:val="none"/>
          <w:lang w:val="en-US" w:eastAsia="zh-CN"/>
        </w:rPr>
        <w:t>280.09万</w:t>
      </w:r>
      <w:r>
        <w:rPr>
          <w:rFonts w:hint="eastAsia" w:ascii="仿宋" w:hAnsi="仿宋" w:eastAsia="仿宋" w:cs="宋体"/>
          <w:sz w:val="30"/>
          <w:szCs w:val="30"/>
          <w:highlight w:val="none"/>
        </w:rPr>
        <w:t>元。固定资产净值</w:t>
      </w:r>
      <w:r>
        <w:rPr>
          <w:rFonts w:hint="eastAsia" w:ascii="仿宋" w:hAnsi="仿宋" w:eastAsia="仿宋" w:cs="宋体"/>
          <w:sz w:val="30"/>
          <w:szCs w:val="30"/>
          <w:highlight w:val="none"/>
          <w:lang w:val="en-US" w:eastAsia="zh-CN"/>
        </w:rPr>
        <w:t>115.93万</w:t>
      </w:r>
      <w:r>
        <w:rPr>
          <w:rFonts w:hint="eastAsia" w:ascii="仿宋" w:hAnsi="仿宋" w:eastAsia="仿宋" w:cs="宋体"/>
          <w:sz w:val="30"/>
          <w:szCs w:val="30"/>
          <w:highlight w:val="none"/>
        </w:rPr>
        <w:t>元。主要是</w:t>
      </w:r>
      <w:r>
        <w:rPr>
          <w:rFonts w:hint="eastAsia" w:ascii="仿宋" w:hAnsi="仿宋" w:eastAsia="仿宋" w:cs="宋体"/>
          <w:sz w:val="30"/>
          <w:szCs w:val="30"/>
          <w:highlight w:val="none"/>
          <w:lang w:eastAsia="zh-CN"/>
        </w:rPr>
        <w:t>通用</w:t>
      </w:r>
      <w:r>
        <w:rPr>
          <w:rFonts w:hint="eastAsia" w:ascii="仿宋" w:hAnsi="仿宋" w:eastAsia="仿宋" w:cs="宋体"/>
          <w:sz w:val="30"/>
          <w:szCs w:val="30"/>
          <w:highlight w:val="none"/>
        </w:rPr>
        <w:t>设备。</w:t>
      </w:r>
    </w:p>
    <w:p w14:paraId="7BDD89D1">
      <w:pPr>
        <w:snapToGrid w:val="0"/>
        <w:spacing w:line="560" w:lineRule="exact"/>
        <w:ind w:left="210" w:leftChars="100" w:firstLine="600" w:firstLineChars="200"/>
        <w:rPr>
          <w:rFonts w:ascii="仿宋" w:hAnsi="仿宋" w:eastAsia="仿宋" w:cs="宋体"/>
          <w:sz w:val="30"/>
          <w:szCs w:val="30"/>
          <w:highlight w:val="none"/>
        </w:rPr>
      </w:pPr>
      <w:r>
        <w:rPr>
          <w:rFonts w:hint="eastAsia" w:ascii="仿宋" w:hAnsi="仿宋" w:eastAsia="仿宋" w:cs="宋体"/>
          <w:sz w:val="30"/>
          <w:szCs w:val="30"/>
          <w:highlight w:val="none"/>
        </w:rPr>
        <w:t>4、三公经费控制情况</w:t>
      </w:r>
    </w:p>
    <w:p w14:paraId="279E09B7">
      <w:pPr>
        <w:snapToGrid w:val="0"/>
        <w:spacing w:line="560" w:lineRule="exact"/>
        <w:ind w:left="210" w:leftChars="100" w:firstLine="600" w:firstLineChars="200"/>
        <w:rPr>
          <w:rFonts w:ascii="仿宋" w:hAnsi="仿宋" w:eastAsia="仿宋" w:cs="宋体"/>
          <w:sz w:val="30"/>
          <w:szCs w:val="30"/>
          <w:highlight w:val="none"/>
        </w:rPr>
      </w:pPr>
      <w:r>
        <w:rPr>
          <w:rFonts w:hint="eastAsia" w:ascii="仿宋" w:hAnsi="仿宋" w:eastAsia="仿宋" w:cs="宋体"/>
          <w:sz w:val="30"/>
          <w:szCs w:val="30"/>
          <w:highlight w:val="none"/>
        </w:rPr>
        <w:t xml:space="preserve"> “三公经费”支出情况：</w:t>
      </w:r>
      <w:r>
        <w:rPr>
          <w:rFonts w:hint="eastAsia" w:ascii="仿宋" w:hAnsi="仿宋" w:eastAsia="仿宋" w:cs="宋体"/>
          <w:sz w:val="30"/>
          <w:szCs w:val="30"/>
          <w:highlight w:val="none"/>
          <w:lang w:eastAsia="uk-UA"/>
        </w:rPr>
        <w:t>202</w:t>
      </w:r>
      <w:r>
        <w:rPr>
          <w:rFonts w:hint="eastAsia" w:ascii="仿宋" w:hAnsi="仿宋" w:eastAsia="仿宋" w:cs="宋体"/>
          <w:sz w:val="30"/>
          <w:szCs w:val="30"/>
          <w:highlight w:val="none"/>
          <w:lang w:val="en-US" w:eastAsia="zh-CN"/>
        </w:rPr>
        <w:t>2</w:t>
      </w:r>
      <w:r>
        <w:rPr>
          <w:rFonts w:hint="eastAsia" w:ascii="仿宋" w:hAnsi="仿宋" w:eastAsia="仿宋" w:cs="宋体"/>
          <w:sz w:val="30"/>
          <w:szCs w:val="30"/>
          <w:highlight w:val="none"/>
          <w:lang w:eastAsia="uk-UA"/>
        </w:rPr>
        <w:t>年，我部门“三公”</w:t>
      </w:r>
      <w:r>
        <w:rPr>
          <w:rFonts w:hint="eastAsia" w:ascii="仿宋" w:hAnsi="仿宋" w:eastAsia="仿宋" w:cs="宋体"/>
          <w:sz w:val="30"/>
          <w:szCs w:val="30"/>
          <w:highlight w:val="none"/>
        </w:rPr>
        <w:t>经费</w:t>
      </w:r>
      <w:r>
        <w:rPr>
          <w:rFonts w:hint="eastAsia" w:ascii="仿宋" w:hAnsi="仿宋" w:eastAsia="仿宋" w:cs="宋体"/>
          <w:sz w:val="30"/>
          <w:szCs w:val="30"/>
          <w:highlight w:val="none"/>
          <w:lang w:eastAsia="uk-UA"/>
        </w:rPr>
        <w:t>财政拨款</w:t>
      </w:r>
      <w:r>
        <w:rPr>
          <w:rFonts w:hint="eastAsia" w:ascii="仿宋" w:hAnsi="仿宋" w:eastAsia="仿宋" w:cs="宋体"/>
          <w:sz w:val="30"/>
          <w:szCs w:val="30"/>
          <w:highlight w:val="none"/>
        </w:rPr>
        <w:t>预算为2.20</w:t>
      </w:r>
      <w:r>
        <w:rPr>
          <w:rFonts w:hint="eastAsia" w:ascii="仿宋" w:hAnsi="仿宋" w:eastAsia="仿宋" w:cs="宋体"/>
          <w:sz w:val="30"/>
          <w:szCs w:val="30"/>
          <w:highlight w:val="none"/>
          <w:lang w:eastAsia="uk-UA"/>
        </w:rPr>
        <w:t>万元，</w:t>
      </w:r>
      <w:r>
        <w:rPr>
          <w:rFonts w:hint="eastAsia" w:ascii="仿宋" w:hAnsi="仿宋" w:eastAsia="仿宋" w:cs="宋体"/>
          <w:sz w:val="30"/>
          <w:szCs w:val="30"/>
          <w:highlight w:val="none"/>
        </w:rPr>
        <w:t>决算为</w:t>
      </w:r>
      <w:r>
        <w:rPr>
          <w:rFonts w:hint="eastAsia" w:ascii="仿宋" w:hAnsi="仿宋" w:eastAsia="仿宋" w:cs="宋体"/>
          <w:sz w:val="30"/>
          <w:szCs w:val="30"/>
          <w:highlight w:val="none"/>
          <w:lang w:val="en-US" w:eastAsia="zh-CN"/>
        </w:rPr>
        <w:t>0.8</w:t>
      </w:r>
      <w:r>
        <w:rPr>
          <w:rFonts w:hint="eastAsia" w:ascii="仿宋" w:hAnsi="仿宋" w:eastAsia="仿宋" w:cs="宋体"/>
          <w:sz w:val="30"/>
          <w:szCs w:val="30"/>
          <w:highlight w:val="none"/>
        </w:rPr>
        <w:t>万元，完成预算的</w:t>
      </w:r>
      <w:r>
        <w:rPr>
          <w:rFonts w:hint="eastAsia" w:ascii="仿宋" w:hAnsi="仿宋" w:eastAsia="仿宋" w:cs="宋体"/>
          <w:sz w:val="30"/>
          <w:szCs w:val="30"/>
          <w:highlight w:val="none"/>
          <w:lang w:val="en-US" w:eastAsia="zh-CN"/>
        </w:rPr>
        <w:t>36</w:t>
      </w:r>
      <w:r>
        <w:rPr>
          <w:rFonts w:hint="eastAsia" w:ascii="仿宋" w:hAnsi="仿宋" w:eastAsia="仿宋" w:cs="宋体"/>
          <w:sz w:val="30"/>
          <w:szCs w:val="30"/>
          <w:highlight w:val="none"/>
        </w:rPr>
        <w:t>%，</w:t>
      </w:r>
      <w:r>
        <w:rPr>
          <w:rFonts w:hint="eastAsia" w:ascii="仿宋" w:hAnsi="仿宋" w:eastAsia="仿宋" w:cs="宋体"/>
          <w:sz w:val="30"/>
          <w:szCs w:val="30"/>
          <w:highlight w:val="none"/>
          <w:lang w:eastAsia="uk-UA"/>
        </w:rPr>
        <w:t>其中：因公出国（境）费</w:t>
      </w:r>
      <w:r>
        <w:rPr>
          <w:rFonts w:hint="eastAsia" w:ascii="仿宋" w:hAnsi="仿宋" w:eastAsia="仿宋" w:cs="宋体"/>
          <w:sz w:val="30"/>
          <w:szCs w:val="30"/>
          <w:highlight w:val="none"/>
        </w:rPr>
        <w:t>0</w:t>
      </w:r>
      <w:r>
        <w:rPr>
          <w:rFonts w:hint="eastAsia" w:ascii="仿宋" w:hAnsi="仿宋" w:eastAsia="仿宋" w:cs="宋体"/>
          <w:sz w:val="30"/>
          <w:szCs w:val="30"/>
          <w:highlight w:val="none"/>
          <w:lang w:eastAsia="uk-UA"/>
        </w:rPr>
        <w:t>万元；公务用车购置及运维费</w:t>
      </w:r>
      <w:r>
        <w:rPr>
          <w:rFonts w:hint="eastAsia" w:ascii="仿宋" w:hAnsi="仿宋" w:eastAsia="仿宋" w:cs="宋体"/>
          <w:sz w:val="30"/>
          <w:szCs w:val="30"/>
          <w:highlight w:val="none"/>
          <w:lang w:val="en-US" w:eastAsia="zh-CN"/>
        </w:rPr>
        <w:t>0.8</w:t>
      </w:r>
      <w:r>
        <w:rPr>
          <w:rFonts w:hint="eastAsia" w:ascii="仿宋" w:hAnsi="仿宋" w:eastAsia="仿宋" w:cs="宋体"/>
          <w:sz w:val="30"/>
          <w:szCs w:val="30"/>
          <w:highlight w:val="none"/>
          <w:lang w:eastAsia="uk-UA"/>
        </w:rPr>
        <w:t>万元（其中：公务用车购置费0万元，公务用车运行维护费</w:t>
      </w:r>
      <w:r>
        <w:rPr>
          <w:rFonts w:hint="eastAsia" w:ascii="仿宋" w:hAnsi="仿宋" w:eastAsia="仿宋" w:cs="宋体"/>
          <w:sz w:val="30"/>
          <w:szCs w:val="30"/>
          <w:highlight w:val="none"/>
          <w:lang w:val="en-US" w:eastAsia="zh-CN"/>
        </w:rPr>
        <w:t>0.8</w:t>
      </w:r>
      <w:r>
        <w:rPr>
          <w:rFonts w:hint="eastAsia" w:ascii="仿宋" w:hAnsi="仿宋" w:eastAsia="仿宋" w:cs="宋体"/>
          <w:sz w:val="30"/>
          <w:szCs w:val="30"/>
          <w:highlight w:val="none"/>
          <w:lang w:eastAsia="uk-UA"/>
        </w:rPr>
        <w:t>万元)；公务接待费</w:t>
      </w:r>
      <w:r>
        <w:rPr>
          <w:rFonts w:hint="eastAsia" w:ascii="仿宋" w:hAnsi="仿宋" w:eastAsia="仿宋" w:cs="宋体"/>
          <w:sz w:val="30"/>
          <w:szCs w:val="30"/>
          <w:highlight w:val="none"/>
        </w:rPr>
        <w:t>0</w:t>
      </w:r>
      <w:r>
        <w:rPr>
          <w:rFonts w:hint="eastAsia" w:ascii="仿宋" w:hAnsi="仿宋" w:eastAsia="仿宋" w:cs="宋体"/>
          <w:sz w:val="30"/>
          <w:szCs w:val="30"/>
          <w:highlight w:val="none"/>
          <w:lang w:eastAsia="uk-UA"/>
        </w:rPr>
        <w:t>万元。</w:t>
      </w:r>
      <w:r>
        <w:rPr>
          <w:rFonts w:hint="eastAsia" w:ascii="仿宋" w:hAnsi="仿宋" w:eastAsia="仿宋" w:cs="宋体"/>
          <w:sz w:val="30"/>
          <w:szCs w:val="30"/>
          <w:highlight w:val="none"/>
        </w:rPr>
        <w:t>202</w:t>
      </w:r>
      <w:r>
        <w:rPr>
          <w:rFonts w:hint="eastAsia" w:ascii="仿宋" w:hAnsi="仿宋" w:eastAsia="仿宋" w:cs="宋体"/>
          <w:sz w:val="30"/>
          <w:szCs w:val="30"/>
          <w:highlight w:val="none"/>
          <w:lang w:val="en-US" w:eastAsia="zh-CN"/>
        </w:rPr>
        <w:t>2</w:t>
      </w:r>
      <w:r>
        <w:rPr>
          <w:rFonts w:hint="eastAsia" w:ascii="仿宋" w:hAnsi="仿宋" w:eastAsia="仿宋" w:cs="宋体"/>
          <w:sz w:val="30"/>
          <w:szCs w:val="30"/>
          <w:highlight w:val="none"/>
        </w:rPr>
        <w:t>年我部门会议费决算支出</w:t>
      </w:r>
      <w:r>
        <w:rPr>
          <w:rFonts w:hint="eastAsia" w:ascii="仿宋" w:hAnsi="仿宋" w:eastAsia="仿宋" w:cs="宋体"/>
          <w:sz w:val="30"/>
          <w:szCs w:val="30"/>
          <w:highlight w:val="none"/>
          <w:lang w:val="en-US" w:eastAsia="zh-CN"/>
        </w:rPr>
        <w:t>8.99</w:t>
      </w:r>
      <w:r>
        <w:rPr>
          <w:rFonts w:hint="eastAsia" w:ascii="仿宋" w:hAnsi="仿宋" w:eastAsia="仿宋" w:cs="宋体"/>
          <w:sz w:val="30"/>
          <w:szCs w:val="30"/>
          <w:highlight w:val="none"/>
        </w:rPr>
        <w:t>万元，202</w:t>
      </w:r>
      <w:r>
        <w:rPr>
          <w:rFonts w:hint="eastAsia" w:ascii="仿宋" w:hAnsi="仿宋" w:eastAsia="仿宋" w:cs="宋体"/>
          <w:sz w:val="30"/>
          <w:szCs w:val="30"/>
          <w:highlight w:val="none"/>
          <w:lang w:val="en-US" w:eastAsia="zh-CN"/>
        </w:rPr>
        <w:t>2</w:t>
      </w:r>
      <w:r>
        <w:rPr>
          <w:rFonts w:hint="eastAsia" w:ascii="仿宋" w:hAnsi="仿宋" w:eastAsia="仿宋" w:cs="宋体"/>
          <w:sz w:val="30"/>
          <w:szCs w:val="30"/>
          <w:highlight w:val="none"/>
        </w:rPr>
        <w:t>年培训费决算支出为</w:t>
      </w:r>
      <w:r>
        <w:rPr>
          <w:rFonts w:hint="eastAsia" w:ascii="仿宋" w:hAnsi="仿宋" w:eastAsia="仿宋" w:cs="宋体"/>
          <w:sz w:val="30"/>
          <w:szCs w:val="30"/>
          <w:highlight w:val="none"/>
          <w:lang w:val="en-US" w:eastAsia="zh-CN"/>
        </w:rPr>
        <w:t>39.7</w:t>
      </w:r>
      <w:r>
        <w:rPr>
          <w:rFonts w:hint="eastAsia" w:ascii="仿宋" w:hAnsi="仿宋" w:eastAsia="仿宋" w:cs="宋体"/>
          <w:sz w:val="30"/>
          <w:szCs w:val="30"/>
          <w:highlight w:val="none"/>
        </w:rPr>
        <w:t>万元。</w:t>
      </w:r>
    </w:p>
    <w:p w14:paraId="2D567F76">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5、内部管理制度建设</w:t>
      </w:r>
    </w:p>
    <w:p w14:paraId="732E899A">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本部门本年度进一步完善财务管理体制和运行机制、进一步加强绩效评价制度、加快财务监管体系建设、提高经费使用效益、强化财务风险管理。</w:t>
      </w:r>
    </w:p>
    <w:p w14:paraId="388554E5">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6、项目绩效总目标完成情况</w:t>
      </w:r>
    </w:p>
    <w:p w14:paraId="5D4B9997">
      <w:pPr>
        <w:snapToGrid w:val="0"/>
        <w:spacing w:line="560" w:lineRule="exact"/>
        <w:ind w:left="210" w:leftChars="100" w:firstLine="640" w:firstLineChars="200"/>
        <w:rPr>
          <w:rFonts w:hint="eastAsia" w:ascii="仿宋" w:hAnsi="仿宋" w:eastAsia="仿宋" w:cs="宋体"/>
          <w:sz w:val="32"/>
          <w:szCs w:val="32"/>
          <w:highlight w:val="none"/>
        </w:rPr>
      </w:pPr>
      <w:r>
        <w:rPr>
          <w:rFonts w:hint="eastAsia" w:ascii="仿宋" w:hAnsi="仿宋" w:eastAsia="仿宋" w:cs="宋体"/>
          <w:sz w:val="32"/>
          <w:szCs w:val="32"/>
          <w:highlight w:val="none"/>
        </w:rPr>
        <w:t>我部门今年共5</w:t>
      </w:r>
      <w:r>
        <w:rPr>
          <w:rFonts w:hint="eastAsia" w:ascii="仿宋" w:hAnsi="仿宋" w:eastAsia="仿宋" w:cs="宋体"/>
          <w:sz w:val="32"/>
          <w:szCs w:val="32"/>
          <w:highlight w:val="none"/>
          <w:lang w:val="en-US" w:eastAsia="zh-CN"/>
        </w:rPr>
        <w:t>2</w:t>
      </w:r>
      <w:r>
        <w:rPr>
          <w:rFonts w:hint="eastAsia" w:ascii="仿宋" w:hAnsi="仿宋" w:eastAsia="仿宋" w:cs="宋体"/>
          <w:sz w:val="32"/>
          <w:szCs w:val="32"/>
          <w:highlight w:val="none"/>
        </w:rPr>
        <w:t>个二级项目，共计投入</w:t>
      </w:r>
      <w:r>
        <w:rPr>
          <w:rFonts w:hint="eastAsia" w:ascii="仿宋" w:hAnsi="仿宋" w:eastAsia="仿宋" w:cs="宋体"/>
          <w:sz w:val="32"/>
          <w:szCs w:val="32"/>
          <w:highlight w:val="none"/>
          <w:lang w:val="en-US" w:eastAsia="zh-CN"/>
        </w:rPr>
        <w:t>7266.27</w:t>
      </w:r>
      <w:r>
        <w:rPr>
          <w:rFonts w:hint="eastAsia" w:ascii="仿宋" w:hAnsi="仿宋" w:eastAsia="仿宋" w:cs="宋体"/>
          <w:sz w:val="32"/>
          <w:szCs w:val="32"/>
          <w:highlight w:val="none"/>
        </w:rPr>
        <w:t>万元（列入决算项目</w:t>
      </w:r>
      <w:r>
        <w:rPr>
          <w:rFonts w:hint="eastAsia" w:ascii="仿宋" w:hAnsi="仿宋" w:eastAsia="仿宋" w:cs="宋体"/>
          <w:sz w:val="32"/>
          <w:szCs w:val="32"/>
          <w:highlight w:val="none"/>
          <w:lang w:val="en-US" w:eastAsia="zh-CN"/>
        </w:rPr>
        <w:t>54</w:t>
      </w:r>
      <w:r>
        <w:rPr>
          <w:rFonts w:hint="eastAsia" w:ascii="仿宋" w:hAnsi="仿宋" w:eastAsia="仿宋" w:cs="宋体"/>
          <w:sz w:val="32"/>
          <w:szCs w:val="32"/>
          <w:highlight w:val="none"/>
        </w:rPr>
        <w:t>个</w:t>
      </w:r>
      <w:r>
        <w:rPr>
          <w:rFonts w:hint="eastAsia" w:ascii="仿宋" w:hAnsi="仿宋" w:eastAsia="仿宋" w:cs="宋体"/>
          <w:sz w:val="32"/>
          <w:szCs w:val="32"/>
          <w:highlight w:val="none"/>
          <w:lang w:eastAsia="zh-CN"/>
        </w:rPr>
        <w:t>（包含</w:t>
      </w:r>
      <w:r>
        <w:rPr>
          <w:rFonts w:hint="eastAsia" w:ascii="仿宋" w:hAnsi="仿宋" w:eastAsia="仿宋" w:cs="宋体"/>
          <w:sz w:val="32"/>
          <w:szCs w:val="32"/>
          <w:highlight w:val="none"/>
          <w:lang w:val="en-US" w:eastAsia="zh-CN"/>
        </w:rPr>
        <w:t>3个上年结转项目</w:t>
      </w:r>
      <w:r>
        <w:rPr>
          <w:rFonts w:hint="eastAsia" w:ascii="仿宋" w:hAnsi="仿宋" w:eastAsia="仿宋" w:cs="宋体"/>
          <w:sz w:val="32"/>
          <w:szCs w:val="32"/>
          <w:highlight w:val="none"/>
          <w:lang w:eastAsia="zh-CN"/>
        </w:rPr>
        <w:t>）</w:t>
      </w:r>
      <w:r>
        <w:rPr>
          <w:rFonts w:hint="eastAsia" w:ascii="仿宋" w:hAnsi="仿宋" w:eastAsia="仿宋" w:cs="宋体"/>
          <w:sz w:val="32"/>
          <w:szCs w:val="32"/>
          <w:highlight w:val="none"/>
        </w:rPr>
        <w:t>共计</w:t>
      </w:r>
      <w:r>
        <w:rPr>
          <w:rFonts w:hint="eastAsia" w:ascii="仿宋" w:hAnsi="仿宋" w:eastAsia="仿宋" w:cs="宋体"/>
          <w:sz w:val="32"/>
          <w:szCs w:val="32"/>
          <w:highlight w:val="none"/>
          <w:lang w:eastAsia="zh-CN"/>
        </w:rPr>
        <w:t>投入</w:t>
      </w:r>
      <w:r>
        <w:rPr>
          <w:rFonts w:hint="eastAsia" w:ascii="仿宋" w:hAnsi="仿宋" w:eastAsia="仿宋" w:cs="宋体"/>
          <w:sz w:val="32"/>
          <w:szCs w:val="32"/>
          <w:highlight w:val="none"/>
          <w:lang w:val="en-US" w:eastAsia="zh-CN"/>
        </w:rPr>
        <w:t>7299.73</w:t>
      </w:r>
      <w:r>
        <w:rPr>
          <w:rFonts w:hint="eastAsia" w:ascii="仿宋" w:hAnsi="仿宋" w:eastAsia="仿宋" w:cs="宋体"/>
          <w:sz w:val="32"/>
          <w:szCs w:val="32"/>
          <w:highlight w:val="none"/>
        </w:rPr>
        <w:t>万元），5</w:t>
      </w:r>
      <w:r>
        <w:rPr>
          <w:rFonts w:hint="eastAsia" w:ascii="仿宋" w:hAnsi="仿宋" w:eastAsia="仿宋" w:cs="宋体"/>
          <w:sz w:val="32"/>
          <w:szCs w:val="32"/>
          <w:highlight w:val="none"/>
          <w:lang w:val="en-US" w:eastAsia="zh-CN"/>
        </w:rPr>
        <w:t>2</w:t>
      </w:r>
      <w:r>
        <w:rPr>
          <w:rFonts w:hint="eastAsia" w:ascii="仿宋" w:hAnsi="仿宋" w:eastAsia="仿宋" w:cs="宋体"/>
          <w:sz w:val="32"/>
          <w:szCs w:val="32"/>
          <w:highlight w:val="none"/>
        </w:rPr>
        <w:t>个项目已圆满完成。</w:t>
      </w:r>
    </w:p>
    <w:p w14:paraId="3AB4B14D">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highlight w:val="none"/>
        </w:rPr>
        <w:t>人才绿卡住房补贴，简化人才绿卡申请</w:t>
      </w:r>
      <w:r>
        <w:rPr>
          <w:rFonts w:hint="eastAsia" w:ascii="仿宋" w:hAnsi="仿宋" w:eastAsia="仿宋" w:cs="宋体"/>
          <w:sz w:val="32"/>
          <w:szCs w:val="32"/>
        </w:rPr>
        <w:t>方式，每季度按时发放人才房补，吸引更多人才到我区干事创业。</w:t>
      </w:r>
      <w:r>
        <w:rPr>
          <w:rFonts w:hint="eastAsia" w:ascii="仿宋" w:hAnsi="仿宋" w:eastAsia="仿宋" w:cs="宋体"/>
          <w:sz w:val="32"/>
          <w:szCs w:val="32"/>
          <w:lang w:eastAsia="zh-CN"/>
        </w:rPr>
        <w:t>项</w:t>
      </w:r>
      <w:r>
        <w:rPr>
          <w:rFonts w:hint="eastAsia" w:ascii="仿宋" w:hAnsi="仿宋" w:eastAsia="仿宋" w:cs="宋体"/>
          <w:sz w:val="32"/>
          <w:szCs w:val="32"/>
        </w:rPr>
        <w:t>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6C4CDA50">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“对标赶超亮比创”活动经费</w:t>
      </w:r>
      <w:r>
        <w:rPr>
          <w:rFonts w:hint="eastAsia" w:ascii="仿宋" w:hAnsi="仿宋" w:eastAsia="仿宋" w:cs="宋体"/>
          <w:sz w:val="32"/>
          <w:szCs w:val="32"/>
          <w:lang w:val="en-US" w:eastAsia="zh-CN"/>
        </w:rPr>
        <w:t>(第二季度)</w:t>
      </w:r>
      <w:r>
        <w:rPr>
          <w:rFonts w:hint="eastAsia" w:ascii="仿宋" w:hAnsi="仿宋" w:eastAsia="仿宋" w:cs="宋体"/>
          <w:sz w:val="32"/>
          <w:szCs w:val="32"/>
        </w:rPr>
        <w:t>，有效保障“对标赶超亮比创活动”正常进行，将全区各级干部的精力与激情凝聚到促进发展上来，掀起树标杆、学先进、创一流的热潮，并形成常态。项目绩效目标全部完成，项目自评9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04198AEB">
      <w:pPr>
        <w:snapToGrid w:val="0"/>
        <w:spacing w:line="560" w:lineRule="exact"/>
        <w:ind w:left="210" w:leftChars="100" w:firstLine="640" w:firstLineChars="200"/>
        <w:rPr>
          <w:rFonts w:hint="eastAsia"/>
        </w:rPr>
      </w:pPr>
      <w:r>
        <w:rPr>
          <w:rFonts w:hint="eastAsia" w:ascii="仿宋" w:hAnsi="仿宋" w:eastAsia="仿宋" w:cs="宋体"/>
          <w:sz w:val="32"/>
          <w:szCs w:val="32"/>
        </w:rPr>
        <w:t>“对标赶超亮比创”活动经费</w:t>
      </w:r>
      <w:r>
        <w:rPr>
          <w:rFonts w:hint="eastAsia" w:ascii="仿宋" w:hAnsi="仿宋" w:eastAsia="仿宋" w:cs="宋体"/>
          <w:sz w:val="32"/>
          <w:szCs w:val="32"/>
          <w:lang w:val="en-US" w:eastAsia="zh-CN"/>
        </w:rPr>
        <w:t>(第一季度)</w:t>
      </w:r>
      <w:r>
        <w:rPr>
          <w:rFonts w:hint="eastAsia" w:ascii="仿宋" w:hAnsi="仿宋" w:eastAsia="仿宋" w:cs="宋体"/>
          <w:sz w:val="32"/>
          <w:szCs w:val="32"/>
        </w:rPr>
        <w:t>，有效保障“对标赶超亮比创活动”正常进行，将全区各级干部的精力与激情凝聚到促进发展上来，掀起树标杆、学先进、创一流的热潮，并形成常态。项目绩效目标全部完成，项目自评9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0428CEA3">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名校英才入石”选聘工作经费，积极落实上级提出的打造高素质专业化队伍建设要求，通过招聘，吸引部分国内外重点院校毕业的高素质人才补充到党政干部队伍中，使优秀年轻干部数量得到补充，进一步提升干部队伍建设水平。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28230FEC">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包干会议费，通过组织会议，传达上级任务和区委中心工作，推动组织各项工作有效落实。项目绩效目标全部完成，项目自评98分。</w:t>
      </w:r>
    </w:p>
    <w:p w14:paraId="0D7E7251">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补充工作经费，通过改善办公环境，开展理论学习，提升工作效率</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4E375499">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拆除老干部活动中心琉璃瓦，消除老干部活动中心主楼周边安全隐患，确保老干部出入安全及周边群众、车辆安全；推动城市精细化管理，美化市容市貌、提高城市品质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39AA91F8">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村干部基础职务补贴，按时足额发放村干部基本补贴，保障村“两委”干部基本生活，激发“两委”干部工作积极性。项目绩效目标全部完成，项目自评98分。</w:t>
      </w:r>
    </w:p>
    <w:p w14:paraId="4D8832D9">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村干部绩效工资补贴，本着奖优罚劣的原则，根据村干部年度考核结果、评定等次等情况发放，用差别提振农村干部工作状态。项目绩效目标全部完成，项目自评9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7CC834E9">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村及办公经费，向各乡镇（区）发放村级办公经费；保障必要办公用品、办公设施维护、水电暖、报刊征订等方面开支</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15266EC1">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村党组织活动经费，保障农村党组织正常开展“三会一课”、主题党日等活动所需开支，增强党员党性，发挥先锋模范作用。项目绩效目标全部完成，项目自评98分。</w:t>
      </w:r>
    </w:p>
    <w:p w14:paraId="4AB13112">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档案业务办公耗材资金，保证干部职工档案管理规范化、科学化；保证档案查借收转日常工作的顺利运行及档案信息更新</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46B3D91B">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党建工作专项经费，用于支持村社区组织活动场所建设，给予后进村、党建示范村、工作优秀村等村的资金奖补等基层党建各项重点工作的资金保障；用于保障制作基层党建展牌、标牌、标语，印发各类文件，组织村“两委”干部本地及域外观摩培训等费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7EEF742F">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党员干部远程教育基层站点运行费，做好远程教育站点的维护管理及摄录设备维护工作，提高农村党员干部的理论水平</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0576F2C0">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党组织服务群众专项经费，向各社区发放服务群众专项经费；结合社区党组织开展各项活动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68478CDB">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对标赶超亮比创活动经费，有效保障“对标赶超亮比创活动”正常进行，将全区各级干部的精力与激情凝聚到促进发展上来，掀起树标杆、学先进、创一流的热潮，并形成常态。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5FCDE8ED">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服务群众专项经费，主要用于村级组织服务群众的必要支出，包括村综合服务站正常运转、公共设施维护、公共卫生防疫、村内治安、服务群众生产生活的临时用工等方面开支</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31D48743">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副处级以上老干部春节期间慰问经费，组织开展全区经济社会发展情况通报、传统节日走访慰问活动，为副处级以上老干部送 去组织上的温暖和关爱，鼓励和引导老同志为我区经济社会建设发展发挥积极作用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w:t>
      </w:r>
      <w:r>
        <w:rPr>
          <w:rFonts w:hint="eastAsia" w:ascii="仿宋" w:hAnsi="仿宋" w:eastAsia="仿宋" w:cs="宋体"/>
          <w:sz w:val="32"/>
          <w:szCs w:val="32"/>
          <w:lang w:val="en-US" w:eastAsia="zh-CN"/>
        </w:rPr>
        <w:t>100</w:t>
      </w:r>
      <w:r>
        <w:rPr>
          <w:rFonts w:hint="eastAsia" w:ascii="仿宋" w:hAnsi="仿宋" w:eastAsia="仿宋" w:cs="宋体"/>
          <w:sz w:val="32"/>
          <w:szCs w:val="32"/>
        </w:rPr>
        <w:t>分。</w:t>
      </w:r>
    </w:p>
    <w:p w14:paraId="6803A6C3">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干部教育培训费，提高政治能力、调查研究能力、科学决策能力、改革攻坚能力、应急处突能力、群众工作能力、抓落实能力</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6</w:t>
      </w:r>
      <w:r>
        <w:rPr>
          <w:rFonts w:hint="eastAsia" w:ascii="仿宋" w:hAnsi="仿宋" w:eastAsia="仿宋" w:cs="宋体"/>
          <w:sz w:val="32"/>
          <w:szCs w:val="32"/>
        </w:rPr>
        <w:t>分。</w:t>
      </w:r>
    </w:p>
    <w:p w14:paraId="79274C2E">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藁城区支持科技创新和人才引进培养政策18条奖励资金，按要求对符合条件人才做好奖励基金发放工作；按要求对符合条件的用人单位做好基金发放工作</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36E41797">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藁城区重点工作大督查办公机构资金，聚焦重点工作、重点问题、重点对象，真督实查、较真碰硬，为建设经济强区提供坚强保障</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43E351B5">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隔离点服务工作人员发放荣誉证书资金，表彰新冠肺炎疫情以来为抗疫工作作出贡献的隔离点工作人员；激励积极投身到隔离点管理服务工作人员，为全区抗疫工作作出更大贡献</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4AA04CCB">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关工委工作经费，发挥离退休干部政治、威望、经验、时空优势和特殊作用；培养青少年健康成长，实现老干部老有所为</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64208E1A">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规范党建标牌标识，</w:t>
      </w:r>
      <w:r>
        <w:rPr>
          <w:rFonts w:hint="eastAsia" w:ascii="仿宋" w:hAnsi="仿宋" w:eastAsia="仿宋" w:cs="宋体"/>
          <w:sz w:val="32"/>
          <w:szCs w:val="32"/>
          <w:lang w:eastAsia="zh-CN"/>
        </w:rPr>
        <w:t>为我区世纪大道党建示范带、机场路党建沿线示范带、高铁沿线党建示范区等，制作一批党的二十大精神宣传展牌，全面提升各党建示范带建设质量；在各乡镇第一批试点村中分别选取1-2个村，对村内党建展牌文字内容陈旧，表述错误的，印制、使用党徽、党旗不规范，甚至随意修改、修饰的问题进行纠正规范，示范带动全区党务规范工作扎实开展。</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0637AD5D">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科级后备干部“推优比选”活动经费，牢固树立“凭实绩用干部、自己提拔自己”正确的选人用人导向；让想干事、敢干事、会干事、能干事、干成事的优秀干部脱颖而出，激励全区广大干部新时代新担当新作为</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09F70535">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老促会工作经费，弘扬和传承革命老区精神；激发广大人民群众的爱国热情</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3C264208">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老干部活动经费，适应新形势新要求，满足老干部精神文化需求；加强老干部活动中心阵地建设，开展文化娱乐、体育健身等各项文体活动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0E13B715">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老干部活动中心人员经费，活动中心1名差额事业编制人员每月工资、基础绩效及五险一金能够及时足额发放缴纳。组织管理区离退休干部开展学习交流，并提供相关服务</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4740ED5E">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老干部局业务费，用于老干部工作日常办公、通讯、水电、维修维护等经费补充，维持老干部工作正常运转，促进老干部工作有序开展</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0FBEF237">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老干部特需费，落实好离退休干部政治生活待遇，让老同志及时了解党的重大方针政策，切身感受组织上的关怀</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03F6FE4E">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领导干部探视费，按照冀办法[2018]35号文件要求，加大关心关爱力度，切实增强干部的荣誉感归属感获得感，逐步建立完善关心救助干部的长效机制；关注干部身心健康，确保干部患病治疗期间能够充分感受组织关心关爱</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00985A33">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年度考核工作经费，发挥考核“指挥棒”和“风向标”作用，激发干部争先创优的干劲，落实奖优罚劣的奖惩制度；通过大督查，督促重点中心工作落地落实，落实督考合一的激励机制</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64CEED27">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区级离退休干部视察费用，更好地落实离退休干部政治待遇，丰富老干部精神文化生活;使他们深入了解和感受我区经济社会发展新成果，进一步激发和引导老同志为藁城经济社会发展发挥优势作用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610F0366">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区直部门公开选调工作人员专项经费，进一步推动全区行政、事业干部合理流动;缓解乡镇事业编制紧缺问题，解决部分区直部门空编较多、工作力量薄弱问题</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0AA437C9">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人才发展专项工作经费，做好区管拔尖人才津贴发放，按时走访慰问人才；运营人才会客厅，做好绿卡办理、政策咨询、人才引进和服务、政策宣传工作，常态化组织开展人才活动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7EE7277F">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社区工作经费，向各社区发放社区工作经费；保障社区日常运转和党建方面的开支</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1165C711">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石财行[2021]47号关于提前下达2022年度下派选调生到村工作中央财政补助资金的通知，加强对到村任职选调生的教育培训，按要求组织开展国情调研，组织到村任职选调生多参与化解复杂矛盾和问题，让到村任职大学生村官在基层真正经受时间锻炼，更好发挥作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2</w:t>
      </w:r>
      <w:r>
        <w:rPr>
          <w:rFonts w:hint="eastAsia" w:ascii="仿宋" w:hAnsi="仿宋" w:eastAsia="仿宋" w:cs="宋体"/>
          <w:sz w:val="32"/>
          <w:szCs w:val="32"/>
        </w:rPr>
        <w:t>分。</w:t>
      </w:r>
    </w:p>
    <w:p w14:paraId="3289D159">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lang w:eastAsia="zh-CN"/>
        </w:rPr>
        <w:t>石财行[2022]40号关于下达市级企业引进高层次人才年度个人所得税奖励资金的通知，落实对企业引进高层次人才缴纳个税予以奖励政策，为企业创新发展，品牌打造，发挥引领骨干作用，吸引一批高层次人才，提升全区人才质量水平。</w:t>
      </w:r>
      <w:r>
        <w:rPr>
          <w:rFonts w:hint="eastAsia" w:ascii="仿宋" w:hAnsi="仿宋" w:eastAsia="仿宋" w:cs="宋体"/>
          <w:sz w:val="32"/>
          <w:szCs w:val="32"/>
        </w:rPr>
        <w:t>项目绩效目标</w:t>
      </w:r>
      <w:r>
        <w:rPr>
          <w:rFonts w:hint="eastAsia" w:ascii="仿宋" w:hAnsi="仿宋" w:eastAsia="仿宋" w:cs="宋体"/>
          <w:sz w:val="32"/>
          <w:szCs w:val="32"/>
          <w:lang w:eastAsia="zh-CN"/>
        </w:rPr>
        <w:t>结转下年</w:t>
      </w:r>
      <w:r>
        <w:rPr>
          <w:rFonts w:hint="eastAsia" w:ascii="仿宋" w:hAnsi="仿宋" w:eastAsia="仿宋" w:cs="宋体"/>
          <w:sz w:val="32"/>
          <w:szCs w:val="32"/>
        </w:rPr>
        <w:t>，项目自评9</w:t>
      </w:r>
      <w:r>
        <w:rPr>
          <w:rFonts w:hint="eastAsia" w:ascii="仿宋" w:hAnsi="仿宋" w:eastAsia="仿宋" w:cs="宋体"/>
          <w:sz w:val="32"/>
          <w:szCs w:val="32"/>
          <w:lang w:val="en-US" w:eastAsia="zh-CN"/>
        </w:rPr>
        <w:t>0</w:t>
      </w:r>
      <w:r>
        <w:rPr>
          <w:rFonts w:hint="eastAsia" w:ascii="仿宋" w:hAnsi="仿宋" w:eastAsia="仿宋" w:cs="宋体"/>
          <w:sz w:val="32"/>
          <w:szCs w:val="32"/>
        </w:rPr>
        <w:t>分。</w:t>
      </w:r>
    </w:p>
    <w:p w14:paraId="490BA4A4">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石财社[2021]146号关于提前下达2022年省级优抚对象补助经费（其他优抚支出），落实好建国前入党的农村老党员和未享受离退休待遇的城镇老党员生活补贴发放;让老党员安度晚年</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3824EC27">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石财社【2022】46号下达2022年中央优抚对象补助经费（第二批），落实好建国前入党的农村老党员和未享受离退休待遇的城镇老党员生活补贴发放；让老党员安度晚年</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348D15CF">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石财预[2021]47号石家庄市财政局关于提前下达2022年均衡性转移支付的通知（中央）村干部基本补贴，按时足额发放，保障村“两委”干部基本生活，激发村他们工作积极性</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0A81A2C6">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石财预[2021]47号石家庄市财政局关于提前下达2022年均衡性转移支付的通知（中央）服务群众专项经费，向各乡镇（区）发放服务群众专项经费；保障村综合服务站正常运转、公共设施维护、公共卫生防疫、村内治安、服务群众生产生活的临时用工等方面开支</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37553656">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石家庄核酸检测督导组督导经费，对藁城区核酸检测工作进行督导检查；确保藁城区抗疫工作规范有序开展</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50302928">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特困离退休干部帮扶专项经费，按照上级文件要求，对20名特困离退休干部实施帮扶，让老干部切身感受组织上的关怀和温暖</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w:t>
      </w:r>
      <w:r>
        <w:rPr>
          <w:rFonts w:hint="eastAsia" w:ascii="仿宋" w:hAnsi="仿宋" w:eastAsia="仿宋" w:cs="宋体"/>
          <w:sz w:val="32"/>
          <w:szCs w:val="32"/>
          <w:lang w:val="en-US" w:eastAsia="zh-CN"/>
        </w:rPr>
        <w:t>100</w:t>
      </w:r>
      <w:r>
        <w:rPr>
          <w:rFonts w:hint="eastAsia" w:ascii="仿宋" w:hAnsi="仿宋" w:eastAsia="仿宋" w:cs="宋体"/>
          <w:sz w:val="32"/>
          <w:szCs w:val="32"/>
        </w:rPr>
        <w:t>分。</w:t>
      </w:r>
    </w:p>
    <w:p w14:paraId="72C6E354">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提前下达2022年省级优抚对象补助经费，落实好建国前入党的农村老党员和未享受离退休待遇的城镇老党员生活补贴发放；让老党员安度晚年</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615F10D6">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乡科级干部体检费，通过健康体检，建立干部健康体检结果报告制度，完善干部健康体检档案管理，加强体检结果解读，促进疾病早诊早治</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143A6152">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选调生到村任职补助，加强对到村任职选调生的教育培训，按要求组织开展国情调研；组织到村任职选调生多参与化解复杂矛盾和问题，让到村任职大学生村官在基层真正经受时间锻炼，更好发挥作用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9</w:t>
      </w:r>
      <w:r>
        <w:rPr>
          <w:rFonts w:hint="eastAsia" w:ascii="仿宋" w:hAnsi="仿宋" w:eastAsia="仿宋" w:cs="宋体"/>
          <w:sz w:val="32"/>
          <w:szCs w:val="32"/>
        </w:rPr>
        <w:t>分。</w:t>
      </w:r>
    </w:p>
    <w:p w14:paraId="7AD5CF13">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征迁任务工作经费，打赢“三场硬仗”，彻底解决征收遗留问题;提高居民居住环境和生活品质</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2EC4CAAD">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正常离任干部生活补贴，按时足额发放离任生活补贴；为农村稳定发展贡献力量</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项目绩效目标全部完成，项目自评98分。</w:t>
      </w:r>
    </w:p>
    <w:p w14:paraId="788E4062">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追加拔尖人才补贴，做好区管拔尖人才管理，激发人才干事创积极性；做好区管拔尖人才津贴发放</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29A2C8E6">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追加全区县级老干部慰问经费，体现区委、区政府对老干部的关爱，每年组织开展全区经济社会发展情况通报，及时向老干部通报有关情况；结合传统节日开展走访慰问活动1-2次</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8</w:t>
      </w:r>
      <w:r>
        <w:rPr>
          <w:rFonts w:hint="eastAsia" w:ascii="仿宋" w:hAnsi="仿宋" w:eastAsia="仿宋" w:cs="宋体"/>
          <w:sz w:val="32"/>
          <w:szCs w:val="32"/>
        </w:rPr>
        <w:t>分。</w:t>
      </w:r>
    </w:p>
    <w:p w14:paraId="3307C11C">
      <w:pPr>
        <w:snapToGrid w:val="0"/>
        <w:spacing w:line="560" w:lineRule="exact"/>
        <w:ind w:left="210" w:leftChars="100" w:firstLine="640" w:firstLineChars="200"/>
        <w:rPr>
          <w:rFonts w:hint="eastAsia" w:ascii="仿宋" w:hAnsi="仿宋" w:eastAsia="仿宋" w:cs="宋体"/>
          <w:sz w:val="32"/>
          <w:szCs w:val="32"/>
          <w:lang w:eastAsia="zh-CN"/>
        </w:rPr>
      </w:pPr>
      <w:r>
        <w:rPr>
          <w:rFonts w:hint="eastAsia" w:ascii="仿宋" w:hAnsi="仿宋" w:eastAsia="仿宋" w:cs="宋体"/>
          <w:sz w:val="32"/>
          <w:szCs w:val="32"/>
        </w:rPr>
        <w:t>组织离退休干部健康体检经费，通过健康体检，完善离退休干部健康体检档案管理，加强体检结果解读，促进疾病早诊早治，确保老干部身体健康，安享晚年</w:t>
      </w:r>
      <w:r>
        <w:rPr>
          <w:rFonts w:hint="eastAsia" w:ascii="仿宋" w:hAnsi="仿宋" w:eastAsia="仿宋" w:cs="宋体"/>
          <w:sz w:val="32"/>
          <w:szCs w:val="32"/>
          <w:lang w:eastAsia="zh-CN"/>
        </w:rPr>
        <w:t>。</w:t>
      </w:r>
      <w:r>
        <w:rPr>
          <w:rFonts w:hint="eastAsia" w:ascii="仿宋" w:hAnsi="仿宋" w:eastAsia="仿宋" w:cs="宋体"/>
          <w:sz w:val="32"/>
          <w:szCs w:val="32"/>
        </w:rPr>
        <w:t>项目绩效目标全部完成，项目自评9</w:t>
      </w:r>
      <w:r>
        <w:rPr>
          <w:rFonts w:hint="eastAsia" w:ascii="仿宋" w:hAnsi="仿宋" w:eastAsia="仿宋" w:cs="宋体"/>
          <w:sz w:val="32"/>
          <w:szCs w:val="32"/>
          <w:lang w:val="en-US" w:eastAsia="zh-CN"/>
        </w:rPr>
        <w:t>7</w:t>
      </w:r>
      <w:r>
        <w:rPr>
          <w:rFonts w:hint="eastAsia" w:ascii="仿宋" w:hAnsi="仿宋" w:eastAsia="仿宋" w:cs="宋体"/>
          <w:sz w:val="32"/>
          <w:szCs w:val="32"/>
        </w:rPr>
        <w:t>分。</w:t>
      </w:r>
    </w:p>
    <w:p w14:paraId="4B179256">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（三）部门整体支出情况分析</w:t>
      </w:r>
    </w:p>
    <w:p w14:paraId="07C2AC46">
      <w:pPr>
        <w:snapToGrid w:val="0"/>
        <w:spacing w:line="560" w:lineRule="exact"/>
        <w:ind w:left="210" w:leftChars="100" w:firstLine="640" w:firstLineChars="200"/>
        <w:rPr>
          <w:rFonts w:hint="eastAsia" w:ascii="仿宋" w:hAnsi="仿宋" w:eastAsia="仿宋" w:cs="宋体"/>
          <w:sz w:val="32"/>
          <w:szCs w:val="32"/>
          <w:highlight w:val="yellow"/>
        </w:rPr>
      </w:pPr>
      <w:r>
        <w:rPr>
          <w:rFonts w:hint="eastAsia" w:ascii="仿宋" w:hAnsi="仿宋" w:eastAsia="仿宋" w:cs="宋体"/>
          <w:sz w:val="32"/>
          <w:szCs w:val="32"/>
          <w:highlight w:val="yellow"/>
        </w:rPr>
        <w:t>从整体情况来看，</w:t>
      </w:r>
      <w:r>
        <w:rPr>
          <w:rFonts w:hint="eastAsia" w:ascii="仿宋_GB2312" w:eastAsia="仿宋_GB2312"/>
          <w:sz w:val="32"/>
          <w:szCs w:val="32"/>
          <w:highlight w:val="yellow"/>
        </w:rPr>
        <w:t>202</w:t>
      </w:r>
      <w:r>
        <w:rPr>
          <w:rFonts w:hint="eastAsia" w:ascii="仿宋_GB2312" w:eastAsia="仿宋_GB2312"/>
          <w:sz w:val="32"/>
          <w:szCs w:val="32"/>
          <w:highlight w:val="yellow"/>
          <w:lang w:val="en-US" w:eastAsia="zh-CN"/>
        </w:rPr>
        <w:t>2</w:t>
      </w:r>
      <w:r>
        <w:rPr>
          <w:rFonts w:hint="eastAsia" w:ascii="仿宋_GB2312" w:eastAsia="仿宋_GB2312"/>
          <w:sz w:val="32"/>
          <w:szCs w:val="32"/>
          <w:highlight w:val="yellow"/>
        </w:rPr>
        <w:t>年我单位共收入一般公共预算财政拨款6412.9万元。全年共支出6416.44万元，其中基本支出781.77万元，</w:t>
      </w:r>
      <w:r>
        <w:rPr>
          <w:rFonts w:hint="eastAsia" w:ascii="仿宋_GB2312" w:eastAsia="仿宋_GB2312"/>
          <w:sz w:val="32"/>
          <w:szCs w:val="32"/>
          <w:highlight w:val="yellow"/>
          <w:lang w:eastAsia="zh-CN"/>
        </w:rPr>
        <w:t>占总支出</w:t>
      </w:r>
      <w:r>
        <w:rPr>
          <w:rFonts w:hint="eastAsia" w:ascii="仿宋_GB2312" w:eastAsia="仿宋_GB2312"/>
          <w:sz w:val="32"/>
          <w:szCs w:val="32"/>
          <w:highlight w:val="yellow"/>
          <w:lang w:val="en-US" w:eastAsia="zh-CN"/>
        </w:rPr>
        <w:t>12.18%，</w:t>
      </w:r>
      <w:r>
        <w:rPr>
          <w:rFonts w:hint="eastAsia" w:ascii="仿宋_GB2312" w:eastAsia="仿宋_GB2312"/>
          <w:sz w:val="32"/>
          <w:szCs w:val="32"/>
          <w:highlight w:val="yellow"/>
          <w:lang w:eastAsia="zh-CN"/>
        </w:rPr>
        <w:t>基本支出中人员经费支出</w:t>
      </w:r>
      <w:r>
        <w:rPr>
          <w:rFonts w:hint="eastAsia" w:ascii="仿宋_GB2312" w:eastAsia="仿宋_GB2312"/>
          <w:sz w:val="32"/>
          <w:szCs w:val="32"/>
          <w:highlight w:val="yellow"/>
          <w:lang w:val="en-US" w:eastAsia="zh-CN"/>
        </w:rPr>
        <w:t>705.22万元，占基本支出90.21%，基本支出中日常公用经费支出76.55万元，占基本支出9.79%；</w:t>
      </w:r>
      <w:r>
        <w:rPr>
          <w:rFonts w:hint="eastAsia" w:ascii="仿宋_GB2312" w:eastAsia="仿宋_GB2312"/>
          <w:sz w:val="32"/>
          <w:szCs w:val="32"/>
          <w:highlight w:val="yellow"/>
        </w:rPr>
        <w:t>项目支出5634.68万元</w:t>
      </w:r>
      <w:r>
        <w:rPr>
          <w:rFonts w:hint="eastAsia" w:ascii="仿宋_GB2312" w:eastAsia="仿宋_GB2312"/>
          <w:sz w:val="32"/>
          <w:szCs w:val="32"/>
          <w:highlight w:val="yellow"/>
          <w:lang w:eastAsia="zh-CN"/>
        </w:rPr>
        <w:t>（列入决算的</w:t>
      </w:r>
      <w:r>
        <w:rPr>
          <w:rFonts w:hint="eastAsia" w:ascii="仿宋_GB2312" w:eastAsia="仿宋_GB2312"/>
          <w:sz w:val="32"/>
          <w:szCs w:val="32"/>
          <w:highlight w:val="yellow"/>
          <w:lang w:val="en-US" w:eastAsia="zh-CN"/>
        </w:rPr>
        <w:t>43个项目，其中1个为上年结转项目</w:t>
      </w:r>
      <w:r>
        <w:rPr>
          <w:rFonts w:hint="eastAsia" w:ascii="仿宋_GB2312" w:eastAsia="仿宋_GB2312"/>
          <w:sz w:val="32"/>
          <w:szCs w:val="32"/>
          <w:highlight w:val="yellow"/>
          <w:lang w:eastAsia="zh-CN"/>
        </w:rPr>
        <w:t>）占总支出</w:t>
      </w:r>
      <w:r>
        <w:rPr>
          <w:rFonts w:hint="eastAsia" w:ascii="仿宋_GB2312" w:eastAsia="仿宋_GB2312"/>
          <w:sz w:val="32"/>
          <w:szCs w:val="32"/>
          <w:highlight w:val="yellow"/>
          <w:lang w:val="en-US" w:eastAsia="zh-CN"/>
        </w:rPr>
        <w:t>87.82%。预算决算差异不大。</w:t>
      </w:r>
    </w:p>
    <w:p w14:paraId="054425F1">
      <w:pPr>
        <w:adjustRightInd w:val="0"/>
        <w:snapToGrid w:val="0"/>
        <w:spacing w:line="560" w:lineRule="exact"/>
        <w:ind w:firstLine="640" w:firstLineChars="200"/>
        <w:rPr>
          <w:rFonts w:ascii="黑体" w:hAnsi="黑体" w:eastAsia="黑体" w:cs="黑体"/>
          <w:sz w:val="32"/>
          <w:szCs w:val="32"/>
          <w:highlight w:val="none"/>
        </w:rPr>
      </w:pPr>
      <w:r>
        <w:rPr>
          <w:rFonts w:hint="eastAsia" w:ascii="黑体" w:hAnsi="黑体" w:eastAsia="黑体" w:cs="黑体"/>
          <w:sz w:val="32"/>
          <w:szCs w:val="32"/>
          <w:highlight w:val="none"/>
        </w:rPr>
        <w:t>二、绩效评价工作情况</w:t>
      </w:r>
    </w:p>
    <w:p w14:paraId="3A972281">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（一）绩效评价目的</w:t>
      </w:r>
    </w:p>
    <w:p w14:paraId="66E9F9FE">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贯彻落实《预算法》，严格执行省、市、区绩效管理工作有关规定，进一步规范财政资金管理，强化财政支出绩效理念，提升部门责任意识，提高资金使用效益，为保障全区政治、经济平稳发展保驾护航，不断提高人民群众的获得感、幸福感、安全感。</w:t>
      </w:r>
    </w:p>
    <w:p w14:paraId="06CAA4F1">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（二）绩效评价的主要过程</w:t>
      </w:r>
    </w:p>
    <w:p w14:paraId="32AA4683">
      <w:pPr>
        <w:snapToGrid w:val="0"/>
        <w:spacing w:line="560" w:lineRule="exact"/>
        <w:ind w:left="210" w:leftChars="100" w:firstLine="640" w:firstLineChars="200"/>
        <w:rPr>
          <w:rFonts w:ascii="仿宋" w:hAnsi="仿宋" w:eastAsia="仿宋" w:cs="宋体"/>
          <w:sz w:val="32"/>
          <w:szCs w:val="32"/>
          <w:highlight w:val="yellow"/>
        </w:rPr>
      </w:pPr>
      <w:r>
        <w:rPr>
          <w:rFonts w:hint="eastAsia" w:ascii="仿宋" w:hAnsi="仿宋" w:eastAsia="仿宋" w:cs="宋体"/>
          <w:sz w:val="32"/>
          <w:szCs w:val="32"/>
          <w:highlight w:val="none"/>
        </w:rPr>
        <w:t>根据绩效评价的要求，办公室指定专人负责本委绩效自评工作，项目各主管领导签批明确意见推动工作落实，各股室将分管资金结合自身工作将产出指标、效果指标、满意度指标等分解到具体完成的工作中进行客观、公正评价，真实反映资金使用效益，绩效自评覆盖率达到了100% 。我部共有项目5</w:t>
      </w:r>
      <w:r>
        <w:rPr>
          <w:rFonts w:hint="eastAsia" w:ascii="仿宋" w:hAnsi="仿宋" w:eastAsia="仿宋" w:cs="宋体"/>
          <w:sz w:val="32"/>
          <w:szCs w:val="32"/>
          <w:highlight w:val="none"/>
          <w:lang w:val="en-US" w:eastAsia="zh-CN"/>
        </w:rPr>
        <w:t>2</w:t>
      </w:r>
      <w:r>
        <w:rPr>
          <w:rFonts w:hint="eastAsia" w:ascii="仿宋" w:hAnsi="仿宋" w:eastAsia="仿宋" w:cs="宋体"/>
          <w:sz w:val="32"/>
          <w:szCs w:val="32"/>
          <w:highlight w:val="none"/>
        </w:rPr>
        <w:t>个，资金使用科室对项目实施过程全程管理，有效保证了管理制度健全性、制度执行有效性和项目质量可控性。</w:t>
      </w:r>
    </w:p>
    <w:p w14:paraId="46FE31C4">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三、主要绩效及评价结论</w:t>
      </w:r>
    </w:p>
    <w:p w14:paraId="2B580F2A">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主要绩效</w:t>
      </w:r>
    </w:p>
    <w:p w14:paraId="5C72D5EC">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一、提高政治站位，围绕中心大局贡献组织力量</w:t>
      </w:r>
    </w:p>
    <w:p w14:paraId="52F8403F">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将学习党的二十大精神纳入干部培训班次，作为“三会一课”和主题党日学习的重要内容，协调开展区委、区政府主要领导宣讲党的二十大精神活动，不断加强全区领导干部政治思想建设。组织编印《党的二十大精神及二十届一中全会学习“口袋书”》；科学调配在职干部党员奔赴抗疫一线，认真完成隔离保障和核酸检测分指挥部工作任务；全面加强与十届省委第八巡视组及选人用人专项检查组沟通对接，保持与区委办公室、区纪委监委机关等部门的密切配合，高标准做好协调服务工作，积极准备各类迎检档案；分发挥重点工作大督查作用，一杆子插到底，对发现问题实行清单管理、挂账销号，努力发挥对区委重点工作的督导推进作用。</w:t>
      </w:r>
    </w:p>
    <w:p w14:paraId="1881DC3C">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二、突出政治标准，建设忠诚干净担当的高素质干部队伍</w:t>
      </w:r>
    </w:p>
    <w:p w14:paraId="329129E6">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扎实开展2轮“实干兴石、组工争先”专题调研活动，努力确保“用好一个、带动一片”；深入城中村改造、廉西大街拆迁、商贸城拆迁、疫情防控等重点工作一线；把从严监督贯穿干部选育管用全过程，营造风清气正的政治生态。每月督促《干部监督联席会议制度》成员单位开展干部监督情况，共收集问题线索106条；加强到村任职选调生管理，组织开展集中学习10余次，到平山县等地观摩学习先进基层治理经验2次，开展关心关爱社会群体活动5次；以季度为周期组织开展“对标赶超亮比创”活动，将考评方式创新优化为“指标考核+现场观摩+登台亮比”相结合，考评结果与年度考核、干部使用挂钩；制定疫情防控、经济发展、平安建设三个专项考核办法，作为考核评价指标纳入到“对标赶超亮比创”季度考评体系。每半年开展“百名股长”考评活动，多渠道向社会公布考评结果；指导各级单位落实“周一夜研”“周五学习”制度。依托“周末”大讲堂、“职能业务”大讲堂和“主业主课”大讲堂扎实开展本级培训，今年本级举办实体班次和网络培训等各类培训班15期、4614人次；严格落实干部人事档案日常管理各项制度，2022年共接收档案266卷，转出350卷，办理档案查借阅业务2300余人次；结合春节、国庆和重阳等重要节点，走访慰问离退休干部260余人次，组建党的二十大精神老干部宣讲团，对老干部活动中心进行修缮，逐步改善老干部活动环境。建立“藁城老干部”微信公众号，发布各类信息动态40余条。</w:t>
      </w:r>
    </w:p>
    <w:p w14:paraId="6B80682A">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三、树立鲜明导向，持续提升党建引领基层治理能力水平</w:t>
      </w:r>
    </w:p>
    <w:p w14:paraId="44B49D00">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开展村“两委”换届“回头看”，推动19个村问题化解销号；建立区级每两月一次、乡镇每月一次基层党建观摩拉练制度，开展“实干兴石 村社争先”擂台赛，营造拼搏竞进氛围，我区2名村书记被评为省“千名好支书”。深入开展“联百村、结千亲、惠万民”活动；安排77名社区党组织书记参加省、市培训，开展社区工作者轮训8期、社区“两委”干部履职培训3期。持续推动“六红”创建，成立红色社区社会组织120个、红色志愿服务队130支，征集认领“微心愿”100个，配备专职网格员320名，推广“红色管家”11534人。开展“一单位一品牌一队伍”创建工作，重点培育党建品牌10个；精选30名党组织书记组成“金牌名师团”，开展“三培养”工程，两新党组织书记与负责人“一人兼”270个，比上年度提高5个百分点；采取线上线下相结合方式，对基层党组织书记和党务工作人员进行“全覆盖”培训5.2万余人次；高标准组织召开党史学习教育和优化营商环境民主生活会和组织生活会；先后制作《聚力党建 创美丽社区——廉州镇系井社区党建工作纪实》《永远跟党走 启航新征程——石家庄市藁城区南董镇南大章工作纪实》等电教片，全部完成256个远教站点改造升级；在元旦春节、七一期间慰问老党员、生活困难党员842人，发放慰问品、慰问金95.47万元，为453名老党员发放了“光荣在党50年”纪念章。</w:t>
      </w:r>
    </w:p>
    <w:p w14:paraId="53184A44">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四、坚持党管人才，全面加强人才队伍建设</w:t>
      </w:r>
    </w:p>
    <w:p w14:paraId="2F1F6FFA">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围绕《藁城区支持科技创新和人才引进培养政策18条》，协调区财政保障政策落实。落实区四大班子领导联系服务专家人才制度，定期走访慰问；做好本土高端人才培育，评选第22批区管拔尖人才16名。全区现有石家庄市人才绿卡A卡人才31名、2022年新增11名，B卡人才394名、2022年新增78名，区卡人才3795名、2022年新增1253名；全面落实《石家庄市藁城区人才绿卡管理办法》，2022年共发放租房补贴710.3万元。定期举办“校企联盟”交流合作洽谈会，为企业订单式培养人才500名。多次组织辖区内企业到省内外高校招引人才，开展“直播带岗”线上招聘11次，提供就业岗位420余个。深化校地校企合作，先后与长安大学、西北农林科技大学等18家高校签署合作协议，建设石家庄经济技术开发区科技创业孵化园；将人才绿卡服务联盟商家扩展到78家，让人才感受到藁城的温度。设立藁城区人才驿站，联合区总工会成立人才活动中心；实施“引凤还巢”人才工程，建立藁城籍专家学子库；实施“青雁归巢”人才工程，利用节假日开展“高校学子家乡行”活动15次。</w:t>
      </w:r>
    </w:p>
    <w:p w14:paraId="3DD1F767">
      <w:pPr>
        <w:snapToGrid w:val="0"/>
        <w:spacing w:line="560" w:lineRule="exact"/>
        <w:ind w:left="210" w:leftChars="100" w:firstLine="640" w:firstLineChars="200"/>
        <w:rPr>
          <w:rFonts w:hint="eastAsia" w:ascii="仿宋" w:hAnsi="仿宋" w:eastAsia="仿宋" w:cs="宋体"/>
          <w:sz w:val="32"/>
          <w:szCs w:val="32"/>
        </w:rPr>
      </w:pPr>
      <w:r>
        <w:rPr>
          <w:rFonts w:hint="eastAsia" w:ascii="仿宋" w:hAnsi="仿宋" w:eastAsia="仿宋" w:cs="宋体"/>
          <w:sz w:val="32"/>
          <w:szCs w:val="32"/>
        </w:rPr>
        <w:t>评价结论</w:t>
      </w:r>
    </w:p>
    <w:p w14:paraId="4188A132">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根据项目执行情况和项目绩效情况，人才绿卡住房补贴等5</w:t>
      </w:r>
      <w:r>
        <w:rPr>
          <w:rFonts w:hint="eastAsia" w:ascii="仿宋" w:hAnsi="仿宋" w:eastAsia="仿宋" w:cs="宋体"/>
          <w:sz w:val="32"/>
          <w:szCs w:val="32"/>
          <w:lang w:val="en-US" w:eastAsia="zh-CN"/>
        </w:rPr>
        <w:t>2</w:t>
      </w:r>
      <w:r>
        <w:rPr>
          <w:rFonts w:hint="eastAsia" w:ascii="仿宋" w:hAnsi="仿宋" w:eastAsia="仿宋" w:cs="宋体"/>
          <w:sz w:val="32"/>
          <w:szCs w:val="32"/>
        </w:rPr>
        <w:t>个项目绩效评价得分全部都在90分以上，评价等级全部为优秀。</w:t>
      </w:r>
    </w:p>
    <w:p w14:paraId="06FE3C65">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四、存在问题</w:t>
      </w:r>
    </w:p>
    <w:p w14:paraId="2BED462B">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 w:hAnsi="仿宋" w:eastAsia="仿宋" w:cs="宋体"/>
          <w:sz w:val="32"/>
          <w:szCs w:val="32"/>
        </w:rPr>
        <w:t>1、少数项目预算资金稍有出入，年终需要进行调整，但差额较小。比如我们的人才绿卡住房补贴,原因是执行过程中区人才绿卡持卡</w:t>
      </w:r>
      <w:r>
        <w:rPr>
          <w:rFonts w:hint="eastAsia" w:ascii="仿宋_GB2312" w:hAnsi="仿宋_GB2312" w:eastAsia="仿宋_GB2312" w:cs="仿宋_GB2312"/>
          <w:sz w:val="32"/>
          <w:szCs w:val="32"/>
          <w:lang w:eastAsia="zh-CN"/>
        </w:rPr>
        <w:t>者中符合房租补贴发放标准者人数</w:t>
      </w:r>
      <w:r>
        <w:rPr>
          <w:rFonts w:hint="eastAsia" w:ascii="仿宋_GB2312" w:hAnsi="仿宋_GB2312" w:eastAsia="仿宋_GB2312" w:cs="仿宋_GB2312"/>
          <w:sz w:val="32"/>
          <w:szCs w:val="32"/>
        </w:rPr>
        <w:t>是一个动态数据，每年有新增及离职，而每年预算依据上年数测算,导致出现误差.因此会产生实际发放人才绿卡住房补贴支出数与预算有时略有出入。</w:t>
      </w:r>
      <w:r>
        <w:rPr>
          <w:rFonts w:hint="eastAsia" w:ascii="仿宋" w:hAnsi="仿宋" w:eastAsia="仿宋" w:cs="宋体"/>
          <w:sz w:val="32"/>
          <w:szCs w:val="32"/>
        </w:rPr>
        <w:t>但是差额数据不大，如果有剩余，退回国库；为了更好的服务我区持卡人才,我们将在</w:t>
      </w:r>
      <w:r>
        <w:rPr>
          <w:rFonts w:hint="eastAsia" w:ascii="仿宋_GB2312" w:hAnsi="仿宋_GB2312" w:eastAsia="仿宋_GB2312" w:cs="仿宋_GB2312"/>
          <w:sz w:val="32"/>
          <w:szCs w:val="32"/>
        </w:rPr>
        <w:t>每季度发放人才绿卡住房补贴时，提前在人才平台发布信息，让我区符合申领条件持卡人才都能及时主动申领人才绿卡住房补贴。</w:t>
      </w:r>
    </w:p>
    <w:p w14:paraId="6E10C2A1">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五、改进措施</w:t>
      </w:r>
    </w:p>
    <w:p w14:paraId="2701A38F">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1、加强项目绩效认识。提高机关及分管人员对绩效管理及预算资金使用效益的认识，把预算资金是否发挥使用效益与各岗位是否履职尽责相结合。</w:t>
      </w:r>
    </w:p>
    <w:p w14:paraId="1DA83E8C">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2、加强预算绩效管理。进一步加强机关预算资金管理，减少预算资金使用的随意性，对预算的事前、事中、事后进行全过程控制，加大对预算编制与执行的监督管理力度，提高预算资金使用效率。</w:t>
      </w:r>
    </w:p>
    <w:p w14:paraId="08C1D984">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3、加强项目实施监控。加强对项目实施进度的实时监控， 对项目实施过程中进度异常、实施范围调整等情况及时按照流程报批。</w:t>
      </w:r>
    </w:p>
    <w:p w14:paraId="4CC28293">
      <w:pPr>
        <w:adjustRightInd w:val="0"/>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六、其他需要说明的问题及有关建议</w:t>
      </w:r>
    </w:p>
    <w:p w14:paraId="764E4630">
      <w:pPr>
        <w:snapToGrid w:val="0"/>
        <w:spacing w:line="560" w:lineRule="exact"/>
        <w:ind w:left="210" w:leftChars="100" w:firstLine="640" w:firstLineChars="200"/>
        <w:rPr>
          <w:rFonts w:ascii="仿宋" w:hAnsi="仿宋" w:eastAsia="仿宋" w:cs="宋体"/>
          <w:sz w:val="32"/>
          <w:szCs w:val="32"/>
        </w:rPr>
      </w:pPr>
      <w:r>
        <w:rPr>
          <w:rFonts w:hint="eastAsia" w:ascii="仿宋" w:hAnsi="仿宋" w:eastAsia="仿宋" w:cs="宋体"/>
          <w:sz w:val="32"/>
          <w:szCs w:val="32"/>
        </w:rPr>
        <w:t xml:space="preserve">  无</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4C7F7">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AFB0A8">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FAFB0A8">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28036C09"/>
    <w:rsid w:val="00133C82"/>
    <w:rsid w:val="00384F12"/>
    <w:rsid w:val="004C3AA8"/>
    <w:rsid w:val="004E75C0"/>
    <w:rsid w:val="007F6A4D"/>
    <w:rsid w:val="00A54408"/>
    <w:rsid w:val="00A652F8"/>
    <w:rsid w:val="066427FC"/>
    <w:rsid w:val="09654FA7"/>
    <w:rsid w:val="09AF0CC1"/>
    <w:rsid w:val="0F692080"/>
    <w:rsid w:val="1054175F"/>
    <w:rsid w:val="14BE3C2A"/>
    <w:rsid w:val="17BA70E2"/>
    <w:rsid w:val="18D963AE"/>
    <w:rsid w:val="19266AB6"/>
    <w:rsid w:val="192A4E77"/>
    <w:rsid w:val="1B0D21CC"/>
    <w:rsid w:val="1CAE0268"/>
    <w:rsid w:val="1CB73A86"/>
    <w:rsid w:val="1F8A4D29"/>
    <w:rsid w:val="20FA786D"/>
    <w:rsid w:val="22AC3903"/>
    <w:rsid w:val="23256DAA"/>
    <w:rsid w:val="25C34F75"/>
    <w:rsid w:val="28036C09"/>
    <w:rsid w:val="2921713E"/>
    <w:rsid w:val="2B690600"/>
    <w:rsid w:val="2C5A0095"/>
    <w:rsid w:val="2D0B44F8"/>
    <w:rsid w:val="31480F91"/>
    <w:rsid w:val="322446DF"/>
    <w:rsid w:val="33534E1A"/>
    <w:rsid w:val="33CE1740"/>
    <w:rsid w:val="34714C5A"/>
    <w:rsid w:val="35843BC7"/>
    <w:rsid w:val="3663183C"/>
    <w:rsid w:val="38D33EF9"/>
    <w:rsid w:val="390A53F7"/>
    <w:rsid w:val="39240CF0"/>
    <w:rsid w:val="3A893E0F"/>
    <w:rsid w:val="3C001B4C"/>
    <w:rsid w:val="3DB07588"/>
    <w:rsid w:val="4038405D"/>
    <w:rsid w:val="427C68CE"/>
    <w:rsid w:val="4455188C"/>
    <w:rsid w:val="44E81CBA"/>
    <w:rsid w:val="45D92FA8"/>
    <w:rsid w:val="464C53F9"/>
    <w:rsid w:val="473D6B48"/>
    <w:rsid w:val="48980FC5"/>
    <w:rsid w:val="49994530"/>
    <w:rsid w:val="52501468"/>
    <w:rsid w:val="52784277"/>
    <w:rsid w:val="539C2AB2"/>
    <w:rsid w:val="53A97137"/>
    <w:rsid w:val="57936571"/>
    <w:rsid w:val="589A73D7"/>
    <w:rsid w:val="59CB5002"/>
    <w:rsid w:val="59E408CF"/>
    <w:rsid w:val="5C060F3A"/>
    <w:rsid w:val="5FB55E21"/>
    <w:rsid w:val="62C27807"/>
    <w:rsid w:val="63FA096B"/>
    <w:rsid w:val="65356B45"/>
    <w:rsid w:val="6546011A"/>
    <w:rsid w:val="692F6D56"/>
    <w:rsid w:val="69FE2080"/>
    <w:rsid w:val="6D3520A4"/>
    <w:rsid w:val="6DE739B3"/>
    <w:rsid w:val="6E65667E"/>
    <w:rsid w:val="70315121"/>
    <w:rsid w:val="711C11AF"/>
    <w:rsid w:val="714676DB"/>
    <w:rsid w:val="73EE1C81"/>
    <w:rsid w:val="74815FBF"/>
    <w:rsid w:val="74A867A0"/>
    <w:rsid w:val="758B6996"/>
    <w:rsid w:val="77E50BE0"/>
    <w:rsid w:val="78BD5BB6"/>
    <w:rsid w:val="7BB25C7B"/>
    <w:rsid w:val="7CCC314E"/>
    <w:rsid w:val="7CD24584"/>
    <w:rsid w:val="7D537F4B"/>
    <w:rsid w:val="7E0C5B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4">
    <w:name w:val="Body Text"/>
    <w:basedOn w:val="1"/>
    <w:qFormat/>
    <w:uiPriority w:val="1"/>
    <w:rPr>
      <w:rFonts w:ascii="仿宋" w:hAnsi="仿宋" w:eastAsia="仿宋" w:cs="仿宋"/>
      <w:sz w:val="32"/>
      <w:szCs w:val="32"/>
      <w:lang w:val="zh-CN" w:bidi="zh-CN"/>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rPr>
  </w:style>
  <w:style w:type="paragraph" w:customStyle="1" w:styleId="10">
    <w:name w:val="_Style 1"/>
    <w:qFormat/>
    <w:uiPriority w:val="99"/>
    <w:pPr>
      <w:widowControl w:val="0"/>
      <w:jc w:val="both"/>
    </w:pPr>
    <w:rPr>
      <w:rFonts w:ascii="宋体" w:hAnsi="Times New Roman" w:eastAsia="宋体" w:cs="宋体"/>
      <w:kern w:val="2"/>
      <w:sz w:val="32"/>
      <w:szCs w:val="32"/>
      <w:lang w:val="en-US" w:eastAsia="zh-CN" w:bidi="ar-SA"/>
    </w:rPr>
  </w:style>
  <w:style w:type="paragraph" w:customStyle="1" w:styleId="11">
    <w:name w:val="插入文本样式-插入部门职责文件"/>
    <w:basedOn w:val="1"/>
    <w:qFormat/>
    <w:uiPriority w:val="0"/>
    <w:pPr>
      <w:spacing w:line="500" w:lineRule="exact"/>
      <w:ind w:firstLine="560"/>
      <w:jc w:val="left"/>
    </w:pPr>
    <w:rPr>
      <w:rFonts w:eastAsia="方正仿宋_GBK"/>
      <w:sz w:val="28"/>
    </w:rPr>
  </w:style>
  <w:style w:type="character" w:customStyle="1" w:styleId="12">
    <w:name w:val="页脚 Char"/>
    <w:basedOn w:val="9"/>
    <w:link w:val="5"/>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HP</Company>
  <Pages>18</Pages>
  <Words>9007</Words>
  <Characters>9414</Characters>
  <Lines>2</Lines>
  <Paragraphs>10</Paragraphs>
  <TotalTime>77</TotalTime>
  <ScaleCrop>false</ScaleCrop>
  <LinksUpToDate>false</LinksUpToDate>
  <CharactersWithSpaces>9424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2022-04-20T02:44:00Z</dcterms:created>
  <dc:creator>z</dc:creator>
  <cp:lastModifiedBy> </cp:lastModifiedBy>
  <cp:lastPrinted>2023-04-23T01:23:00Z</cp:lastPrinted>
  <dcterms:modified xsi:type="dcterms:W3CDTF">2024-09-19T11:18:44Z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FF808D66ACF94C9CACA5A8E7BD874414</vt:lpwstr>
  </property>
</Properties>
</file>