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textAlignment w:val="auto"/>
        <w:outlineLvl w:val="9"/>
        <w:rPr>
          <w:rFonts w:ascii="仿宋" w:hAnsi="仿宋" w:eastAsia="仿宋" w:cs="仿宋"/>
          <w:kern w:val="0"/>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4</w:t>
      </w:r>
    </w:p>
    <w:p>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lang w:val="en-US" w:eastAsia="zh-CN"/>
        </w:rPr>
      </w:pPr>
      <w:r>
        <w:rPr>
          <w:rFonts w:hint="eastAsia" w:ascii="宋体" w:hAnsi="宋体" w:cs="宋体"/>
          <w:b/>
          <w:bCs/>
          <w:kern w:val="0"/>
          <w:sz w:val="44"/>
          <w:szCs w:val="44"/>
          <w:lang w:eastAsia="zh-CN"/>
        </w:rPr>
        <w:t>石家庄市藁城区人民</w:t>
      </w:r>
      <w:r>
        <w:rPr>
          <w:rFonts w:hint="eastAsia" w:ascii="宋体" w:hAnsi="宋体" w:cs="宋体"/>
          <w:b/>
          <w:bCs/>
          <w:kern w:val="0"/>
          <w:sz w:val="44"/>
          <w:szCs w:val="44"/>
          <w:lang w:val="en-US" w:eastAsia="zh-CN"/>
        </w:rPr>
        <w:t>检察院</w:t>
      </w:r>
    </w:p>
    <w:p>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lang w:val="en-US" w:eastAsia="zh-CN"/>
        </w:rPr>
        <w:t>2022</w:t>
      </w:r>
      <w:r>
        <w:rPr>
          <w:rFonts w:hint="eastAsia" w:ascii="宋体" w:hAnsi="宋体" w:cs="宋体"/>
          <w:b/>
          <w:bCs/>
          <w:kern w:val="0"/>
          <w:sz w:val="44"/>
          <w:szCs w:val="44"/>
        </w:rPr>
        <w:t>年度</w:t>
      </w:r>
      <w:r>
        <w:rPr>
          <w:rFonts w:hint="eastAsia" w:ascii="宋体" w:hAnsi="宋体" w:cs="宋体"/>
          <w:b/>
          <w:bCs/>
          <w:kern w:val="0"/>
          <w:sz w:val="44"/>
          <w:szCs w:val="44"/>
          <w:lang w:eastAsia="zh-CN"/>
        </w:rPr>
        <w:t>整体支出</w:t>
      </w:r>
      <w:r>
        <w:rPr>
          <w:rFonts w:hint="eastAsia" w:ascii="宋体" w:hAnsi="宋体" w:cs="宋体"/>
          <w:b/>
          <w:bCs/>
          <w:sz w:val="44"/>
          <w:szCs w:val="44"/>
        </w:rPr>
        <w:t>绩效自评工作报告</w:t>
      </w:r>
    </w:p>
    <w:p>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石家庄市藁城区人民检察院单位性质为行政单位，经费形式为财政拨款。</w:t>
      </w:r>
      <w:r>
        <w:rPr>
          <w:rFonts w:hint="eastAsia" w:ascii="仿宋" w:hAnsi="仿宋" w:eastAsia="仿宋" w:cs="仿宋"/>
          <w:sz w:val="32"/>
          <w:szCs w:val="32"/>
        </w:rPr>
        <w:t>石家庄市藁城区人民检察院的主要职责是：</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(一)</w:t>
      </w:r>
      <w:r>
        <w:rPr>
          <w:rFonts w:hint="eastAsia" w:ascii="仿宋" w:hAnsi="仿宋" w:eastAsia="仿宋" w:cs="仿宋"/>
          <w:sz w:val="32"/>
          <w:szCs w:val="32"/>
        </w:rPr>
        <w:t>深入贯彻习近平新时代中国特色社会主义思想，深入贯彻党的路线方针和决策部署,坚持党对检察工作的绝对领导,坚决维护习近平总书记的核心地位,坚决维护党中央权威和集中统一领导。</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(二)依法向区人民代表大会及其常务委员会提出议案。</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(三)贯彻落实检察工作方针、总体规划,研究制定检察工作计划并组织实施。</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(四)依照法律规定对直接受理的刑事案件行使侦查权。</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(五)负责对管辖的各类刑事案件依法审查批准逮捕、决定逮捕、提起公诉。</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(六)负责应由本院承办的刑事、民事、行政诉讼活动及刑事、民事、行政判决和裁定等生效法律文书执行的法律监督工作。</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(七)负责应由本院承办的提起公益诉讼工作。</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(八)依法受理核准追诉案件,审查是否上报。</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(九)负责应由本院承办的对看守所、社区矫正等执法活动的法律监督工作。</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(十)受理向本院的控告申诉。</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(十一)组织检察工作中法律政策具体应用</w:t>
      </w:r>
      <w:r>
        <w:rPr>
          <w:rFonts w:hint="eastAsia" w:ascii="仿宋" w:hAnsi="仿宋" w:eastAsia="仿宋" w:cs="仿宋"/>
          <w:sz w:val="32"/>
          <w:szCs w:val="32"/>
          <w:lang w:eastAsia="zh-CN"/>
        </w:rPr>
        <w:t>问题</w:t>
      </w:r>
      <w:r>
        <w:rPr>
          <w:rFonts w:hint="eastAsia" w:ascii="仿宋" w:hAnsi="仿宋" w:eastAsia="仿宋" w:cs="仿宋"/>
          <w:sz w:val="32"/>
          <w:szCs w:val="32"/>
        </w:rPr>
        <w:t>的研究;组织开展检察理论研究工作。</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(十二)负责检察人员思想政治教育和业务培训工作;按照权限管理检察官和其他工作人员。</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(十三)负责本院检务督察工作。</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(十四)负责本院检务保障以及检察技术、信息化建设工作。</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(十五)完成其他应当由本院负责的工作</w:t>
      </w:r>
      <w:r>
        <w:rPr>
          <w:rFonts w:hint="eastAsia" w:ascii="仿宋" w:hAnsi="仿宋" w:eastAsia="仿宋" w:cs="仿宋"/>
          <w:sz w:val="32"/>
          <w:szCs w:val="32"/>
          <w:lang w:eastAsia="zh-CN"/>
        </w:rPr>
        <w:t>。</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部门整体支出绩效目标：</w:t>
      </w:r>
      <w:r>
        <w:rPr>
          <w:rFonts w:hint="eastAsia" w:ascii="仿宋" w:hAnsi="仿宋" w:eastAsia="仿宋" w:cs="仿宋"/>
          <w:sz w:val="32"/>
          <w:szCs w:val="32"/>
          <w:lang w:val="en-US" w:eastAsia="zh-CN"/>
        </w:rPr>
        <w:t>要以时不我待的紧迫感、只争朝夕的责任感，坚持以习近平新时代中国特色社会主义思想特别是习近平法治思想为指导，深入贯彻落实十九届五中全会精神，聚焦法律监督主责主业，大力加强检察队伍建设，服务保障全区经济社会发展大局。更要坚持问题导向，着力补齐短板，深入贯彻落实上级院各项工作部署，着力深化司法体制改革，构建执法司法制约监督体系，进一步统一执法标准,规范办案行为，提高办案质效。全面提升检察工作水平，全力推进刑事检察、民事检察、行政检察、公益诉讼检察工作持续健康发展，扎实推进教育整顿工作，打造高素质过硬检察队伍，以优质的检察业务能力积极顺应人民群众日益增长的司法需求，努力增强人民群众的获得感、幸福感、安全感。</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预算安排及资金拨付情况：2022年预算收入</w:t>
      </w:r>
      <w:r>
        <w:rPr>
          <w:rFonts w:hint="eastAsia" w:ascii="仿宋" w:hAnsi="仿宋" w:eastAsia="仿宋" w:cs="仿宋"/>
          <w:sz w:val="32"/>
          <w:szCs w:val="32"/>
          <w:lang w:val="en-US" w:eastAsia="zh-CN"/>
        </w:rPr>
        <w:t>1798.89</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1798.89</w:t>
      </w:r>
      <w:r>
        <w:rPr>
          <w:rFonts w:hint="eastAsia" w:ascii="仿宋" w:hAnsi="仿宋" w:eastAsia="仿宋" w:cs="仿宋"/>
          <w:sz w:val="32"/>
          <w:szCs w:val="32"/>
        </w:rPr>
        <w:t>万元，基金预算收入0万元，财政专户核拨收入0万元，其他来源收入0万元。</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2022年部门支出预算为</w:t>
      </w:r>
      <w:r>
        <w:rPr>
          <w:rFonts w:hint="eastAsia" w:ascii="仿宋" w:hAnsi="仿宋" w:eastAsia="仿宋" w:cs="仿宋"/>
          <w:sz w:val="32"/>
          <w:szCs w:val="32"/>
          <w:lang w:val="en-US" w:eastAsia="zh-CN"/>
        </w:rPr>
        <w:t>1798.89</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1288.56</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1143</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145.55</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510.34</w:t>
      </w:r>
      <w:r>
        <w:rPr>
          <w:rFonts w:hint="eastAsia" w:ascii="仿宋" w:hAnsi="仿宋" w:eastAsia="仿宋" w:cs="仿宋"/>
          <w:sz w:val="32"/>
          <w:szCs w:val="32"/>
        </w:rPr>
        <w:t>万元。项目所有开支均按照有关规定执行，资金的使用严格把关，整个项目的运行完全按照我院内部管理制度有关规定执行。各个项目资金的使用与具体项目实施内容相符，绩效总目标和阶段性目标都已完成。</w:t>
      </w:r>
    </w:p>
    <w:p>
      <w:pPr>
        <w:widowControl w:val="0"/>
        <w:wordWrap/>
        <w:adjustRightInd/>
        <w:snapToGrid w:val="0"/>
        <w:spacing w:line="560" w:lineRule="exact"/>
        <w:ind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二、绩效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widowControl w:val="0"/>
        <w:wordWrap/>
        <w:adjustRightInd/>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eastAsia="zh-CN"/>
        </w:rPr>
        <w:t>我院</w:t>
      </w:r>
      <w:r>
        <w:rPr>
          <w:rFonts w:hint="eastAsia" w:ascii="仿宋" w:hAnsi="仿宋" w:eastAsia="仿宋"/>
          <w:sz w:val="32"/>
          <w:szCs w:val="32"/>
        </w:rPr>
        <w:t>成立绩效评价小组，对20</w:t>
      </w:r>
      <w:r>
        <w:rPr>
          <w:rFonts w:hint="eastAsia" w:ascii="仿宋" w:hAnsi="仿宋" w:eastAsia="仿宋"/>
          <w:sz w:val="32"/>
          <w:szCs w:val="32"/>
          <w:lang w:val="en-US" w:eastAsia="zh-CN"/>
        </w:rPr>
        <w:t>22</w:t>
      </w:r>
      <w:r>
        <w:rPr>
          <w:rFonts w:hint="eastAsia" w:ascii="仿宋" w:hAnsi="仿宋" w:eastAsia="仿宋"/>
          <w:sz w:val="32"/>
          <w:szCs w:val="32"/>
        </w:rPr>
        <w:t>年度</w:t>
      </w:r>
      <w:r>
        <w:rPr>
          <w:rFonts w:hint="eastAsia" w:ascii="仿宋" w:hAnsi="仿宋" w:eastAsia="仿宋"/>
          <w:sz w:val="32"/>
          <w:szCs w:val="32"/>
          <w:lang w:eastAsia="zh-CN"/>
        </w:rPr>
        <w:t>的</w:t>
      </w:r>
      <w:r>
        <w:rPr>
          <w:rFonts w:hint="eastAsia" w:ascii="仿宋" w:hAnsi="仿宋" w:eastAsia="仿宋"/>
          <w:sz w:val="32"/>
          <w:szCs w:val="32"/>
          <w:lang w:val="en-US" w:eastAsia="zh-CN"/>
        </w:rPr>
        <w:t>办案业务费、城中村改造驻村工作组经费补助、检察辅助人员工资、检察院法警加班及执勤补贴、检察工作人员工作日之外加班补贴、石财行[2021]55号关于提前下达2022年中央政法纪检监察转移支付资金的通知（检察院）、石财行[2022]13号关于下达2022年第二批中央政法转移支付资金的通知、石财行[2022]13号关于下达2022年第二批中央政法转移支付资金的通知（扫黑除恶）、石财行[2022]1号关于下达2022年省级基层公检法司转移支付资金的通知、石财行[2022]13号关于下达2022年第二批中央政法转移支付资金的通知（司法救助）、追加辅助人员工资等项目财</w:t>
      </w:r>
      <w:r>
        <w:rPr>
          <w:rFonts w:hint="eastAsia" w:ascii="仿宋" w:hAnsi="仿宋" w:eastAsia="仿宋"/>
          <w:sz w:val="32"/>
          <w:szCs w:val="32"/>
        </w:rPr>
        <w:t>政支出的经济性、效率性及效益性进行重点评价，针对评价内容做出分析及合理化建议</w:t>
      </w:r>
      <w:r>
        <w:rPr>
          <w:rFonts w:hint="eastAsia" w:ascii="仿宋" w:hAnsi="仿宋" w:eastAsia="仿宋"/>
          <w:sz w:val="32"/>
          <w:szCs w:val="32"/>
          <w:lang w:eastAsia="zh-CN"/>
        </w:rPr>
        <w:t>，并</w:t>
      </w:r>
      <w:r>
        <w:rPr>
          <w:rFonts w:hint="eastAsia" w:ascii="仿宋" w:hAnsi="仿宋" w:eastAsia="仿宋"/>
          <w:sz w:val="32"/>
          <w:szCs w:val="32"/>
        </w:rPr>
        <w:t>通过主要负责人和主管科室对</w:t>
      </w:r>
      <w:r>
        <w:rPr>
          <w:rFonts w:hint="eastAsia" w:ascii="仿宋" w:hAnsi="仿宋" w:eastAsia="仿宋"/>
          <w:sz w:val="32"/>
          <w:szCs w:val="32"/>
          <w:lang w:eastAsia="zh-CN"/>
        </w:rPr>
        <w:t>以上</w:t>
      </w:r>
      <w:r>
        <w:rPr>
          <w:rFonts w:hint="eastAsia" w:ascii="仿宋" w:hAnsi="仿宋" w:eastAsia="仿宋"/>
          <w:sz w:val="32"/>
          <w:szCs w:val="32"/>
        </w:rPr>
        <w:t>项目经费的使用情况开展绩效评价。</w:t>
      </w:r>
    </w:p>
    <w:p>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部门整体支出绩效目标实现情况及指标分析</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2022年我部门整体绩效目标完成情况良好，保障了各项检察工作顺利开展。其中：</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bCs/>
          <w:sz w:val="32"/>
          <w:szCs w:val="32"/>
          <w:lang w:val="en-US" w:eastAsia="zh-CN"/>
        </w:rPr>
        <w:t>1.产出指标完成情况分析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highlight w:val="none"/>
        </w:rPr>
      </w:pP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1）数量指标：</w:t>
      </w:r>
      <w:r>
        <w:rPr>
          <w:rFonts w:hint="eastAsia" w:ascii="仿宋" w:hAnsi="仿宋" w:eastAsia="仿宋"/>
          <w:sz w:val="32"/>
          <w:szCs w:val="32"/>
          <w:highlight w:val="none"/>
        </w:rPr>
        <w:t>本院全年办理案</w:t>
      </w:r>
      <w:r>
        <w:rPr>
          <w:rFonts w:hint="eastAsia" w:ascii="仿宋" w:hAnsi="仿宋" w:eastAsia="仿宋"/>
          <w:sz w:val="32"/>
          <w:szCs w:val="32"/>
          <w:highlight w:val="none"/>
          <w:lang w:val="en-US" w:eastAsia="zh-CN"/>
        </w:rPr>
        <w:t>件1100余</w:t>
      </w:r>
      <w:r>
        <w:rPr>
          <w:rFonts w:hint="eastAsia" w:ascii="仿宋" w:hAnsi="仿宋" w:eastAsia="仿宋"/>
          <w:sz w:val="32"/>
          <w:szCs w:val="32"/>
          <w:highlight w:val="none"/>
        </w:rPr>
        <w:t>件，</w:t>
      </w:r>
      <w:r>
        <w:rPr>
          <w:rFonts w:hint="eastAsia" w:ascii="仿宋" w:hAnsi="仿宋" w:eastAsia="仿宋" w:cs="仿宋"/>
          <w:b w:val="0"/>
          <w:bCs w:val="0"/>
          <w:sz w:val="32"/>
          <w:szCs w:val="32"/>
          <w:highlight w:val="none"/>
          <w:lang w:val="en-US" w:eastAsia="zh-CN"/>
        </w:rPr>
        <w:t>严厉打击故意杀人、抢劫等严重暴力犯罪，依法惩治盗窃、诈骗、敲诈勒索等多发性侵财犯罪，依法打击聚众斗殴、寻衅滋事、帮信等严重扰乱社会秩序犯罪。按购置计划采购率达100%。</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highlight w:val="none"/>
          <w:lang w:val="en-US" w:eastAsia="zh-CN"/>
        </w:rPr>
      </w:pP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2）质量指标：严格按照预算支出，购置质量合格率100%，购置验收通过率100%，案件合格率超过95</w:t>
      </w:r>
      <w:r>
        <w:rPr>
          <w:rFonts w:ascii="仿宋" w:hAnsi="仿宋" w:eastAsia="仿宋"/>
          <w:sz w:val="32"/>
          <w:szCs w:val="32"/>
          <w:highlight w:val="none"/>
        </w:rPr>
        <w:t>%</w:t>
      </w: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让群众在每个案件中感受到公平正义。</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lang w:val="en-US"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3）时效指标：设备购置按期完成，经费保障及时率达100%，案件办结率超过95%，保障检察工作顺利开展。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（4）成本指标：项目支出成本均在预算范围内进行，不存在超出预算的情况，采购成本控制率达到95%。</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b/>
          <w:bCs/>
          <w:sz w:val="32"/>
          <w:szCs w:val="32"/>
          <w:lang w:val="en-US" w:eastAsia="zh-CN"/>
        </w:rPr>
        <w:t>2.</w:t>
      </w:r>
      <w:r>
        <w:rPr>
          <w:rFonts w:hint="eastAsia" w:ascii="仿宋" w:hAnsi="仿宋" w:eastAsia="仿宋" w:cs="仿宋"/>
          <w:b/>
          <w:bCs/>
          <w:sz w:val="32"/>
          <w:szCs w:val="32"/>
          <w:lang w:val="en-US" w:eastAsia="zh-CN"/>
        </w:rPr>
        <w:t>效益指标完成情况分析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社会效益指标：化解社会矛盾，为经济发展提供了良好环境。扎实做好信访维稳工作，152件群众信访“件件有回复”；办理司法救助案件39件，向生活困难的当事人发放救助金34.8万元；常态化推进扫黑除恶斗争，严厉打击各类违法犯罪行为，努力让“检察温度”可感可触；积极开展帮扶企业活动，走访、联系规模以上包联企业80余次，走访小微企业、个体工商户240家，为企业提供法律咨询等服务20余次，提升检察公信力。</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（2）可持续影响指标：对我院办案经费、业务装备经费保障力度持续加强达到99%，通过严厉打击犯罪行为，提升了办案质量，有效维护社会稳定发展。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both"/>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3.满意度指标完成情况分析</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干警满意度、群众满意度均达到98%。</w:t>
      </w:r>
    </w:p>
    <w:p>
      <w:pPr>
        <w:widowControl w:val="0"/>
        <w:numPr>
          <w:ilvl w:val="0"/>
          <w:numId w:val="1"/>
        </w:numPr>
        <w:wordWrap/>
        <w:adjustRightInd/>
        <w:snapToGrid w:val="0"/>
        <w:spacing w:line="560" w:lineRule="exact"/>
        <w:ind w:left="-10" w:leftChars="0" w:right="0" w:firstLine="640" w:firstLineChars="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评价结论和评价等级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cs="仿宋"/>
          <w:sz w:val="32"/>
          <w:szCs w:val="32"/>
          <w:lang w:val="en-US" w:eastAsia="zh-CN"/>
        </w:rPr>
      </w:pPr>
      <w:r>
        <w:rPr>
          <w:rFonts w:hint="eastAsia" w:ascii="仿宋" w:hAnsi="仿宋" w:eastAsia="仿宋"/>
          <w:sz w:val="32"/>
          <w:szCs w:val="32"/>
          <w:lang w:val="en-US" w:eastAsia="zh-CN"/>
        </w:rPr>
        <w:t>1.</w:t>
      </w:r>
      <w:r>
        <w:rPr>
          <w:rFonts w:hint="eastAsia" w:ascii="仿宋" w:hAnsi="仿宋" w:eastAsia="仿宋"/>
          <w:sz w:val="32"/>
          <w:szCs w:val="32"/>
        </w:rPr>
        <w:t>办案业务费（办案支出）</w:t>
      </w:r>
      <w:r>
        <w:rPr>
          <w:rFonts w:hint="eastAsia" w:ascii="仿宋" w:hAnsi="仿宋" w:eastAsia="仿宋"/>
          <w:sz w:val="32"/>
          <w:szCs w:val="32"/>
          <w:lang w:val="en-US" w:eastAsia="zh-CN"/>
        </w:rPr>
        <w:t>项目预算安排90万元，资金支出90万元，</w:t>
      </w:r>
      <w:r>
        <w:rPr>
          <w:rFonts w:hint="eastAsia" w:ascii="仿宋" w:hAnsi="仿宋" w:eastAsia="仿宋" w:cs="仿宋"/>
          <w:sz w:val="32"/>
          <w:szCs w:val="32"/>
        </w:rPr>
        <w:t>执行率</w:t>
      </w:r>
      <w:r>
        <w:rPr>
          <w:rFonts w:hint="eastAsia" w:ascii="仿宋" w:hAnsi="仿宋" w:eastAsia="仿宋" w:cs="仿宋"/>
          <w:sz w:val="32"/>
          <w:szCs w:val="32"/>
          <w:lang w:val="en-US" w:eastAsia="zh-CN"/>
        </w:rPr>
        <w:t>100</w:t>
      </w:r>
      <w:r>
        <w:rPr>
          <w:rFonts w:hint="eastAsia" w:ascii="仿宋" w:hAnsi="仿宋" w:eastAsia="仿宋" w:cs="仿宋"/>
          <w:sz w:val="32"/>
          <w:szCs w:val="32"/>
        </w:rPr>
        <w:t>%，绩效指标完成率100%。</w:t>
      </w:r>
      <w:r>
        <w:rPr>
          <w:rFonts w:hint="eastAsia" w:ascii="仿宋" w:hAnsi="仿宋" w:eastAsia="仿宋" w:cs="仿宋"/>
          <w:sz w:val="32"/>
          <w:szCs w:val="32"/>
          <w:lang w:val="en-US" w:eastAsia="zh-CN"/>
        </w:rPr>
        <w:t>保障了检察业务工作顺利开展，提高了办案效率。</w:t>
      </w:r>
      <w:r>
        <w:rPr>
          <w:rFonts w:hint="eastAsia" w:ascii="仿宋" w:hAnsi="仿宋" w:eastAsia="仿宋"/>
          <w:sz w:val="32"/>
          <w:szCs w:val="32"/>
          <w:lang w:eastAsia="zh-CN"/>
        </w:rPr>
        <w:t>得分</w:t>
      </w:r>
      <w:r>
        <w:rPr>
          <w:rFonts w:hint="eastAsia" w:ascii="仿宋" w:hAnsi="仿宋" w:eastAsia="仿宋"/>
          <w:sz w:val="32"/>
          <w:szCs w:val="32"/>
          <w:lang w:val="en-US" w:eastAsia="zh-CN"/>
        </w:rPr>
        <w:t>100，评价为优秀。</w:t>
      </w:r>
    </w:p>
    <w:p>
      <w:pPr>
        <w:widowControl w:val="0"/>
        <w:numPr>
          <w:ilvl w:val="0"/>
          <w:numId w:val="2"/>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城中村改造驻村工作组经费补助项目预算安排10万元，资金支出10万元，</w:t>
      </w:r>
      <w:r>
        <w:rPr>
          <w:rFonts w:hint="eastAsia" w:ascii="仿宋" w:hAnsi="仿宋" w:eastAsia="仿宋" w:cs="仿宋"/>
          <w:sz w:val="32"/>
          <w:szCs w:val="32"/>
        </w:rPr>
        <w:t>执行率</w:t>
      </w:r>
      <w:r>
        <w:rPr>
          <w:rFonts w:hint="eastAsia" w:ascii="仿宋" w:hAnsi="仿宋" w:eastAsia="仿宋" w:cs="仿宋"/>
          <w:sz w:val="32"/>
          <w:szCs w:val="32"/>
          <w:lang w:val="en-US" w:eastAsia="zh-CN"/>
        </w:rPr>
        <w:t>100</w:t>
      </w:r>
      <w:r>
        <w:rPr>
          <w:rFonts w:hint="eastAsia" w:ascii="仿宋" w:hAnsi="仿宋" w:eastAsia="仿宋" w:cs="仿宋"/>
          <w:sz w:val="32"/>
          <w:szCs w:val="32"/>
        </w:rPr>
        <w:t>%，绩效指标完成率100%</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服务全区重点工作，助力社会高质量发展。</w:t>
      </w:r>
      <w:r>
        <w:rPr>
          <w:rFonts w:hint="eastAsia" w:ascii="仿宋" w:hAnsi="仿宋" w:eastAsia="仿宋"/>
          <w:sz w:val="32"/>
          <w:szCs w:val="32"/>
          <w:lang w:eastAsia="zh-CN"/>
        </w:rPr>
        <w:t>得分</w:t>
      </w:r>
      <w:r>
        <w:rPr>
          <w:rFonts w:hint="eastAsia" w:ascii="仿宋" w:hAnsi="仿宋" w:eastAsia="仿宋"/>
          <w:sz w:val="32"/>
          <w:szCs w:val="32"/>
          <w:lang w:val="en-US" w:eastAsia="zh-CN"/>
        </w:rPr>
        <w:t>100，评价为优秀。</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3.检察辅助人员工资项目预算安排139.0788万元，资金支出139.0788万元，</w:t>
      </w:r>
      <w:r>
        <w:rPr>
          <w:rFonts w:hint="eastAsia" w:ascii="仿宋" w:hAnsi="仿宋" w:eastAsia="仿宋" w:cs="仿宋"/>
          <w:sz w:val="32"/>
          <w:szCs w:val="32"/>
        </w:rPr>
        <w:t>执行率</w:t>
      </w:r>
      <w:r>
        <w:rPr>
          <w:rFonts w:hint="eastAsia" w:ascii="仿宋" w:hAnsi="仿宋" w:eastAsia="仿宋" w:cs="仿宋"/>
          <w:sz w:val="32"/>
          <w:szCs w:val="32"/>
          <w:lang w:val="en-US" w:eastAsia="zh-CN"/>
        </w:rPr>
        <w:t>100</w:t>
      </w:r>
      <w:r>
        <w:rPr>
          <w:rFonts w:hint="eastAsia" w:ascii="仿宋" w:hAnsi="仿宋" w:eastAsia="仿宋" w:cs="仿宋"/>
          <w:sz w:val="32"/>
          <w:szCs w:val="32"/>
        </w:rPr>
        <w:t>%，绩效指标完成率100%</w:t>
      </w:r>
      <w:r>
        <w:rPr>
          <w:rFonts w:hint="eastAsia" w:ascii="仿宋" w:hAnsi="仿宋" w:eastAsia="仿宋" w:cs="仿宋"/>
          <w:sz w:val="32"/>
          <w:szCs w:val="32"/>
          <w:lang w:eastAsia="zh-CN"/>
        </w:rPr>
        <w:t>，</w:t>
      </w:r>
      <w:r>
        <w:rPr>
          <w:rFonts w:hint="eastAsia" w:ascii="仿宋" w:hAnsi="仿宋" w:eastAsia="仿宋" w:cs="仿宋"/>
          <w:sz w:val="32"/>
          <w:szCs w:val="32"/>
        </w:rPr>
        <w:t>确保了聘用制书记员工作的正常进行。</w:t>
      </w:r>
      <w:r>
        <w:rPr>
          <w:rFonts w:hint="eastAsia" w:ascii="仿宋" w:hAnsi="仿宋" w:eastAsia="仿宋"/>
          <w:sz w:val="32"/>
          <w:szCs w:val="32"/>
          <w:lang w:eastAsia="zh-CN"/>
        </w:rPr>
        <w:t>得分</w:t>
      </w:r>
      <w:r>
        <w:rPr>
          <w:rFonts w:hint="eastAsia" w:ascii="仿宋" w:hAnsi="仿宋" w:eastAsia="仿宋"/>
          <w:sz w:val="32"/>
          <w:szCs w:val="32"/>
          <w:lang w:val="en-US" w:eastAsia="zh-CN"/>
        </w:rPr>
        <w:t>100，评价为优秀。</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4.检察院法警加班及执勤补贴</w:t>
      </w:r>
      <w:r>
        <w:rPr>
          <w:rFonts w:hint="eastAsia" w:ascii="仿宋" w:hAnsi="仿宋" w:eastAsia="仿宋"/>
          <w:sz w:val="32"/>
          <w:szCs w:val="32"/>
          <w:lang w:val="en-US" w:eastAsia="zh-CN"/>
        </w:rPr>
        <w:t>项目预算安排9.54万元，资金支出9.54万元，</w:t>
      </w:r>
      <w:r>
        <w:rPr>
          <w:rFonts w:hint="eastAsia" w:ascii="仿宋" w:hAnsi="仿宋" w:eastAsia="仿宋" w:cs="仿宋"/>
          <w:sz w:val="32"/>
          <w:szCs w:val="32"/>
        </w:rPr>
        <w:t>执行率</w:t>
      </w:r>
      <w:r>
        <w:rPr>
          <w:rFonts w:hint="eastAsia" w:ascii="仿宋" w:hAnsi="仿宋" w:eastAsia="仿宋" w:cs="仿宋"/>
          <w:sz w:val="32"/>
          <w:szCs w:val="32"/>
          <w:lang w:val="en-US" w:eastAsia="zh-CN"/>
        </w:rPr>
        <w:t>100</w:t>
      </w:r>
      <w:r>
        <w:rPr>
          <w:rFonts w:hint="eastAsia" w:ascii="仿宋" w:hAnsi="仿宋" w:eastAsia="仿宋" w:cs="仿宋"/>
          <w:sz w:val="32"/>
          <w:szCs w:val="32"/>
        </w:rPr>
        <w:t>%，绩效指标完成率100%。</w:t>
      </w:r>
      <w:r>
        <w:rPr>
          <w:rFonts w:hint="eastAsia" w:ascii="仿宋" w:hAnsi="仿宋" w:eastAsia="仿宋"/>
          <w:sz w:val="32"/>
          <w:szCs w:val="32"/>
          <w:lang w:eastAsia="zh-CN"/>
        </w:rPr>
        <w:t>得分</w:t>
      </w:r>
      <w:r>
        <w:rPr>
          <w:rFonts w:hint="eastAsia" w:ascii="仿宋" w:hAnsi="仿宋" w:eastAsia="仿宋"/>
          <w:sz w:val="32"/>
          <w:szCs w:val="32"/>
          <w:lang w:val="en-US" w:eastAsia="zh-CN"/>
        </w:rPr>
        <w:t>100，评价为优秀。</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5.检察院工作人员工作日之外加班补贴</w:t>
      </w:r>
      <w:r>
        <w:rPr>
          <w:rFonts w:hint="eastAsia" w:ascii="仿宋" w:hAnsi="仿宋" w:eastAsia="仿宋"/>
          <w:sz w:val="32"/>
          <w:szCs w:val="32"/>
          <w:lang w:val="en-US" w:eastAsia="zh-CN"/>
        </w:rPr>
        <w:t>项目预算安排7.488万元，资金支出7.488万元，</w:t>
      </w:r>
      <w:r>
        <w:rPr>
          <w:rFonts w:hint="eastAsia" w:ascii="仿宋" w:hAnsi="仿宋" w:eastAsia="仿宋" w:cs="仿宋"/>
          <w:sz w:val="32"/>
          <w:szCs w:val="32"/>
        </w:rPr>
        <w:t>执行率</w:t>
      </w:r>
      <w:r>
        <w:rPr>
          <w:rFonts w:hint="eastAsia" w:ascii="仿宋" w:hAnsi="仿宋" w:eastAsia="仿宋" w:cs="仿宋"/>
          <w:sz w:val="32"/>
          <w:szCs w:val="32"/>
          <w:lang w:val="en-US" w:eastAsia="zh-CN"/>
        </w:rPr>
        <w:t>100</w:t>
      </w:r>
      <w:r>
        <w:rPr>
          <w:rFonts w:hint="eastAsia" w:ascii="仿宋" w:hAnsi="仿宋" w:eastAsia="仿宋" w:cs="仿宋"/>
          <w:sz w:val="32"/>
          <w:szCs w:val="32"/>
        </w:rPr>
        <w:t>%，绩效指标完成率100%</w:t>
      </w:r>
      <w:r>
        <w:rPr>
          <w:rFonts w:hint="eastAsia" w:ascii="仿宋" w:hAnsi="仿宋" w:eastAsia="仿宋" w:cs="仿宋"/>
          <w:sz w:val="32"/>
          <w:szCs w:val="32"/>
          <w:lang w:eastAsia="zh-CN"/>
        </w:rPr>
        <w:t>。</w:t>
      </w:r>
      <w:r>
        <w:rPr>
          <w:rFonts w:hint="eastAsia" w:ascii="仿宋" w:hAnsi="仿宋" w:eastAsia="仿宋"/>
          <w:sz w:val="32"/>
          <w:szCs w:val="32"/>
          <w:lang w:eastAsia="zh-CN"/>
        </w:rPr>
        <w:t>得分</w:t>
      </w:r>
      <w:r>
        <w:rPr>
          <w:rFonts w:hint="eastAsia" w:ascii="仿宋" w:hAnsi="仿宋" w:eastAsia="仿宋"/>
          <w:sz w:val="32"/>
          <w:szCs w:val="32"/>
          <w:lang w:val="en-US" w:eastAsia="zh-CN"/>
        </w:rPr>
        <w:t>100，评价为优秀。</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6.石财行[2021]55号关于提前下达2022年中央政法纪检监察转移支付资金的通知(检察院)</w:t>
      </w:r>
      <w:r>
        <w:rPr>
          <w:rFonts w:hint="eastAsia" w:ascii="仿宋" w:hAnsi="仿宋" w:eastAsia="仿宋"/>
          <w:sz w:val="32"/>
          <w:szCs w:val="32"/>
          <w:lang w:val="en-US" w:eastAsia="zh-CN"/>
        </w:rPr>
        <w:t>项目预算安排85万元，资金支出84.24815万元，</w:t>
      </w:r>
      <w:r>
        <w:rPr>
          <w:rFonts w:hint="eastAsia" w:ascii="仿宋" w:hAnsi="仿宋" w:eastAsia="仿宋" w:cs="仿宋"/>
          <w:sz w:val="32"/>
          <w:szCs w:val="32"/>
        </w:rPr>
        <w:t>执行率</w:t>
      </w:r>
      <w:r>
        <w:rPr>
          <w:rFonts w:hint="eastAsia" w:ascii="仿宋" w:hAnsi="仿宋" w:eastAsia="仿宋" w:cs="仿宋"/>
          <w:sz w:val="32"/>
          <w:szCs w:val="32"/>
          <w:lang w:val="en-US" w:eastAsia="zh-CN"/>
        </w:rPr>
        <w:t>99.12</w:t>
      </w:r>
      <w:r>
        <w:rPr>
          <w:rFonts w:hint="eastAsia" w:ascii="仿宋" w:hAnsi="仿宋" w:eastAsia="仿宋" w:cs="仿宋"/>
          <w:sz w:val="32"/>
          <w:szCs w:val="32"/>
        </w:rPr>
        <w:t>%，绩效指标完成率100%</w:t>
      </w:r>
      <w:r>
        <w:rPr>
          <w:rFonts w:hint="eastAsia" w:ascii="仿宋" w:hAnsi="仿宋" w:eastAsia="仿宋" w:cs="仿宋"/>
          <w:sz w:val="32"/>
          <w:szCs w:val="32"/>
          <w:lang w:eastAsia="zh-CN"/>
        </w:rPr>
        <w:t>，</w:t>
      </w:r>
      <w:r>
        <w:rPr>
          <w:rFonts w:hint="eastAsia" w:ascii="仿宋" w:hAnsi="仿宋" w:eastAsia="仿宋" w:cs="仿宋"/>
          <w:sz w:val="32"/>
          <w:szCs w:val="32"/>
        </w:rPr>
        <w:t>确保基层政法机关办理各类案件（业务）所需要的经费开支，保障检察机关检察监督职能的实施，打击各类犯罪、为我</w:t>
      </w:r>
      <w:r>
        <w:rPr>
          <w:rFonts w:hint="eastAsia" w:ascii="仿宋" w:hAnsi="仿宋" w:eastAsia="仿宋" w:cs="仿宋"/>
          <w:sz w:val="32"/>
          <w:szCs w:val="32"/>
          <w:lang w:val="en-US" w:eastAsia="zh-CN"/>
        </w:rPr>
        <w:t>区</w:t>
      </w:r>
      <w:r>
        <w:rPr>
          <w:rFonts w:hint="eastAsia" w:ascii="仿宋" w:hAnsi="仿宋" w:eastAsia="仿宋" w:cs="仿宋"/>
          <w:sz w:val="32"/>
          <w:szCs w:val="32"/>
        </w:rPr>
        <w:t>的经济建保驾护航。</w:t>
      </w:r>
      <w:r>
        <w:rPr>
          <w:rFonts w:hint="eastAsia" w:ascii="仿宋" w:hAnsi="仿宋" w:eastAsia="仿宋"/>
          <w:sz w:val="32"/>
          <w:szCs w:val="32"/>
          <w:lang w:eastAsia="zh-CN"/>
        </w:rPr>
        <w:t>得分</w:t>
      </w:r>
      <w:r>
        <w:rPr>
          <w:rFonts w:hint="eastAsia" w:ascii="仿宋" w:hAnsi="仿宋" w:eastAsia="仿宋"/>
          <w:sz w:val="32"/>
          <w:szCs w:val="32"/>
          <w:lang w:val="en-US" w:eastAsia="zh-CN"/>
        </w:rPr>
        <w:t>99，评价为优秀。</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7.石财行[2022]13号关于下达2022年第二批中央政法转移支付资金的通知</w:t>
      </w:r>
      <w:r>
        <w:rPr>
          <w:rFonts w:hint="eastAsia" w:ascii="仿宋" w:hAnsi="仿宋" w:eastAsia="仿宋"/>
          <w:sz w:val="32"/>
          <w:szCs w:val="32"/>
          <w:lang w:val="en-US" w:eastAsia="zh-CN"/>
        </w:rPr>
        <w:t>项目预算安排9万元，资金支出9万元，</w:t>
      </w:r>
      <w:r>
        <w:rPr>
          <w:rFonts w:hint="eastAsia" w:ascii="仿宋" w:hAnsi="仿宋" w:eastAsia="仿宋" w:cs="仿宋"/>
          <w:sz w:val="32"/>
          <w:szCs w:val="32"/>
        </w:rPr>
        <w:t>执行率</w:t>
      </w:r>
      <w:r>
        <w:rPr>
          <w:rFonts w:hint="eastAsia" w:ascii="仿宋" w:hAnsi="仿宋" w:eastAsia="仿宋" w:cs="仿宋"/>
          <w:sz w:val="32"/>
          <w:szCs w:val="32"/>
          <w:lang w:val="en-US" w:eastAsia="zh-CN"/>
        </w:rPr>
        <w:t>100</w:t>
      </w:r>
      <w:r>
        <w:rPr>
          <w:rFonts w:hint="eastAsia" w:ascii="仿宋" w:hAnsi="仿宋" w:eastAsia="仿宋" w:cs="仿宋"/>
          <w:sz w:val="32"/>
          <w:szCs w:val="32"/>
        </w:rPr>
        <w:t>%，绩效指标完成率100%</w:t>
      </w:r>
      <w:r>
        <w:rPr>
          <w:rFonts w:hint="eastAsia" w:ascii="仿宋" w:hAnsi="仿宋" w:eastAsia="仿宋" w:cs="仿宋"/>
          <w:sz w:val="32"/>
          <w:szCs w:val="32"/>
          <w:lang w:eastAsia="zh-CN"/>
        </w:rPr>
        <w:t>，</w:t>
      </w:r>
      <w:r>
        <w:rPr>
          <w:rFonts w:hint="eastAsia" w:ascii="仿宋" w:hAnsi="仿宋" w:eastAsia="仿宋"/>
          <w:sz w:val="32"/>
          <w:szCs w:val="32"/>
          <w:lang w:val="en-US" w:eastAsia="zh-CN"/>
        </w:rPr>
        <w:t>用于保障检察工作顺利开展，提高检察办案条件。</w:t>
      </w:r>
      <w:r>
        <w:rPr>
          <w:rFonts w:hint="eastAsia" w:ascii="仿宋" w:hAnsi="仿宋" w:eastAsia="仿宋"/>
          <w:sz w:val="32"/>
          <w:szCs w:val="32"/>
          <w:lang w:eastAsia="zh-CN"/>
        </w:rPr>
        <w:t>得分</w:t>
      </w:r>
      <w:r>
        <w:rPr>
          <w:rFonts w:hint="eastAsia" w:ascii="仿宋" w:hAnsi="仿宋" w:eastAsia="仿宋"/>
          <w:sz w:val="32"/>
          <w:szCs w:val="32"/>
          <w:lang w:val="en-US" w:eastAsia="zh-CN"/>
        </w:rPr>
        <w:t>100，评价为优秀。</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8.石财行[2022]13号关于下达2022年第二批中央政法转移支付资金的通知（扫黑除恶）</w:t>
      </w:r>
      <w:r>
        <w:rPr>
          <w:rFonts w:hint="eastAsia" w:ascii="仿宋" w:hAnsi="仿宋" w:eastAsia="仿宋"/>
          <w:sz w:val="32"/>
          <w:szCs w:val="32"/>
          <w:lang w:val="en-US" w:eastAsia="zh-CN"/>
        </w:rPr>
        <w:t>项目预算安排3.5万元，资金支出3.5万元，</w:t>
      </w:r>
      <w:r>
        <w:rPr>
          <w:rFonts w:hint="eastAsia" w:ascii="仿宋" w:hAnsi="仿宋" w:eastAsia="仿宋" w:cs="仿宋"/>
          <w:sz w:val="32"/>
          <w:szCs w:val="32"/>
        </w:rPr>
        <w:t>执行率</w:t>
      </w:r>
      <w:r>
        <w:rPr>
          <w:rFonts w:hint="eastAsia" w:ascii="仿宋" w:hAnsi="仿宋" w:eastAsia="仿宋" w:cs="仿宋"/>
          <w:sz w:val="32"/>
          <w:szCs w:val="32"/>
          <w:lang w:val="en-US" w:eastAsia="zh-CN"/>
        </w:rPr>
        <w:t>100</w:t>
      </w:r>
      <w:r>
        <w:rPr>
          <w:rFonts w:hint="eastAsia" w:ascii="仿宋" w:hAnsi="仿宋" w:eastAsia="仿宋" w:cs="仿宋"/>
          <w:sz w:val="32"/>
          <w:szCs w:val="32"/>
        </w:rPr>
        <w:t>%，绩效指标完成率100%。</w:t>
      </w:r>
      <w:r>
        <w:rPr>
          <w:rFonts w:hint="eastAsia" w:ascii="仿宋" w:hAnsi="仿宋" w:eastAsia="仿宋"/>
          <w:sz w:val="32"/>
          <w:szCs w:val="32"/>
          <w:lang w:eastAsia="zh-CN"/>
        </w:rPr>
        <w:t>得分</w:t>
      </w:r>
      <w:r>
        <w:rPr>
          <w:rFonts w:hint="eastAsia" w:ascii="仿宋" w:hAnsi="仿宋" w:eastAsia="仿宋"/>
          <w:sz w:val="32"/>
          <w:szCs w:val="32"/>
          <w:lang w:val="en-US" w:eastAsia="zh-CN"/>
        </w:rPr>
        <w:t>100，评价为优秀。</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9.石财行[2022]1号关于下达2022年省级基层公检法司转移支付资金的通知</w:t>
      </w:r>
      <w:r>
        <w:rPr>
          <w:rFonts w:hint="eastAsia" w:ascii="仿宋" w:hAnsi="仿宋" w:eastAsia="仿宋"/>
          <w:sz w:val="32"/>
          <w:szCs w:val="32"/>
          <w:lang w:val="en-US" w:eastAsia="zh-CN"/>
        </w:rPr>
        <w:t>项目预算安排70万元，资金支出70万元，</w:t>
      </w:r>
      <w:r>
        <w:rPr>
          <w:rFonts w:hint="eastAsia" w:ascii="仿宋" w:hAnsi="仿宋" w:eastAsia="仿宋" w:cs="仿宋"/>
          <w:sz w:val="32"/>
          <w:szCs w:val="32"/>
        </w:rPr>
        <w:t>执行率</w:t>
      </w:r>
      <w:r>
        <w:rPr>
          <w:rFonts w:hint="eastAsia" w:ascii="仿宋" w:hAnsi="仿宋" w:eastAsia="仿宋" w:cs="仿宋"/>
          <w:sz w:val="32"/>
          <w:szCs w:val="32"/>
          <w:lang w:val="en-US" w:eastAsia="zh-CN"/>
        </w:rPr>
        <w:t>100</w:t>
      </w:r>
      <w:r>
        <w:rPr>
          <w:rFonts w:hint="eastAsia" w:ascii="仿宋" w:hAnsi="仿宋" w:eastAsia="仿宋" w:cs="仿宋"/>
          <w:sz w:val="32"/>
          <w:szCs w:val="32"/>
        </w:rPr>
        <w:t>%，绩效指标完成率100%。检察机关通过办理各类案件，行使检察监督职能，维护公平正义，为我</w:t>
      </w:r>
      <w:r>
        <w:rPr>
          <w:rFonts w:hint="eastAsia" w:ascii="仿宋" w:hAnsi="仿宋" w:eastAsia="仿宋" w:cs="仿宋"/>
          <w:sz w:val="32"/>
          <w:szCs w:val="32"/>
          <w:lang w:val="en-US" w:eastAsia="zh-CN"/>
        </w:rPr>
        <w:t>区</w:t>
      </w:r>
      <w:r>
        <w:rPr>
          <w:rFonts w:hint="eastAsia" w:ascii="仿宋" w:hAnsi="仿宋" w:eastAsia="仿宋" w:cs="仿宋"/>
          <w:sz w:val="32"/>
          <w:szCs w:val="32"/>
        </w:rPr>
        <w:t>的经济建保驾护航。</w:t>
      </w:r>
      <w:r>
        <w:rPr>
          <w:rFonts w:hint="eastAsia" w:ascii="仿宋" w:hAnsi="仿宋" w:eastAsia="仿宋"/>
          <w:sz w:val="32"/>
          <w:szCs w:val="32"/>
          <w:lang w:eastAsia="zh-CN"/>
        </w:rPr>
        <w:t>得分</w:t>
      </w:r>
      <w:r>
        <w:rPr>
          <w:rFonts w:hint="eastAsia" w:ascii="仿宋" w:hAnsi="仿宋" w:eastAsia="仿宋"/>
          <w:sz w:val="32"/>
          <w:szCs w:val="32"/>
          <w:lang w:val="en-US" w:eastAsia="zh-CN"/>
        </w:rPr>
        <w:t>100，评价为优秀。</w:t>
      </w:r>
    </w:p>
    <w:p>
      <w:pPr>
        <w:widowControl w:val="0"/>
        <w:numPr>
          <w:ilvl w:val="0"/>
          <w:numId w:val="0"/>
        </w:numPr>
        <w:wordWrap/>
        <w:adjustRightInd/>
        <w:snapToGrid w:val="0"/>
        <w:spacing w:line="560" w:lineRule="exact"/>
        <w:ind w:right="0" w:rightChars="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10.石财行[2022]13号关于下达2022年第二批中央政法转移支付资金的通知（司法救助）</w:t>
      </w:r>
      <w:r>
        <w:rPr>
          <w:rFonts w:hint="eastAsia" w:ascii="仿宋" w:hAnsi="仿宋" w:eastAsia="仿宋"/>
          <w:sz w:val="32"/>
          <w:szCs w:val="32"/>
          <w:lang w:val="en-US" w:eastAsia="zh-CN"/>
        </w:rPr>
        <w:t>项目预算安排10万元，资金支出9.8万元，用于开展司法救助工作，</w:t>
      </w:r>
      <w:r>
        <w:rPr>
          <w:rFonts w:hint="eastAsia" w:ascii="仿宋" w:hAnsi="仿宋" w:eastAsia="仿宋" w:cs="仿宋"/>
          <w:sz w:val="32"/>
          <w:szCs w:val="32"/>
        </w:rPr>
        <w:t>执行率</w:t>
      </w:r>
      <w:r>
        <w:rPr>
          <w:rFonts w:hint="eastAsia" w:ascii="仿宋" w:hAnsi="仿宋" w:eastAsia="仿宋" w:cs="仿宋"/>
          <w:sz w:val="32"/>
          <w:szCs w:val="32"/>
          <w:lang w:val="en-US" w:eastAsia="zh-CN"/>
        </w:rPr>
        <w:t>98</w:t>
      </w:r>
      <w:r>
        <w:rPr>
          <w:rFonts w:hint="eastAsia" w:ascii="仿宋" w:hAnsi="仿宋" w:eastAsia="仿宋" w:cs="仿宋"/>
          <w:sz w:val="32"/>
          <w:szCs w:val="32"/>
        </w:rPr>
        <w:t>%，绩效指标完成率100%。</w:t>
      </w:r>
      <w:r>
        <w:rPr>
          <w:rFonts w:hint="eastAsia" w:ascii="仿宋" w:hAnsi="仿宋" w:eastAsia="仿宋"/>
          <w:sz w:val="32"/>
          <w:szCs w:val="32"/>
          <w:lang w:eastAsia="zh-CN"/>
        </w:rPr>
        <w:t>得分</w:t>
      </w:r>
      <w:r>
        <w:rPr>
          <w:rFonts w:hint="eastAsia" w:ascii="仿宋" w:hAnsi="仿宋" w:eastAsia="仿宋"/>
          <w:sz w:val="32"/>
          <w:szCs w:val="32"/>
          <w:lang w:val="en-US" w:eastAsia="zh-CN"/>
        </w:rPr>
        <w:t>100，评价为优秀。</w:t>
      </w:r>
    </w:p>
    <w:p>
      <w:pPr>
        <w:widowControl w:val="0"/>
        <w:numPr>
          <w:ilvl w:val="0"/>
          <w:numId w:val="0"/>
        </w:numPr>
        <w:wordWrap/>
        <w:adjustRightInd/>
        <w:snapToGrid w:val="0"/>
        <w:spacing w:line="560" w:lineRule="exact"/>
        <w:ind w:right="0" w:rightChars="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11.追加检察辅助人员工资</w:t>
      </w:r>
      <w:r>
        <w:rPr>
          <w:rFonts w:hint="eastAsia" w:ascii="仿宋" w:hAnsi="仿宋" w:eastAsia="仿宋"/>
          <w:sz w:val="32"/>
          <w:szCs w:val="32"/>
          <w:lang w:val="en-US" w:eastAsia="zh-CN"/>
        </w:rPr>
        <w:t>项目预算安排75.68万元，资金支出75.68万元，保障聘用制书记员工作开展，</w:t>
      </w:r>
      <w:r>
        <w:rPr>
          <w:rFonts w:hint="eastAsia" w:ascii="仿宋" w:hAnsi="仿宋" w:eastAsia="仿宋" w:cs="仿宋"/>
          <w:sz w:val="32"/>
          <w:szCs w:val="32"/>
        </w:rPr>
        <w:t>执行率</w:t>
      </w:r>
      <w:r>
        <w:rPr>
          <w:rFonts w:hint="eastAsia" w:ascii="仿宋" w:hAnsi="仿宋" w:eastAsia="仿宋" w:cs="仿宋"/>
          <w:sz w:val="32"/>
          <w:szCs w:val="32"/>
          <w:lang w:val="en-US" w:eastAsia="zh-CN"/>
        </w:rPr>
        <w:t>100</w:t>
      </w:r>
      <w:r>
        <w:rPr>
          <w:rFonts w:hint="eastAsia" w:ascii="仿宋" w:hAnsi="仿宋" w:eastAsia="仿宋" w:cs="仿宋"/>
          <w:sz w:val="32"/>
          <w:szCs w:val="32"/>
        </w:rPr>
        <w:t>%，绩效指标完成率100%。</w:t>
      </w:r>
      <w:r>
        <w:rPr>
          <w:rFonts w:hint="eastAsia" w:ascii="仿宋" w:hAnsi="仿宋" w:eastAsia="仿宋"/>
          <w:sz w:val="32"/>
          <w:szCs w:val="32"/>
          <w:lang w:eastAsia="zh-CN"/>
        </w:rPr>
        <w:t>得分</w:t>
      </w:r>
      <w:r>
        <w:rPr>
          <w:rFonts w:hint="eastAsia" w:ascii="仿宋" w:hAnsi="仿宋" w:eastAsia="仿宋"/>
          <w:sz w:val="32"/>
          <w:szCs w:val="32"/>
          <w:lang w:val="en-US" w:eastAsia="zh-CN"/>
        </w:rPr>
        <w:t>100，评价为优秀。</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b w:val="0"/>
          <w:bCs w:val="0"/>
          <w:sz w:val="32"/>
          <w:szCs w:val="32"/>
          <w:lang w:eastAsia="zh-CN"/>
        </w:rPr>
        <w:t>五</w:t>
      </w:r>
      <w:r>
        <w:rPr>
          <w:rFonts w:hint="eastAsia" w:ascii="黑体" w:hAnsi="黑体" w:eastAsia="黑体" w:cs="黑体"/>
          <w:b w:val="0"/>
          <w:bCs w:val="0"/>
          <w:sz w:val="32"/>
          <w:szCs w:val="32"/>
        </w:rPr>
        <w:t>、整改措</w:t>
      </w:r>
      <w:r>
        <w:rPr>
          <w:rFonts w:hint="eastAsia" w:ascii="黑体" w:hAnsi="黑体" w:eastAsia="黑体" w:cs="黑体"/>
          <w:sz w:val="32"/>
          <w:szCs w:val="32"/>
        </w:rPr>
        <w:t>施及结果应用</w:t>
      </w:r>
    </w:p>
    <w:p>
      <w:pPr>
        <w:widowControl w:val="0"/>
        <w:numPr>
          <w:ilvl w:val="0"/>
          <w:numId w:val="0"/>
        </w:numPr>
        <w:wordWrap/>
        <w:adjustRightInd/>
        <w:snapToGrid w:val="0"/>
        <w:spacing w:line="560" w:lineRule="exact"/>
        <w:ind w:left="630" w:leftChars="0" w:right="0" w:rightChars="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无</w:t>
      </w:r>
    </w:p>
    <w:p>
      <w:pPr>
        <w:widowControl w:val="0"/>
        <w:wordWrap/>
        <w:adjustRightInd/>
        <w:snapToGrid w:val="0"/>
        <w:spacing w:line="560" w:lineRule="exact"/>
        <w:ind w:left="0" w:leftChars="0" w:right="0"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六、评价工作组人员名单及签字</w:t>
      </w:r>
    </w:p>
    <w:tbl>
      <w:tblPr>
        <w:tblStyle w:val="5"/>
        <w:tblpPr w:leftFromText="180" w:rightFromText="180" w:vertAnchor="text" w:horzAnchor="margin" w:tblpXSpec="center" w:tblpY="259"/>
        <w:tblOverlap w:val="never"/>
        <w:tblW w:w="921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3"/>
        <w:gridCol w:w="1134"/>
        <w:gridCol w:w="3663"/>
        <w:gridCol w:w="1824"/>
        <w:gridCol w:w="16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3"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序号</w:t>
            </w:r>
          </w:p>
        </w:tc>
        <w:tc>
          <w:tcPr>
            <w:tcW w:w="1134"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姓名</w:t>
            </w:r>
          </w:p>
        </w:tc>
        <w:tc>
          <w:tcPr>
            <w:tcW w:w="3663"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工作单位</w:t>
            </w:r>
          </w:p>
        </w:tc>
        <w:tc>
          <w:tcPr>
            <w:tcW w:w="1824"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职务</w:t>
            </w:r>
          </w:p>
        </w:tc>
        <w:tc>
          <w:tcPr>
            <w:tcW w:w="1601"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3"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1</w:t>
            </w:r>
          </w:p>
        </w:tc>
        <w:tc>
          <w:tcPr>
            <w:tcW w:w="1134" w:type="dxa"/>
          </w:tcPr>
          <w:p>
            <w:pPr>
              <w:adjustRightInd w:val="0"/>
              <w:snapToGrid w:val="0"/>
              <w:spacing w:line="560" w:lineRule="exact"/>
              <w:rPr>
                <w:rFonts w:hint="eastAsia" w:ascii="仿宋" w:hAnsi="仿宋" w:eastAsia="仿宋"/>
                <w:sz w:val="28"/>
                <w:szCs w:val="28"/>
                <w:lang w:val="en-US" w:eastAsia="zh-CN"/>
              </w:rPr>
            </w:pPr>
            <w:r>
              <w:rPr>
                <w:rFonts w:hint="eastAsia" w:ascii="仿宋" w:hAnsi="仿宋" w:eastAsia="仿宋"/>
                <w:sz w:val="28"/>
                <w:szCs w:val="28"/>
                <w:lang w:val="en-US" w:eastAsia="zh-CN"/>
              </w:rPr>
              <w:t>穆金波</w:t>
            </w:r>
          </w:p>
        </w:tc>
        <w:tc>
          <w:tcPr>
            <w:tcW w:w="3663" w:type="dxa"/>
          </w:tcPr>
          <w:p>
            <w:pPr>
              <w:adjustRightInd w:val="0"/>
              <w:snapToGrid w:val="0"/>
              <w:spacing w:line="560" w:lineRule="exact"/>
              <w:jc w:val="center"/>
              <w:rPr>
                <w:rFonts w:hint="eastAsia" w:ascii="仿宋" w:hAnsi="仿宋" w:eastAsia="仿宋"/>
                <w:sz w:val="28"/>
                <w:szCs w:val="28"/>
                <w:lang w:eastAsia="zh-CN"/>
              </w:rPr>
            </w:pPr>
            <w:r>
              <w:rPr>
                <w:rFonts w:hint="eastAsia" w:ascii="仿宋" w:hAnsi="仿宋" w:eastAsia="仿宋"/>
                <w:sz w:val="28"/>
                <w:szCs w:val="28"/>
              </w:rPr>
              <w:t>石家庄市藁城区人民</w:t>
            </w:r>
            <w:r>
              <w:rPr>
                <w:rFonts w:hint="eastAsia" w:ascii="仿宋" w:hAnsi="仿宋" w:eastAsia="仿宋"/>
                <w:sz w:val="28"/>
                <w:szCs w:val="28"/>
                <w:lang w:val="en-US" w:eastAsia="zh-CN"/>
              </w:rPr>
              <w:t>检察院</w:t>
            </w:r>
          </w:p>
        </w:tc>
        <w:tc>
          <w:tcPr>
            <w:tcW w:w="1824" w:type="dxa"/>
          </w:tcPr>
          <w:p>
            <w:pPr>
              <w:adjustRightInd w:val="0"/>
              <w:snapToGrid w:val="0"/>
              <w:spacing w:line="560" w:lineRule="exact"/>
              <w:jc w:val="center"/>
              <w:rPr>
                <w:rFonts w:hint="eastAsia" w:ascii="仿宋" w:hAnsi="仿宋" w:eastAsia="仿宋"/>
                <w:sz w:val="28"/>
                <w:szCs w:val="28"/>
                <w:lang w:val="en-US" w:eastAsia="zh-CN"/>
              </w:rPr>
            </w:pPr>
            <w:r>
              <w:rPr>
                <w:rFonts w:hint="eastAsia" w:ascii="仿宋" w:hAnsi="仿宋" w:eastAsia="仿宋"/>
                <w:sz w:val="28"/>
                <w:szCs w:val="28"/>
              </w:rPr>
              <w:t>副</w:t>
            </w:r>
            <w:r>
              <w:rPr>
                <w:rFonts w:hint="eastAsia" w:ascii="仿宋" w:hAnsi="仿宋" w:eastAsia="仿宋"/>
                <w:sz w:val="28"/>
                <w:szCs w:val="28"/>
                <w:lang w:val="en-US" w:eastAsia="zh-CN"/>
              </w:rPr>
              <w:t>检察长</w:t>
            </w:r>
          </w:p>
        </w:tc>
        <w:tc>
          <w:tcPr>
            <w:tcW w:w="1601" w:type="dxa"/>
          </w:tcPr>
          <w:p>
            <w:pPr>
              <w:adjustRightInd w:val="0"/>
              <w:snapToGrid w:val="0"/>
              <w:spacing w:line="560" w:lineRule="exact"/>
              <w:ind w:firstLine="560" w:firstLineChars="200"/>
              <w:jc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3"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2</w:t>
            </w:r>
          </w:p>
        </w:tc>
        <w:tc>
          <w:tcPr>
            <w:tcW w:w="1134" w:type="dxa"/>
          </w:tcPr>
          <w:p>
            <w:pPr>
              <w:adjustRightInd w:val="0"/>
              <w:snapToGrid w:val="0"/>
              <w:spacing w:line="560" w:lineRule="exact"/>
              <w:rPr>
                <w:rFonts w:hint="eastAsia" w:ascii="仿宋" w:hAnsi="仿宋" w:eastAsia="仿宋"/>
                <w:sz w:val="28"/>
                <w:szCs w:val="28"/>
                <w:lang w:eastAsia="zh-CN"/>
              </w:rPr>
            </w:pPr>
            <w:r>
              <w:rPr>
                <w:rFonts w:hint="eastAsia" w:ascii="仿宋" w:hAnsi="仿宋" w:eastAsia="仿宋"/>
                <w:sz w:val="28"/>
                <w:szCs w:val="28"/>
                <w:lang w:val="en-US" w:eastAsia="zh-CN"/>
              </w:rPr>
              <w:t>郝振中</w:t>
            </w:r>
          </w:p>
        </w:tc>
        <w:tc>
          <w:tcPr>
            <w:tcW w:w="3663" w:type="dxa"/>
          </w:tcPr>
          <w:p>
            <w:pPr>
              <w:adjustRightInd w:val="0"/>
              <w:snapToGrid w:val="0"/>
              <w:spacing w:line="560" w:lineRule="exact"/>
              <w:jc w:val="center"/>
              <w:rPr>
                <w:rFonts w:hint="eastAsia" w:ascii="仿宋" w:hAnsi="仿宋" w:eastAsia="仿宋"/>
                <w:sz w:val="28"/>
                <w:szCs w:val="28"/>
                <w:lang w:eastAsia="zh-CN"/>
              </w:rPr>
            </w:pPr>
            <w:r>
              <w:rPr>
                <w:rFonts w:hint="eastAsia" w:ascii="仿宋" w:hAnsi="仿宋" w:eastAsia="仿宋"/>
                <w:sz w:val="28"/>
                <w:szCs w:val="28"/>
              </w:rPr>
              <w:t>石家庄市藁城区人民</w:t>
            </w:r>
            <w:r>
              <w:rPr>
                <w:rFonts w:hint="eastAsia" w:ascii="仿宋" w:hAnsi="仿宋" w:eastAsia="仿宋"/>
                <w:sz w:val="28"/>
                <w:szCs w:val="28"/>
                <w:lang w:val="en-US" w:eastAsia="zh-CN"/>
              </w:rPr>
              <w:t>检察院</w:t>
            </w:r>
          </w:p>
        </w:tc>
        <w:tc>
          <w:tcPr>
            <w:tcW w:w="1824"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办公室主任</w:t>
            </w:r>
          </w:p>
        </w:tc>
        <w:tc>
          <w:tcPr>
            <w:tcW w:w="1601" w:type="dxa"/>
          </w:tcPr>
          <w:p>
            <w:pPr>
              <w:adjustRightInd w:val="0"/>
              <w:snapToGrid w:val="0"/>
              <w:spacing w:line="560" w:lineRule="exact"/>
              <w:ind w:firstLine="560" w:firstLineChars="200"/>
              <w:jc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3" w:type="dxa"/>
          </w:tcPr>
          <w:p>
            <w:pPr>
              <w:adjustRightInd w:val="0"/>
              <w:snapToGrid w:val="0"/>
              <w:spacing w:line="560" w:lineRule="exact"/>
              <w:jc w:val="center"/>
              <w:rPr>
                <w:rFonts w:ascii="仿宋" w:hAnsi="仿宋" w:eastAsia="仿宋"/>
                <w:sz w:val="28"/>
                <w:szCs w:val="28"/>
              </w:rPr>
            </w:pPr>
            <w:r>
              <w:rPr>
                <w:rFonts w:hint="eastAsia" w:ascii="仿宋" w:hAnsi="仿宋" w:eastAsia="仿宋"/>
                <w:sz w:val="28"/>
                <w:szCs w:val="28"/>
              </w:rPr>
              <w:t>3</w:t>
            </w:r>
          </w:p>
        </w:tc>
        <w:tc>
          <w:tcPr>
            <w:tcW w:w="1134" w:type="dxa"/>
          </w:tcPr>
          <w:p>
            <w:pPr>
              <w:adjustRightInd w:val="0"/>
              <w:snapToGrid w:val="0"/>
              <w:spacing w:line="560" w:lineRule="exact"/>
              <w:rPr>
                <w:rFonts w:hint="eastAsia" w:ascii="仿宋" w:hAnsi="仿宋" w:eastAsia="仿宋"/>
                <w:sz w:val="28"/>
                <w:szCs w:val="28"/>
                <w:lang w:eastAsia="zh-CN"/>
              </w:rPr>
            </w:pPr>
            <w:r>
              <w:rPr>
                <w:rFonts w:hint="eastAsia" w:ascii="仿宋" w:hAnsi="仿宋" w:eastAsia="仿宋"/>
                <w:sz w:val="28"/>
                <w:szCs w:val="28"/>
                <w:lang w:val="en-US" w:eastAsia="zh-CN"/>
              </w:rPr>
              <w:t>张立伟</w:t>
            </w:r>
          </w:p>
        </w:tc>
        <w:tc>
          <w:tcPr>
            <w:tcW w:w="3663" w:type="dxa"/>
          </w:tcPr>
          <w:p>
            <w:pPr>
              <w:adjustRightInd w:val="0"/>
              <w:snapToGrid w:val="0"/>
              <w:spacing w:line="560" w:lineRule="exact"/>
              <w:jc w:val="center"/>
              <w:rPr>
                <w:rFonts w:hint="eastAsia" w:ascii="仿宋" w:hAnsi="仿宋" w:eastAsia="仿宋"/>
                <w:sz w:val="28"/>
                <w:szCs w:val="28"/>
                <w:lang w:eastAsia="zh-CN"/>
              </w:rPr>
            </w:pPr>
            <w:r>
              <w:rPr>
                <w:rFonts w:hint="eastAsia" w:ascii="仿宋" w:hAnsi="仿宋" w:eastAsia="仿宋"/>
                <w:sz w:val="28"/>
                <w:szCs w:val="28"/>
              </w:rPr>
              <w:t>石家庄市藁城区人民</w:t>
            </w:r>
            <w:r>
              <w:rPr>
                <w:rFonts w:hint="eastAsia" w:ascii="仿宋" w:hAnsi="仿宋" w:eastAsia="仿宋"/>
                <w:sz w:val="28"/>
                <w:szCs w:val="28"/>
                <w:lang w:val="en-US" w:eastAsia="zh-CN"/>
              </w:rPr>
              <w:t>检察院</w:t>
            </w:r>
          </w:p>
        </w:tc>
        <w:tc>
          <w:tcPr>
            <w:tcW w:w="1824" w:type="dxa"/>
          </w:tcPr>
          <w:p>
            <w:pPr>
              <w:adjustRightInd w:val="0"/>
              <w:snapToGrid w:val="0"/>
              <w:spacing w:line="560" w:lineRule="exact"/>
              <w:jc w:val="center"/>
              <w:rPr>
                <w:rFonts w:hint="eastAsia" w:ascii="仿宋" w:hAnsi="仿宋" w:eastAsia="仿宋"/>
                <w:sz w:val="28"/>
                <w:szCs w:val="28"/>
                <w:lang w:val="en-US" w:eastAsia="zh-CN"/>
              </w:rPr>
            </w:pPr>
            <w:r>
              <w:rPr>
                <w:rFonts w:hint="eastAsia" w:ascii="仿宋" w:hAnsi="仿宋" w:eastAsia="仿宋"/>
                <w:sz w:val="28"/>
                <w:szCs w:val="28"/>
                <w:lang w:val="en-US" w:eastAsia="zh-CN"/>
              </w:rPr>
              <w:t>出纳</w:t>
            </w:r>
          </w:p>
        </w:tc>
        <w:tc>
          <w:tcPr>
            <w:tcW w:w="1601" w:type="dxa"/>
          </w:tcPr>
          <w:p>
            <w:pPr>
              <w:adjustRightInd w:val="0"/>
              <w:snapToGrid w:val="0"/>
              <w:spacing w:line="560" w:lineRule="exact"/>
              <w:ind w:firstLine="560" w:firstLineChars="200"/>
              <w:jc w:val="center"/>
              <w:rPr>
                <w:rFonts w:ascii="仿宋" w:hAnsi="仿宋" w:eastAsia="仿宋"/>
                <w:sz w:val="28"/>
                <w:szCs w:val="28"/>
              </w:rPr>
            </w:pPr>
          </w:p>
        </w:tc>
      </w:tr>
    </w:tbl>
    <w:p>
      <w:pPr>
        <w:widowControl w:val="0"/>
        <w:wordWrap/>
        <w:adjustRightInd/>
        <w:snapToGrid w:val="0"/>
        <w:spacing w:line="560" w:lineRule="exact"/>
        <w:ind w:right="0"/>
        <w:textAlignment w:val="auto"/>
        <w:outlineLvl w:val="9"/>
        <w:rPr>
          <w:rFonts w:hint="eastAsia" w:ascii="仿宋" w:hAnsi="仿宋" w:eastAsia="仿宋" w:cs="仿宋"/>
          <w:sz w:val="32"/>
          <w:szCs w:val="32"/>
          <w:lang w:eastAsia="zh-CN"/>
        </w:rPr>
        <w:sectPr>
          <w:footerReference r:id="rId3" w:type="default"/>
          <w:pgSz w:w="11900" w:h="16840"/>
          <w:pgMar w:top="2041" w:right="1304" w:bottom="1701" w:left="1531" w:header="720" w:footer="720" w:gutter="0"/>
          <w:pgNumType w:fmt="numberInDash"/>
          <w:cols w:space="720" w:num="1"/>
        </w:sectPr>
      </w:pPr>
    </w:p>
    <w:p>
      <w:pPr>
        <w:widowControl w:val="0"/>
        <w:wordWrap/>
        <w:adjustRightInd/>
        <w:snapToGrid w:val="0"/>
        <w:spacing w:line="560" w:lineRule="exact"/>
        <w:ind w:right="0"/>
        <w:textAlignment w:val="auto"/>
        <w:outlineLvl w:val="9"/>
        <w:rPr>
          <w:rFonts w:hint="eastAsia" w:ascii="仿宋" w:hAnsi="仿宋" w:eastAsia="仿宋" w:cs="仿宋"/>
          <w:sz w:val="32"/>
          <w:szCs w:val="32"/>
          <w:lang w:eastAsia="zh-CN"/>
        </w:rPr>
      </w:pPr>
    </w:p>
    <w:sectPr>
      <w:headerReference r:id="rId4" w:type="default"/>
      <w:footerReference r:id="rId5"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bookmarkStart w:id="0" w:name="_GoBack"/>
    <w:bookmarkEnd w:id="0"/>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s0lY7tAAAAAFAQAADwAAAAAAAAABACAAAAAiAAAAZHJzL2Rvd25yZXYueG1sUEsBAhQA&#10;FAAAAAgAh07iQE7BG13eAgAAJAYAAA4AAAAAAAAAAQAgAAAAHwEAAGRycy9lMm9Eb2MueG1sUEsF&#10;BgAAAAAGAAYAWQEAAG8GA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9F1EC4"/>
    <w:multiLevelType w:val="singleLevel"/>
    <w:tmpl w:val="B79F1EC4"/>
    <w:lvl w:ilvl="0" w:tentative="0">
      <w:start w:val="3"/>
      <w:numFmt w:val="chineseCounting"/>
      <w:suff w:val="nothing"/>
      <w:lvlText w:val="%1、"/>
      <w:lvlJc w:val="left"/>
      <w:pPr>
        <w:ind w:left="-10"/>
      </w:pPr>
      <w:rPr>
        <w:rFonts w:hint="eastAsia"/>
      </w:rPr>
    </w:lvl>
  </w:abstractNum>
  <w:abstractNum w:abstractNumId="1">
    <w:nsid w:val="BB4DC8E1"/>
    <w:multiLevelType w:val="singleLevel"/>
    <w:tmpl w:val="BB4DC8E1"/>
    <w:lvl w:ilvl="0" w:tentative="0">
      <w:start w:val="2"/>
      <w:numFmt w:val="decimal"/>
      <w:lvlText w:val="%1."/>
      <w:lvlJc w:val="left"/>
      <w:pPr>
        <w:tabs>
          <w:tab w:val="left" w:pos="312"/>
        </w:tabs>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A3YTM0OWE3OTMwZGE3NmQ5NzMzMGY0ZDQ4YzEyYjY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1D4810"/>
    <w:rsid w:val="055B525F"/>
    <w:rsid w:val="0EC64C29"/>
    <w:rsid w:val="13B61930"/>
    <w:rsid w:val="1BAF1154"/>
    <w:rsid w:val="1C655171"/>
    <w:rsid w:val="1CB16C45"/>
    <w:rsid w:val="20276775"/>
    <w:rsid w:val="2B5E0213"/>
    <w:rsid w:val="2D1D2F43"/>
    <w:rsid w:val="2D790429"/>
    <w:rsid w:val="31383B5D"/>
    <w:rsid w:val="334163E8"/>
    <w:rsid w:val="35D73F34"/>
    <w:rsid w:val="37695060"/>
    <w:rsid w:val="3AEF6FE7"/>
    <w:rsid w:val="493B718D"/>
    <w:rsid w:val="4A7962C2"/>
    <w:rsid w:val="4BFC24EE"/>
    <w:rsid w:val="53A42ADD"/>
    <w:rsid w:val="58705DF6"/>
    <w:rsid w:val="5C4A315B"/>
    <w:rsid w:val="5E124A26"/>
    <w:rsid w:val="661D3074"/>
    <w:rsid w:val="6B6516E9"/>
    <w:rsid w:val="6BDE7164"/>
    <w:rsid w:val="75F4121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Char"/>
    <w:basedOn w:val="6"/>
    <w:link w:val="3"/>
    <w:qFormat/>
    <w:uiPriority w:val="99"/>
    <w:rPr>
      <w:sz w:val="18"/>
      <w:szCs w:val="18"/>
    </w:rPr>
  </w:style>
  <w:style w:type="character" w:customStyle="1" w:styleId="8">
    <w:name w:val="页脚 Char"/>
    <w:basedOn w:val="6"/>
    <w:link w:val="2"/>
    <w:qFormat/>
    <w:uiPriority w:val="99"/>
    <w:rPr>
      <w:sz w:val="18"/>
      <w:szCs w:val="18"/>
    </w:rPr>
  </w:style>
  <w:style w:type="paragraph" w:customStyle="1" w:styleId="9">
    <w:name w:val="插入文本样式-插入部门职责文件"/>
    <w:basedOn w:val="1"/>
    <w:qFormat/>
    <w:uiPriority w:val="0"/>
    <w:pPr>
      <w:spacing w:line="500" w:lineRule="exact"/>
      <w:ind w:firstLine="560"/>
    </w:pPr>
    <w:rPr>
      <w:rFonts w:eastAsia="方正仿宋_GBK"/>
      <w:sz w:val="28"/>
    </w:rPr>
  </w:style>
  <w:style w:type="paragraph" w:customStyle="1" w:styleId="10">
    <w:name w:val="插入文本样式-插入总体目标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64</Words>
  <Characters>367</Characters>
  <Lines>3</Lines>
  <Paragraphs>1</Paragraphs>
  <TotalTime>2</TotalTime>
  <ScaleCrop>false</ScaleCrop>
  <LinksUpToDate>false</LinksUpToDate>
  <CharactersWithSpaces>0</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cp:lastModifiedBy>
  <cp:lastPrinted>2021-02-24T05:43:00Z</cp:lastPrinted>
  <dcterms:modified xsi:type="dcterms:W3CDTF">2023-07-21T06:47:51Z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E63D5A7C90D94013833940145AD545CA_12</vt:lpwstr>
  </property>
</Properties>
</file>