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石家庄市藁城区人民法院</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石家庄市藁城区人民法院为财政拨款行政单位，我院基本职责为：</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（二）依法审判法律规定由藁城区人民法院管辖的刑事、民事、行政等第一审案件。</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（三）依法审判上级人民法院指定、同级人民法院移送的刑事、行政等第一审案件。</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（四）审查和受理各类申诉案件，审判各类再审案件，处理来信来访。</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（五）依法办理发生法律效力的民事、行政案件判决和裁定执行事项及刑事案件判决和裁定中关于财产部分的执行事项；办理法律规定由基层人民法院执行的其他法律文书的执行事项。</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（六）负责审判工作的调查研究，总结审判工作的经验。</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（七）负责干警思想政治教育和业务培训工作；按照权限管理法官和其他工作人员。</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（八）管理有关经费及物资装备。</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（九）负责司法技术鉴定、通讯、计算机等技术管理工作。</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（十）负责审判工作中的法制宣传，教育公民忠于祖国，自觉遵守宪法、法律和社会公德。</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（十一）完成其他应由藁城区人民法院负责的工作。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我院</w:t>
      </w:r>
      <w:r>
        <w:rPr>
          <w:rFonts w:hint="eastAsia" w:ascii="仿宋" w:hAnsi="仿宋" w:eastAsia="仿宋" w:cs="仿宋"/>
          <w:sz w:val="32"/>
          <w:szCs w:val="32"/>
          <w:lang w:val="en-US" w:eastAsia="zh-CN"/>
        </w:rPr>
        <w:t>2022年预算收入3418.66万元，决算支出3418.66万元。整体支出绩效目标指标包括：</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办理案件数（个）预期指标值≥9000件；执法办案行为投诉率（%）预期指标值≤5%；资金支出进度（%）预期指标值≥90%；资金利用率（%）预期指标值≥90%；化解矛盾率（%）预期指标值≥95%；案件流程合规率（%）预期指标值≥98%；收益对象满意度（%）预期指标值≥95%。</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adjustRightInd w:val="0"/>
        <w:snapToGrid w:val="0"/>
        <w:spacing w:line="560" w:lineRule="exact"/>
        <w:ind w:firstLine="640" w:firstLineChars="200"/>
        <w:rPr>
          <w:rFonts w:hint="default" w:ascii="仿宋" w:hAnsi="仿宋" w:eastAsia="仿宋" w:cs="仿宋"/>
          <w:sz w:val="32"/>
          <w:szCs w:val="32"/>
          <w:lang w:val="en-US" w:eastAsia="zh-CN"/>
        </w:rPr>
      </w:pPr>
      <w:r>
        <w:rPr>
          <w:rFonts w:hint="eastAsia" w:ascii="仿宋" w:hAnsi="仿宋" w:eastAsia="仿宋"/>
          <w:sz w:val="32"/>
          <w:szCs w:val="32"/>
          <w:lang w:eastAsia="zh-CN"/>
        </w:rPr>
        <w:t>我院</w:t>
      </w:r>
      <w:r>
        <w:rPr>
          <w:rFonts w:hint="eastAsia" w:ascii="仿宋" w:hAnsi="仿宋" w:eastAsia="仿宋"/>
          <w:sz w:val="32"/>
          <w:szCs w:val="32"/>
        </w:rPr>
        <w:t>成立绩效评价小组，对20</w:t>
      </w:r>
      <w:r>
        <w:rPr>
          <w:rFonts w:hint="eastAsia" w:ascii="仿宋" w:hAnsi="仿宋" w:eastAsia="仿宋"/>
          <w:sz w:val="32"/>
          <w:szCs w:val="32"/>
          <w:lang w:val="en-US" w:eastAsia="zh-CN"/>
        </w:rPr>
        <w:t>22</w:t>
      </w:r>
      <w:r>
        <w:rPr>
          <w:rFonts w:hint="eastAsia" w:ascii="仿宋" w:hAnsi="仿宋" w:eastAsia="仿宋"/>
          <w:sz w:val="32"/>
          <w:szCs w:val="32"/>
        </w:rPr>
        <w:t>年度</w:t>
      </w:r>
      <w:r>
        <w:rPr>
          <w:rFonts w:hint="eastAsia" w:ascii="仿宋" w:hAnsi="仿宋" w:eastAsia="仿宋"/>
          <w:sz w:val="32"/>
          <w:szCs w:val="32"/>
          <w:lang w:eastAsia="zh-CN"/>
        </w:rPr>
        <w:t>的案卷印刷邮寄、维修费、办公设备购置（办案支出）、案卷印刷邮寄、维修费、办公设备购置[办案支出]、城中村改造驻村工作组经费补助、法院法警加班及执勤补贴、法院工作人员工作日之外加班补贴、陪审员经费、聘用人员工资、石财行[2021]55号关于提前下达2022年中央政法纪检监察转移支付资金的通知（法院）、石财行[2021]66号关于提前下达2022年法院建设补助资金的通知("“两庭”基础设施维修")、石财行[2021]66号关于提前下达2022年法院建设补助资金的通知（业务装备购置）、石财行[2022]13号关于下达2022年第二批中央政法转移支付资金的通知、石财行[2022]13号关于下达2022年第二批中央政法转移支付资金的通知（扫黑除恶）、石财行[2022]13号关于下达2022年第二批中央政法转移支付资金的通知(司法救助)、石财行[2022]15号关于下达市级大要案经费、涉法涉诉专项资金等经费的通知（大要案准备金补助）、石财行[2022]1号关于下达2022年省级基层公检法司转移支付资金的通知、诉调经费</w:t>
      </w:r>
      <w:r>
        <w:rPr>
          <w:rFonts w:hint="eastAsia" w:ascii="仿宋" w:hAnsi="仿宋" w:eastAsia="仿宋"/>
          <w:sz w:val="32"/>
          <w:szCs w:val="32"/>
        </w:rPr>
        <w:t>项目财政支出的经济性、效率性及效益性进行重点评价，并针对评价内容做出分析及合理化建议。</w:t>
      </w:r>
      <w:r>
        <w:rPr>
          <w:rFonts w:hint="eastAsia" w:ascii="仿宋" w:hAnsi="仿宋" w:eastAsia="仿宋"/>
          <w:sz w:val="32"/>
          <w:szCs w:val="32"/>
          <w:lang w:eastAsia="zh-CN"/>
        </w:rPr>
        <w:t>并</w:t>
      </w:r>
      <w:r>
        <w:rPr>
          <w:rFonts w:hint="eastAsia" w:ascii="仿宋" w:hAnsi="仿宋" w:eastAsia="仿宋"/>
          <w:sz w:val="32"/>
          <w:szCs w:val="32"/>
        </w:rPr>
        <w:t>通过主要负责人和主管科室对</w:t>
      </w:r>
      <w:r>
        <w:rPr>
          <w:rFonts w:hint="eastAsia" w:ascii="仿宋" w:hAnsi="仿宋" w:eastAsia="仿宋"/>
          <w:sz w:val="32"/>
          <w:szCs w:val="32"/>
          <w:lang w:eastAsia="zh-CN"/>
        </w:rPr>
        <w:t>以上</w:t>
      </w:r>
      <w:r>
        <w:rPr>
          <w:rFonts w:hint="eastAsia" w:ascii="仿宋" w:hAnsi="仿宋" w:eastAsia="仿宋"/>
          <w:sz w:val="32"/>
          <w:szCs w:val="32"/>
        </w:rPr>
        <w:t>项目经费的使用情况开展绩效评价。20</w:t>
      </w:r>
      <w:r>
        <w:rPr>
          <w:rFonts w:hint="eastAsia" w:ascii="仿宋" w:hAnsi="仿宋" w:eastAsia="仿宋"/>
          <w:sz w:val="32"/>
          <w:szCs w:val="32"/>
          <w:lang w:val="en-US" w:eastAsia="zh-CN"/>
        </w:rPr>
        <w:t>22</w:t>
      </w:r>
      <w:r>
        <w:rPr>
          <w:rFonts w:hint="eastAsia" w:ascii="仿宋" w:hAnsi="仿宋" w:eastAsia="仿宋"/>
          <w:sz w:val="32"/>
          <w:szCs w:val="32"/>
        </w:rPr>
        <w:t>年度</w:t>
      </w:r>
      <w:r>
        <w:rPr>
          <w:rFonts w:hint="eastAsia" w:ascii="仿宋" w:hAnsi="仿宋" w:eastAsia="仿宋"/>
          <w:sz w:val="32"/>
          <w:szCs w:val="32"/>
          <w:lang w:eastAsia="zh-CN"/>
        </w:rPr>
        <w:t>的案卷印刷邮寄、维修费、办公设备购置（办案支出）预算安排</w:t>
      </w:r>
      <w:r>
        <w:rPr>
          <w:rFonts w:hint="eastAsia" w:ascii="仿宋" w:hAnsi="仿宋" w:eastAsia="仿宋"/>
          <w:sz w:val="32"/>
          <w:szCs w:val="32"/>
          <w:lang w:val="en-US" w:eastAsia="zh-CN"/>
        </w:rPr>
        <w:t>350.54万元，资金支出350.54万元；</w:t>
      </w:r>
      <w:r>
        <w:rPr>
          <w:rFonts w:hint="eastAsia" w:ascii="仿宋" w:hAnsi="仿宋" w:eastAsia="仿宋"/>
          <w:sz w:val="32"/>
          <w:szCs w:val="32"/>
          <w:lang w:eastAsia="zh-CN"/>
        </w:rPr>
        <w:t>案卷印刷邮寄、维修费、办公设备购置[办案支出]预算安排</w:t>
      </w:r>
      <w:r>
        <w:rPr>
          <w:rFonts w:hint="eastAsia" w:ascii="仿宋" w:hAnsi="仿宋" w:eastAsia="仿宋"/>
          <w:sz w:val="32"/>
          <w:szCs w:val="32"/>
          <w:lang w:val="en-US" w:eastAsia="zh-CN"/>
        </w:rPr>
        <w:t>86.87万元，资金支出86.87万元；</w:t>
      </w:r>
      <w:r>
        <w:rPr>
          <w:rFonts w:hint="eastAsia" w:ascii="仿宋" w:hAnsi="仿宋" w:eastAsia="仿宋"/>
          <w:sz w:val="32"/>
          <w:szCs w:val="32"/>
          <w:lang w:eastAsia="zh-CN"/>
        </w:rPr>
        <w:t>城中村改造驻村工作组经费补助预算安排</w:t>
      </w:r>
      <w:r>
        <w:rPr>
          <w:rFonts w:hint="eastAsia" w:ascii="仿宋" w:hAnsi="仿宋" w:eastAsia="仿宋"/>
          <w:sz w:val="32"/>
          <w:szCs w:val="32"/>
          <w:lang w:val="en-US" w:eastAsia="zh-CN"/>
        </w:rPr>
        <w:t>10万元，支出10万元；</w:t>
      </w:r>
      <w:r>
        <w:rPr>
          <w:rFonts w:hint="eastAsia" w:ascii="仿宋" w:hAnsi="仿宋" w:eastAsia="仿宋"/>
          <w:sz w:val="32"/>
          <w:szCs w:val="32"/>
          <w:lang w:eastAsia="zh-CN"/>
        </w:rPr>
        <w:t>法院法警加班及执勤补贴预算安排</w:t>
      </w:r>
      <w:r>
        <w:rPr>
          <w:rFonts w:hint="eastAsia" w:ascii="仿宋" w:hAnsi="仿宋" w:eastAsia="仿宋"/>
          <w:sz w:val="32"/>
          <w:szCs w:val="32"/>
          <w:lang w:val="en-US" w:eastAsia="zh-CN"/>
        </w:rPr>
        <w:t>10.56万元，支出10.56万元；</w:t>
      </w:r>
      <w:r>
        <w:rPr>
          <w:rFonts w:hint="eastAsia" w:ascii="仿宋" w:hAnsi="仿宋" w:eastAsia="仿宋"/>
          <w:sz w:val="32"/>
          <w:szCs w:val="32"/>
          <w:lang w:eastAsia="zh-CN"/>
        </w:rPr>
        <w:t>法院工作人员工作日之外加班补贴预算安排</w:t>
      </w:r>
      <w:r>
        <w:rPr>
          <w:rFonts w:hint="eastAsia" w:ascii="仿宋" w:hAnsi="仿宋" w:eastAsia="仿宋"/>
          <w:sz w:val="32"/>
          <w:szCs w:val="32"/>
          <w:lang w:val="en-US" w:eastAsia="zh-CN"/>
        </w:rPr>
        <w:t>18.99万元，支出18.99万元；</w:t>
      </w:r>
      <w:r>
        <w:rPr>
          <w:rFonts w:hint="eastAsia" w:ascii="仿宋" w:hAnsi="仿宋" w:eastAsia="仿宋"/>
          <w:sz w:val="32"/>
          <w:szCs w:val="32"/>
          <w:lang w:eastAsia="zh-CN"/>
        </w:rPr>
        <w:t>陪审员经费预算安排</w:t>
      </w:r>
      <w:r>
        <w:rPr>
          <w:rFonts w:hint="eastAsia" w:ascii="仿宋" w:hAnsi="仿宋" w:eastAsia="仿宋"/>
          <w:sz w:val="32"/>
          <w:szCs w:val="32"/>
          <w:lang w:val="en-US" w:eastAsia="zh-CN"/>
        </w:rPr>
        <w:t>8.61万元，支出8.61万元；</w:t>
      </w:r>
      <w:r>
        <w:rPr>
          <w:rFonts w:hint="eastAsia" w:ascii="仿宋" w:hAnsi="仿宋" w:eastAsia="仿宋"/>
          <w:sz w:val="32"/>
          <w:szCs w:val="32"/>
          <w:lang w:eastAsia="zh-CN"/>
        </w:rPr>
        <w:t>聘用人员工资预算安排</w:t>
      </w:r>
      <w:r>
        <w:rPr>
          <w:rFonts w:hint="eastAsia" w:ascii="仿宋" w:hAnsi="仿宋" w:eastAsia="仿宋"/>
          <w:sz w:val="32"/>
          <w:szCs w:val="32"/>
          <w:lang w:val="en-US" w:eastAsia="zh-CN"/>
        </w:rPr>
        <w:t>200.46万元，支出200.46万元；</w:t>
      </w:r>
      <w:r>
        <w:rPr>
          <w:rFonts w:hint="eastAsia" w:ascii="仿宋" w:hAnsi="仿宋" w:eastAsia="仿宋"/>
          <w:sz w:val="32"/>
          <w:szCs w:val="32"/>
          <w:lang w:eastAsia="zh-CN"/>
        </w:rPr>
        <w:t>石财行[2021]55号关于提前下达2022年中央政法纪检监察转移支付资金的通知（法院）预算安排</w:t>
      </w:r>
      <w:r>
        <w:rPr>
          <w:rFonts w:hint="eastAsia" w:ascii="仿宋" w:hAnsi="仿宋" w:eastAsia="仿宋"/>
          <w:sz w:val="32"/>
          <w:szCs w:val="32"/>
          <w:lang w:val="en-US" w:eastAsia="zh-CN"/>
        </w:rPr>
        <w:t>169万元，支出113.13万元；</w:t>
      </w:r>
      <w:r>
        <w:rPr>
          <w:rFonts w:hint="eastAsia" w:ascii="仿宋" w:hAnsi="仿宋" w:eastAsia="仿宋"/>
          <w:sz w:val="32"/>
          <w:szCs w:val="32"/>
          <w:lang w:eastAsia="zh-CN"/>
        </w:rPr>
        <w:t>石财行[2021]66号关于提前下达2022年法院建设补助资金的通知("“两庭”基础设施维修")预算安排</w:t>
      </w:r>
      <w:r>
        <w:rPr>
          <w:rFonts w:hint="eastAsia" w:ascii="仿宋" w:hAnsi="仿宋" w:eastAsia="仿宋"/>
          <w:sz w:val="32"/>
          <w:szCs w:val="32"/>
          <w:lang w:val="en-US" w:eastAsia="zh-CN"/>
        </w:rPr>
        <w:t>80万元，支出80万元；</w:t>
      </w:r>
      <w:r>
        <w:rPr>
          <w:rFonts w:hint="eastAsia" w:ascii="仿宋" w:hAnsi="仿宋" w:eastAsia="仿宋"/>
          <w:sz w:val="32"/>
          <w:szCs w:val="32"/>
          <w:lang w:eastAsia="zh-CN"/>
        </w:rPr>
        <w:t>石财行[2021]66号关于提前下达2022年法院建设补助资金的通知（业务装备购置）预算安排</w:t>
      </w:r>
      <w:r>
        <w:rPr>
          <w:rFonts w:hint="eastAsia" w:ascii="仿宋" w:hAnsi="仿宋" w:eastAsia="仿宋"/>
          <w:sz w:val="32"/>
          <w:szCs w:val="32"/>
          <w:lang w:val="en-US" w:eastAsia="zh-CN"/>
        </w:rPr>
        <w:t>20万元，支出18.97万元；</w:t>
      </w:r>
      <w:r>
        <w:rPr>
          <w:rFonts w:hint="eastAsia" w:ascii="仿宋" w:hAnsi="仿宋" w:eastAsia="仿宋"/>
          <w:sz w:val="32"/>
          <w:szCs w:val="32"/>
          <w:lang w:eastAsia="zh-CN"/>
        </w:rPr>
        <w:t>石财行[2022]13号关于下达2022年第二批中央政法转移支付资金的通知预算安排</w:t>
      </w:r>
      <w:r>
        <w:rPr>
          <w:rFonts w:hint="eastAsia" w:ascii="仿宋" w:hAnsi="仿宋" w:eastAsia="仿宋"/>
          <w:sz w:val="32"/>
          <w:szCs w:val="32"/>
          <w:lang w:val="en-US" w:eastAsia="zh-CN"/>
        </w:rPr>
        <w:t>26万元，支出26万元；</w:t>
      </w:r>
      <w:r>
        <w:rPr>
          <w:rFonts w:hint="eastAsia" w:ascii="仿宋" w:hAnsi="仿宋" w:eastAsia="仿宋"/>
          <w:sz w:val="32"/>
          <w:szCs w:val="32"/>
          <w:lang w:eastAsia="zh-CN"/>
        </w:rPr>
        <w:t>石财行[2022]13号关于下达2022年第二批中央政法转移支付资金的通知（扫黑除恶）预算安排</w:t>
      </w:r>
      <w:r>
        <w:rPr>
          <w:rFonts w:hint="eastAsia" w:ascii="仿宋" w:hAnsi="仿宋" w:eastAsia="仿宋"/>
          <w:sz w:val="32"/>
          <w:szCs w:val="32"/>
          <w:lang w:val="en-US" w:eastAsia="zh-CN"/>
        </w:rPr>
        <w:t>3.5万元，支出3.5万元；</w:t>
      </w:r>
      <w:r>
        <w:rPr>
          <w:rFonts w:hint="eastAsia" w:ascii="仿宋" w:hAnsi="仿宋" w:eastAsia="仿宋"/>
          <w:sz w:val="32"/>
          <w:szCs w:val="32"/>
          <w:lang w:eastAsia="zh-CN"/>
        </w:rPr>
        <w:t>石财行[2022]13号关于下达2022年第二批中央政法转移支付资金的通知(司法救助)预算安排</w:t>
      </w:r>
      <w:r>
        <w:rPr>
          <w:rFonts w:hint="eastAsia" w:ascii="仿宋" w:hAnsi="仿宋" w:eastAsia="仿宋"/>
          <w:sz w:val="32"/>
          <w:szCs w:val="32"/>
          <w:lang w:val="en-US" w:eastAsia="zh-CN"/>
        </w:rPr>
        <w:t>26万元，支出26万元；</w:t>
      </w:r>
      <w:r>
        <w:rPr>
          <w:rFonts w:hint="eastAsia" w:ascii="仿宋" w:hAnsi="仿宋" w:eastAsia="仿宋"/>
          <w:sz w:val="32"/>
          <w:szCs w:val="32"/>
          <w:lang w:eastAsia="zh-CN"/>
        </w:rPr>
        <w:t>石财行[2022]15号关于下达市级大要案经费、涉法涉诉专项资金等经费的通知（大要案准备金补助）</w:t>
      </w:r>
      <w:r>
        <w:rPr>
          <w:rFonts w:hint="eastAsia" w:ascii="仿宋" w:hAnsi="仿宋" w:eastAsia="仿宋"/>
          <w:sz w:val="32"/>
          <w:szCs w:val="32"/>
          <w:lang w:val="en-US" w:eastAsia="zh-CN"/>
        </w:rPr>
        <w:t>2万元，支出2万元；</w:t>
      </w:r>
      <w:r>
        <w:rPr>
          <w:rFonts w:hint="eastAsia" w:ascii="仿宋" w:hAnsi="仿宋" w:eastAsia="仿宋"/>
          <w:sz w:val="32"/>
          <w:szCs w:val="32"/>
          <w:lang w:eastAsia="zh-CN"/>
        </w:rPr>
        <w:t>石财行[2022]1号关于下达2022年省级基层公检法司转移支付资金的通知预算安排</w:t>
      </w:r>
      <w:r>
        <w:rPr>
          <w:rFonts w:hint="eastAsia" w:ascii="仿宋" w:hAnsi="仿宋" w:eastAsia="仿宋"/>
          <w:sz w:val="32"/>
          <w:szCs w:val="32"/>
          <w:lang w:val="en-US" w:eastAsia="zh-CN"/>
        </w:rPr>
        <w:t>76万元，支出29.34万元</w:t>
      </w:r>
      <w:r>
        <w:rPr>
          <w:rFonts w:hint="eastAsia" w:ascii="仿宋" w:hAnsi="仿宋" w:eastAsia="仿宋"/>
          <w:sz w:val="32"/>
          <w:szCs w:val="32"/>
          <w:lang w:eastAsia="zh-CN"/>
        </w:rPr>
        <w:t>、诉调经费预算安排</w:t>
      </w:r>
      <w:r>
        <w:rPr>
          <w:rFonts w:hint="eastAsia" w:ascii="仿宋" w:hAnsi="仿宋" w:eastAsia="仿宋"/>
          <w:sz w:val="32"/>
          <w:szCs w:val="32"/>
          <w:lang w:val="en-US" w:eastAsia="zh-CN"/>
        </w:rPr>
        <w:t>28.97万元，支出28.97万元。</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我院基本完成</w:t>
      </w:r>
      <w:r>
        <w:rPr>
          <w:rFonts w:hint="eastAsia" w:ascii="仿宋" w:hAnsi="仿宋" w:eastAsia="仿宋" w:cs="仿宋"/>
          <w:sz w:val="32"/>
          <w:szCs w:val="32"/>
          <w:lang w:val="en-US" w:eastAsia="zh-CN"/>
        </w:rPr>
        <w:t>2022年部门整体支出绩效目标，2022年我院办理案件数（个）预期指标值≥9000件，实际完成值12421件；执法办案行为投诉率（%）预期指标值≤5%，实际完成值0；资金支出进度（%）预期指标值≥90%，实际完成值90.73%；资金利用率（%）预期指标值≥90%，实际完成值90.73%；化解矛盾率（%）预期指标值≥95%，实际完成值100%；案件流程合规率（%）预期指标值≥98%，实际完成值100%；收益对象满意度（%）预期指标值≥95%，实际完成值100%。</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案卷印刷邮寄、维修费、办公设备购置（办案支出）得分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案卷印刷邮寄、维修费、办公设备购置[办案支出]得分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城中村改造驻村工作组经费补助得分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法院法警加班及执勤补贴得分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法院工作人员工作日之外加班补贴得分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陪审员经费得分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聘用人员工资得分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石财行[2021]55号关于提前下达2022年中央政法纪检监察转移支付资金的通知（法院）得分</w:t>
      </w:r>
      <w:r>
        <w:rPr>
          <w:rFonts w:hint="eastAsia" w:ascii="仿宋" w:hAnsi="仿宋" w:eastAsia="仿宋"/>
          <w:sz w:val="32"/>
          <w:szCs w:val="32"/>
          <w:lang w:val="en-US" w:eastAsia="zh-CN"/>
        </w:rPr>
        <w:t>94，评价为良好；</w:t>
      </w:r>
      <w:r>
        <w:rPr>
          <w:rFonts w:hint="eastAsia" w:ascii="仿宋" w:hAnsi="仿宋" w:eastAsia="仿宋"/>
          <w:sz w:val="32"/>
          <w:szCs w:val="32"/>
          <w:lang w:eastAsia="zh-CN"/>
        </w:rPr>
        <w:t>石财行[2021]66号关于提前下达2022年法院建设补助资金的通知("“两庭”基础设施维修")得分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石财行[2021]66号关于提前下达2022年法院建设补助资金的通知（业务装备购置）得分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石财行[2022]13号关于下达2022年第二批中央政法转移支付资金的通知得分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石财行[2022]13号关于下达2022年第二批中央政法转移支付资金的通知（扫黑除恶）得分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石财行[2022]13号关于下达2022年第二批中央政法转移支付资金的通知(司法救助)得分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石财行[2022]15号关于下达市级大要案经费得分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涉法涉诉专项资金等经费的通知（大要案准备金补助）得分</w:t>
      </w:r>
      <w:r>
        <w:rPr>
          <w:rFonts w:hint="eastAsia" w:ascii="仿宋" w:hAnsi="仿宋" w:eastAsia="仿宋"/>
          <w:sz w:val="32"/>
          <w:szCs w:val="32"/>
          <w:lang w:val="en-US" w:eastAsia="zh-CN"/>
        </w:rPr>
        <w:t>100，评价为优秀；</w:t>
      </w:r>
      <w:r>
        <w:rPr>
          <w:rFonts w:hint="eastAsia" w:ascii="仿宋" w:hAnsi="仿宋" w:eastAsia="仿宋"/>
          <w:sz w:val="32"/>
          <w:szCs w:val="32"/>
          <w:lang w:eastAsia="zh-CN"/>
        </w:rPr>
        <w:t>石财行[2022]1号关于下达2022年省级基层公检法司转移支付资金的通知得分</w:t>
      </w:r>
      <w:r>
        <w:rPr>
          <w:rFonts w:hint="eastAsia" w:ascii="仿宋" w:hAnsi="仿宋" w:eastAsia="仿宋"/>
          <w:sz w:val="32"/>
          <w:szCs w:val="32"/>
          <w:lang w:val="en-US" w:eastAsia="zh-CN"/>
        </w:rPr>
        <w:t>88，评价为良好；</w:t>
      </w:r>
      <w:r>
        <w:rPr>
          <w:rFonts w:hint="eastAsia" w:ascii="仿宋" w:hAnsi="仿宋" w:eastAsia="仿宋"/>
          <w:sz w:val="32"/>
          <w:szCs w:val="32"/>
          <w:lang w:eastAsia="zh-CN"/>
        </w:rPr>
        <w:t>诉调经费得分</w:t>
      </w:r>
      <w:r>
        <w:rPr>
          <w:rFonts w:hint="eastAsia" w:ascii="仿宋" w:hAnsi="仿宋" w:eastAsia="仿宋"/>
          <w:sz w:val="32"/>
          <w:szCs w:val="32"/>
          <w:lang w:val="en-US" w:eastAsia="zh-CN"/>
        </w:rPr>
        <w:t>100，评价为优秀。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无</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pPr w:leftFromText="180" w:rightFromText="180" w:vertAnchor="text" w:horzAnchor="margin" w:tblpXSpec="center" w:tblpY="259"/>
        <w:tblOverlap w:val="never"/>
        <w:tblW w:w="92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134"/>
        <w:gridCol w:w="3402"/>
        <w:gridCol w:w="1740"/>
        <w:gridCol w:w="1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序号</w:t>
            </w:r>
          </w:p>
        </w:tc>
        <w:tc>
          <w:tcPr>
            <w:tcW w:w="1134"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姓名</w:t>
            </w:r>
          </w:p>
        </w:tc>
        <w:tc>
          <w:tcPr>
            <w:tcW w:w="3402"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工作单位</w:t>
            </w:r>
          </w:p>
        </w:tc>
        <w:tc>
          <w:tcPr>
            <w:tcW w:w="1740"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职务</w:t>
            </w:r>
          </w:p>
        </w:tc>
        <w:tc>
          <w:tcPr>
            <w:tcW w:w="1946"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1</w:t>
            </w:r>
          </w:p>
        </w:tc>
        <w:tc>
          <w:tcPr>
            <w:tcW w:w="1134" w:type="dxa"/>
          </w:tcPr>
          <w:p>
            <w:pPr>
              <w:adjustRightInd w:val="0"/>
              <w:snapToGrid w:val="0"/>
              <w:spacing w:line="560" w:lineRule="exact"/>
              <w:rPr>
                <w:rFonts w:ascii="仿宋" w:hAnsi="仿宋" w:eastAsia="仿宋"/>
                <w:sz w:val="28"/>
                <w:szCs w:val="28"/>
              </w:rPr>
            </w:pPr>
            <w:r>
              <w:rPr>
                <w:rFonts w:hint="eastAsia" w:ascii="仿宋" w:hAnsi="仿宋" w:eastAsia="仿宋"/>
                <w:sz w:val="28"/>
                <w:szCs w:val="28"/>
              </w:rPr>
              <w:t>常晓丰</w:t>
            </w:r>
          </w:p>
        </w:tc>
        <w:tc>
          <w:tcPr>
            <w:tcW w:w="3402"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石家庄市藁城区人民法院</w:t>
            </w:r>
          </w:p>
        </w:tc>
        <w:tc>
          <w:tcPr>
            <w:tcW w:w="1740"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副院长</w:t>
            </w:r>
          </w:p>
        </w:tc>
        <w:tc>
          <w:tcPr>
            <w:tcW w:w="1946" w:type="dxa"/>
          </w:tcPr>
          <w:p>
            <w:pPr>
              <w:adjustRightInd w:val="0"/>
              <w:snapToGrid w:val="0"/>
              <w:spacing w:line="560" w:lineRule="exact"/>
              <w:ind w:firstLine="560" w:firstLineChars="200"/>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2</w:t>
            </w:r>
          </w:p>
        </w:tc>
        <w:tc>
          <w:tcPr>
            <w:tcW w:w="1134" w:type="dxa"/>
          </w:tcPr>
          <w:p>
            <w:pPr>
              <w:adjustRightInd w:val="0"/>
              <w:snapToGrid w:val="0"/>
              <w:spacing w:line="560" w:lineRule="exact"/>
              <w:rPr>
                <w:rFonts w:hint="eastAsia" w:ascii="仿宋" w:hAnsi="仿宋" w:eastAsia="仿宋"/>
                <w:sz w:val="28"/>
                <w:szCs w:val="28"/>
                <w:lang w:eastAsia="zh-CN"/>
              </w:rPr>
            </w:pPr>
            <w:r>
              <w:rPr>
                <w:rFonts w:hint="eastAsia" w:ascii="仿宋" w:hAnsi="仿宋" w:eastAsia="仿宋"/>
                <w:sz w:val="28"/>
                <w:szCs w:val="28"/>
                <w:lang w:eastAsia="zh-CN"/>
              </w:rPr>
              <w:t>李同分</w:t>
            </w:r>
          </w:p>
        </w:tc>
        <w:tc>
          <w:tcPr>
            <w:tcW w:w="3402"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石家庄市藁城区人民法院</w:t>
            </w:r>
          </w:p>
        </w:tc>
        <w:tc>
          <w:tcPr>
            <w:tcW w:w="1740"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办公室主任</w:t>
            </w:r>
          </w:p>
        </w:tc>
        <w:tc>
          <w:tcPr>
            <w:tcW w:w="1946" w:type="dxa"/>
          </w:tcPr>
          <w:p>
            <w:pPr>
              <w:adjustRightInd w:val="0"/>
              <w:snapToGrid w:val="0"/>
              <w:spacing w:line="560" w:lineRule="exact"/>
              <w:ind w:firstLine="560" w:firstLineChars="200"/>
              <w:jc w:val="center"/>
              <w:rPr>
                <w:rFonts w:ascii="仿宋" w:hAnsi="仿宋" w:eastAsia="仿宋"/>
                <w:sz w:val="28"/>
                <w:szCs w:val="28"/>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3</w:t>
            </w:r>
          </w:p>
        </w:tc>
        <w:tc>
          <w:tcPr>
            <w:tcW w:w="1134" w:type="dxa"/>
          </w:tcPr>
          <w:p>
            <w:pPr>
              <w:adjustRightInd w:val="0"/>
              <w:snapToGrid w:val="0"/>
              <w:spacing w:line="560" w:lineRule="exact"/>
              <w:rPr>
                <w:rFonts w:ascii="仿宋" w:hAnsi="仿宋" w:eastAsia="仿宋"/>
                <w:sz w:val="28"/>
                <w:szCs w:val="28"/>
              </w:rPr>
            </w:pPr>
            <w:r>
              <w:rPr>
                <w:rFonts w:hint="eastAsia" w:ascii="仿宋" w:hAnsi="仿宋" w:eastAsia="仿宋"/>
                <w:sz w:val="28"/>
                <w:szCs w:val="28"/>
              </w:rPr>
              <w:t>赵溪</w:t>
            </w:r>
          </w:p>
        </w:tc>
        <w:tc>
          <w:tcPr>
            <w:tcW w:w="3402"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石家庄市藁城区人民法院</w:t>
            </w:r>
          </w:p>
        </w:tc>
        <w:tc>
          <w:tcPr>
            <w:tcW w:w="1740"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会计</w:t>
            </w:r>
          </w:p>
        </w:tc>
        <w:tc>
          <w:tcPr>
            <w:tcW w:w="1946" w:type="dxa"/>
          </w:tcPr>
          <w:p>
            <w:pPr>
              <w:adjustRightInd w:val="0"/>
              <w:snapToGrid w:val="0"/>
              <w:spacing w:line="560" w:lineRule="exact"/>
              <w:ind w:firstLine="560" w:firstLineChars="200"/>
              <w:jc w:val="center"/>
              <w:rPr>
                <w:rFonts w:ascii="仿宋" w:hAnsi="仿宋" w:eastAsia="仿宋"/>
                <w:sz w:val="28"/>
                <w:szCs w:val="28"/>
              </w:rPr>
            </w:pPr>
          </w:p>
        </w:tc>
      </w:tr>
    </w:tbl>
    <w:p>
      <w:pPr>
        <w:spacing w:line="560" w:lineRule="exact"/>
        <w:jc w:val="right"/>
        <w:rPr>
          <w:rFonts w:ascii="仿宋" w:hAnsi="仿宋" w:eastAsia="仿宋"/>
          <w:sz w:val="32"/>
          <w:szCs w:val="32"/>
        </w:rPr>
      </w:pP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lMDQ2NzMwYzk4MzVkNjllZGJmZDc0OTNiYWJjYmQ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3AEF6FE7"/>
    <w:rsid w:val="412E4102"/>
    <w:rsid w:val="493B718D"/>
    <w:rsid w:val="53A42ADD"/>
    <w:rsid w:val="5C4A315B"/>
    <w:rsid w:val="661D3074"/>
    <w:rsid w:val="6BDE7164"/>
    <w:rsid w:val="7A70734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2585</Words>
  <Characters>3016</Characters>
  <Lines>3</Lines>
  <Paragraphs>1</Paragraphs>
  <TotalTime>7</TotalTime>
  <ScaleCrop>false</ScaleCrop>
  <LinksUpToDate>false</LinksUpToDate>
  <CharactersWithSpaces>3016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支持中丶英文</cp:lastModifiedBy>
  <cp:lastPrinted>2021-02-24T05:43:00Z</cp:lastPrinted>
  <dcterms:modified xsi:type="dcterms:W3CDTF">2023-07-21T02:29:03Z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C430651288FD413997F00AFE146CE667_12</vt:lpwstr>
  </property>
</Properties>
</file>