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val="0"/>
        <w:wordWrap/>
        <w:adjustRightInd/>
        <w:snapToGrid w:val="0"/>
        <w:spacing w:line="560" w:lineRule="exact"/>
        <w:ind w:left="0" w:leftChars="0" w:right="0"/>
        <w:textAlignment w:val="auto"/>
        <w:outlineLvl w:val="9"/>
        <w:rPr>
          <w:rFonts w:ascii="仿宋" w:hAnsi="仿宋" w:eastAsia="仿宋" w:cs="仿宋"/>
          <w:kern w:val="0"/>
          <w:sz w:val="32"/>
          <w:szCs w:val="32"/>
        </w:rPr>
      </w:pPr>
      <w:r>
        <w:rPr>
          <w:rFonts w:hint="eastAsia" w:ascii="仿宋" w:hAnsi="仿宋" w:eastAsia="仿宋" w:cs="仿宋"/>
          <w:sz w:val="32"/>
          <w:szCs w:val="32"/>
        </w:rPr>
        <w:t>附件</w:t>
      </w:r>
      <w:r>
        <w:rPr>
          <w:rFonts w:hint="eastAsia" w:ascii="仿宋" w:hAnsi="仿宋" w:eastAsia="仿宋" w:cs="仿宋"/>
          <w:sz w:val="32"/>
          <w:szCs w:val="32"/>
          <w:lang w:val="en-US" w:eastAsia="zh-CN"/>
        </w:rPr>
        <w:t>4</w:t>
      </w:r>
    </w:p>
    <w:p>
      <w:pPr>
        <w:widowControl w:val="0"/>
        <w:wordWrap/>
        <w:adjustRightInd/>
        <w:snapToGrid w:val="0"/>
        <w:spacing w:line="560" w:lineRule="exact"/>
        <w:ind w:left="0" w:leftChars="0" w:right="0"/>
        <w:jc w:val="center"/>
        <w:textAlignment w:val="auto"/>
        <w:outlineLvl w:val="9"/>
        <w:rPr>
          <w:rFonts w:ascii="宋体" w:hAnsi="宋体" w:cs="宋体"/>
          <w:b/>
          <w:bCs/>
          <w:sz w:val="44"/>
          <w:szCs w:val="44"/>
        </w:rPr>
      </w:pPr>
      <w:r>
        <w:rPr>
          <w:rFonts w:hint="eastAsia" w:ascii="宋体" w:hAnsi="宋体" w:cs="宋体"/>
          <w:b/>
          <w:bCs/>
          <w:kern w:val="0"/>
          <w:sz w:val="44"/>
          <w:szCs w:val="44"/>
          <w:lang w:eastAsia="zh-CN"/>
        </w:rPr>
        <w:t>南孟镇</w:t>
      </w:r>
      <w:r>
        <w:rPr>
          <w:rFonts w:hint="eastAsia" w:ascii="宋体" w:hAnsi="宋体" w:cs="宋体"/>
          <w:b/>
          <w:bCs/>
          <w:kern w:val="0"/>
          <w:sz w:val="44"/>
          <w:szCs w:val="44"/>
        </w:rPr>
        <w:t>年度</w:t>
      </w:r>
      <w:r>
        <w:rPr>
          <w:rFonts w:hint="eastAsia" w:ascii="宋体" w:hAnsi="宋体" w:cs="宋体"/>
          <w:b/>
          <w:bCs/>
          <w:sz w:val="44"/>
          <w:szCs w:val="44"/>
        </w:rPr>
        <w:t>绩效自评工作报告</w:t>
      </w:r>
    </w:p>
    <w:p>
      <w:pPr>
        <w:widowControl w:val="0"/>
        <w:wordWrap/>
        <w:adjustRightInd/>
        <w:snapToGrid w:val="0"/>
        <w:spacing w:line="560" w:lineRule="exact"/>
        <w:ind w:left="0" w:leftChars="0" w:right="0" w:firstLine="643" w:firstLineChars="200"/>
        <w:textAlignment w:val="auto"/>
        <w:outlineLvl w:val="9"/>
        <w:rPr>
          <w:rFonts w:ascii="仿宋" w:hAnsi="仿宋" w:eastAsia="仿宋" w:cs="仿宋"/>
          <w:b/>
          <w:sz w:val="32"/>
          <w:szCs w:val="32"/>
        </w:rPr>
      </w:pPr>
    </w:p>
    <w:p>
      <w:pPr>
        <w:widowControl w:val="0"/>
        <w:wordWrap/>
        <w:adjustRightInd/>
        <w:snapToGrid w:val="0"/>
        <w:spacing w:line="560" w:lineRule="exact"/>
        <w:ind w:left="0" w:leftChars="0" w:right="0" w:firstLine="640" w:firstLineChars="200"/>
        <w:textAlignment w:val="auto"/>
        <w:outlineLvl w:val="9"/>
        <w:rPr>
          <w:rFonts w:hint="eastAsia" w:ascii="黑体" w:hAnsi="黑体" w:eastAsia="黑体" w:cs="黑体"/>
          <w:sz w:val="32"/>
          <w:szCs w:val="32"/>
          <w:lang w:eastAsia="zh-CN"/>
        </w:rPr>
      </w:pPr>
      <w:r>
        <w:rPr>
          <w:rFonts w:hint="eastAsia" w:ascii="黑体" w:hAnsi="黑体" w:eastAsia="黑体" w:cs="黑体"/>
          <w:sz w:val="32"/>
          <w:szCs w:val="32"/>
        </w:rPr>
        <w:t>一、</w:t>
      </w:r>
      <w:r>
        <w:rPr>
          <w:rFonts w:hint="eastAsia" w:ascii="黑体" w:hAnsi="黑体" w:eastAsia="黑体" w:cs="黑体"/>
          <w:sz w:val="32"/>
          <w:szCs w:val="32"/>
          <w:lang w:eastAsia="zh-CN"/>
        </w:rPr>
        <w:t>部门基本情况</w:t>
      </w:r>
    </w:p>
    <w:p>
      <w:pPr>
        <w:spacing w:before="0" w:after="0" w:line="500" w:lineRule="exact"/>
        <w:ind w:firstLine="560"/>
        <w:jc w:val="left"/>
        <w:outlineLvl w:val="9"/>
      </w:pPr>
      <w:r>
        <w:rPr>
          <w:rFonts w:ascii="Times New Roman" w:hAnsi="Times New Roman" w:eastAsia="方正仿宋_GBK" w:cs="Times New Roman"/>
          <w:color w:val="000000"/>
          <w:sz w:val="28"/>
        </w:rPr>
        <w:t>根据《石家庄市藁城区</w:t>
      </w:r>
      <w:r>
        <w:rPr>
          <w:rFonts w:hint="eastAsia" w:eastAsia="方正仿宋_GBK" w:cs="Times New Roman"/>
          <w:color w:val="000000"/>
          <w:sz w:val="28"/>
          <w:lang w:eastAsia="zh-CN"/>
        </w:rPr>
        <w:t>南孟</w:t>
      </w:r>
      <w:r>
        <w:rPr>
          <w:rFonts w:ascii="Times New Roman" w:hAnsi="Times New Roman" w:eastAsia="方正仿宋_GBK" w:cs="Times New Roman"/>
          <w:color w:val="000000"/>
          <w:sz w:val="28"/>
        </w:rPr>
        <w:t>镇人民政府职能配置、内设机构和人员编制规定》，石家庄市藁城区南</w:t>
      </w:r>
      <w:r>
        <w:rPr>
          <w:rFonts w:hint="eastAsia" w:eastAsia="方正仿宋_GBK" w:cs="Times New Roman"/>
          <w:color w:val="000000"/>
          <w:sz w:val="28"/>
          <w:lang w:eastAsia="zh-CN"/>
        </w:rPr>
        <w:t>孟</w:t>
      </w:r>
      <w:r>
        <w:rPr>
          <w:rFonts w:ascii="Times New Roman" w:hAnsi="Times New Roman" w:eastAsia="方正仿宋_GBK" w:cs="Times New Roman"/>
          <w:color w:val="000000"/>
          <w:sz w:val="28"/>
        </w:rPr>
        <w:t>镇人民政府的主要职责是：</w:t>
      </w:r>
    </w:p>
    <w:p>
      <w:pPr>
        <w:pStyle w:val="9"/>
      </w:pPr>
      <w:r>
        <w:t>部门职责及机构设置情况</w:t>
      </w:r>
    </w:p>
    <w:p>
      <w:pPr>
        <w:pStyle w:val="9"/>
      </w:pPr>
      <w:r>
        <w:t>(一)</w:t>
      </w:r>
      <w:r>
        <w:tab/>
      </w:r>
      <w:r>
        <w:t>政务管理</w:t>
      </w:r>
      <w:r>
        <w:tab/>
      </w:r>
      <w:r>
        <w:t>依法依规履行机关日常管理职责。依法依规履行机关日常管理职责，确保政府工作正常运行。</w:t>
      </w:r>
    </w:p>
    <w:p>
      <w:pPr>
        <w:pStyle w:val="9"/>
      </w:pPr>
      <w:r>
        <w:t>(二)</w:t>
      </w:r>
      <w:r>
        <w:tab/>
      </w:r>
      <w:r>
        <w:t>应急管理</w:t>
      </w:r>
      <w:r>
        <w:tab/>
      </w:r>
      <w:r>
        <w:t>保证镇政府值班工作，及时报告重要情况，传达和督促落实镇党委、政府领导指示。有效保证镇政府日常应急值守和突发事件应对处置工作；完善应急预案体系建设，确保遇突发事件能够有效应对。</w:t>
      </w:r>
    </w:p>
    <w:p>
      <w:pPr>
        <w:pStyle w:val="9"/>
      </w:pPr>
      <w:r>
        <w:t>(三)</w:t>
      </w:r>
      <w:r>
        <w:tab/>
      </w:r>
      <w:r>
        <w:t>维护社会稳定和国家安全</w:t>
      </w:r>
      <w:r>
        <w:tab/>
      </w:r>
      <w:r>
        <w:t>指导、协调和督导各级各部门排查、化解影响社会稳定的重大不稳定隐患、群体性事件和突发事件。贯彻实施国家安全战略，推进国家安全法制建设，贯彻落实国家安全工作方针，研究解决涉及国家安全工作的重大问题。预防减少不稳定因素的发生，有效化解不稳定隐患、群体性事件和突发事件，维护国家安全工作。</w:t>
      </w:r>
    </w:p>
    <w:p>
      <w:pPr>
        <w:pStyle w:val="9"/>
      </w:pPr>
      <w:r>
        <w:t>(四)</w:t>
      </w:r>
      <w:r>
        <w:tab/>
      </w:r>
      <w:r>
        <w:t>推动经济发展，完善基础设施，惠及民生。承担经济发展和民生改善培育支柱产业，加强基础设施建设和新型农村服务体系建设。落实安全生产责任制，搞好农业新技术示范推广。</w:t>
      </w:r>
    </w:p>
    <w:p>
      <w:pPr>
        <w:pStyle w:val="9"/>
      </w:pPr>
      <w:r>
        <w:t>(五)</w:t>
      </w:r>
      <w:r>
        <w:tab/>
      </w:r>
      <w:r>
        <w:t>社会救助政策及管理</w:t>
      </w:r>
      <w:r>
        <w:tab/>
      </w:r>
      <w:r>
        <w:t>承担社会救助体系建设，负责农村居民最低生活保障、五保供养、医疗救助。完善农村社会救助制度，实施分类救助，应保尽保,动态管理。</w:t>
      </w:r>
    </w:p>
    <w:p>
      <w:pPr>
        <w:pStyle w:val="9"/>
      </w:pPr>
      <w:r>
        <w:t>(六)</w:t>
      </w:r>
      <w:r>
        <w:tab/>
      </w:r>
      <w:r>
        <w:t>计生政策落实</w:t>
      </w:r>
      <w:r>
        <w:tab/>
      </w:r>
      <w:r>
        <w:t>提供各类计划生育技术服务，建立利益导向机制，开展出生人口性别比治理以及流动人口计划生育管理等各项工作。保障计生法律法规落实。</w:t>
      </w:r>
      <w:r>
        <w:tab/>
      </w:r>
      <w:r>
        <w:t>稳定适度的低生育水平，有效保障计划生育家庭生活水平，提高妇女生殖健康水平，降低出生缺陷的发生，有效遏制出生人口性别比偏高问题。保障计生法律法规落实。</w:t>
      </w:r>
    </w:p>
    <w:p>
      <w:pPr>
        <w:pStyle w:val="9"/>
      </w:pPr>
      <w:r>
        <w:t>(七)</w:t>
      </w:r>
      <w:r>
        <w:tab/>
      </w:r>
      <w:r>
        <w:t>计生服务</w:t>
      </w:r>
      <w:r>
        <w:tab/>
      </w:r>
      <w:r>
        <w:t>开展计划生育各种知识宣传和咨询服务</w:t>
      </w:r>
      <w:r>
        <w:tab/>
      </w:r>
      <w:r>
        <w:t>以提高育龄群众对计划生育认知能力为目标，开展计划生育各种知识宣传和咨询服务。</w:t>
      </w:r>
    </w:p>
    <w:p>
      <w:pPr>
        <w:pStyle w:val="9"/>
      </w:pPr>
      <w:r>
        <w:t>(八)</w:t>
      </w:r>
      <w:r>
        <w:tab/>
      </w:r>
      <w:r>
        <w:t>预算管理</w:t>
      </w:r>
      <w:r>
        <w:tab/>
      </w:r>
      <w:r>
        <w:t>负责镇财政预算管理与执行保证镇机关正常运转</w:t>
      </w:r>
    </w:p>
    <w:p>
      <w:pPr>
        <w:pStyle w:val="9"/>
      </w:pPr>
      <w:r>
        <w:t>(九)</w:t>
      </w:r>
      <w:r>
        <w:tab/>
      </w:r>
      <w:r>
        <w:t>财务管理</w:t>
      </w:r>
      <w:r>
        <w:tab/>
      </w:r>
      <w:r>
        <w:t>负责镇机关收支活动，组织实施镇财务核算及监督工作</w:t>
      </w:r>
      <w:r>
        <w:tab/>
      </w:r>
      <w:r>
        <w:t>以收定支，合理安排支出，严防出现资金支出不规范现象发生。</w:t>
      </w:r>
    </w:p>
    <w:p>
      <w:pPr>
        <w:pStyle w:val="9"/>
      </w:pPr>
      <w:r>
        <w:t>(十)</w:t>
      </w:r>
      <w:r>
        <w:tab/>
      </w:r>
      <w:r>
        <w:t>村财镇代管</w:t>
      </w:r>
      <w:r>
        <w:tab/>
      </w:r>
      <w:r>
        <w:t>负责村级财务核算及监督工作</w:t>
      </w:r>
      <w:r>
        <w:tab/>
      </w:r>
      <w:r>
        <w:t>对村级财务进行规范化管理，严防支出票据不规范现象发生。</w:t>
      </w:r>
    </w:p>
    <w:p>
      <w:pPr>
        <w:pStyle w:val="9"/>
      </w:pPr>
      <w:r>
        <w:t>(十一)</w:t>
      </w:r>
      <w:r>
        <w:tab/>
      </w:r>
      <w:r>
        <w:t>涉农资金</w:t>
      </w:r>
      <w:r>
        <w:tab/>
      </w:r>
      <w:r>
        <w:t>负责涉农资金的落实，将各项涉农资金兑付落实，监督管理资金的合理有效使用。</w:t>
      </w:r>
    </w:p>
    <w:p>
      <w:pPr>
        <w:pStyle w:val="9"/>
      </w:pPr>
      <w:r>
        <w:t>(十二)</w:t>
      </w:r>
      <w:r>
        <w:tab/>
      </w:r>
      <w:r>
        <w:t>国有资产管理</w:t>
      </w:r>
      <w:r>
        <w:tab/>
      </w:r>
      <w:r>
        <w:t>负责管理镇国有资产，加强国有资产管理，严防国有资产流失</w:t>
      </w:r>
    </w:p>
    <w:p>
      <w:pPr>
        <w:pStyle w:val="9"/>
      </w:pPr>
      <w:r>
        <w:t>(十三)</w:t>
      </w:r>
      <w:r>
        <w:tab/>
      </w:r>
      <w:r>
        <w:t>债权债务管理</w:t>
      </w:r>
      <w:r>
        <w:tab/>
      </w:r>
      <w:r>
        <w:t>实施债权债务监督管理，实施债权债务监督管理，杜绝增加政府债务</w:t>
      </w:r>
    </w:p>
    <w:p>
      <w:pPr>
        <w:pStyle w:val="9"/>
      </w:pPr>
      <w:r>
        <w:t>(十四)</w:t>
      </w:r>
      <w:r>
        <w:tab/>
      </w:r>
      <w:r>
        <w:t>完善农村土地经营管理体制</w:t>
      </w:r>
      <w:r>
        <w:tab/>
      </w:r>
      <w:r>
        <w:t>推进农村集体产权制度改革，完善农村土地承包制度，引导农村土地合理流转。创新农业经营主体。规范流转行为，优化资源配置，促进农民专业合作经济组织健康发展，加快新农村建设和城镇化进程。</w:t>
      </w:r>
    </w:p>
    <w:p>
      <w:pPr>
        <w:pStyle w:val="9"/>
      </w:pPr>
      <w:r>
        <w:t>(十五)</w:t>
      </w:r>
      <w:r>
        <w:tab/>
      </w:r>
      <w:r>
        <w:t>推动文化发展</w:t>
      </w:r>
      <w:r>
        <w:tab/>
      </w:r>
      <w:r>
        <w:t>运用多种文化艺术手段，开展丰富多彩群众活动。运用多种文化艺术手段，丰富群众文化、提高农民基本素质</w:t>
      </w:r>
    </w:p>
    <w:p>
      <w:pPr>
        <w:pStyle w:val="9"/>
      </w:pPr>
      <w:r>
        <w:t>(十六)</w:t>
      </w:r>
      <w:r>
        <w:tab/>
      </w:r>
      <w:r>
        <w:t>农村管理</w:t>
      </w:r>
      <w:r>
        <w:tab/>
      </w:r>
      <w:r>
        <w:t>对各行政村村容村貌及卫生维护提升，农村卫生长效管理机制</w:t>
      </w:r>
    </w:p>
    <w:p>
      <w:pPr>
        <w:pStyle w:val="9"/>
        <w:sectPr>
          <w:pgSz w:w="11900" w:h="16840"/>
          <w:pgMar w:top="1361" w:right="1020" w:bottom="1361" w:left="1020" w:header="720" w:footer="720" w:gutter="0"/>
          <w:pgNumType w:start="1"/>
          <w:cols w:space="720" w:num="1"/>
        </w:sectPr>
      </w:pPr>
      <w:r>
        <w:t>(十七)</w:t>
      </w:r>
      <w:r>
        <w:tab/>
      </w:r>
      <w:r>
        <w:t>政务管理</w:t>
      </w:r>
      <w:r>
        <w:tab/>
      </w:r>
      <w:r>
        <w:t>加强对社会关注关系民生的社会事管理，抓好土地、环保、安全生产、食品安全、社会环境等的治理</w:t>
      </w:r>
    </w:p>
    <w:p>
      <w:pPr>
        <w:widowControl w:val="0"/>
        <w:wordWrap/>
        <w:adjustRightInd/>
        <w:snapToGrid w:val="0"/>
        <w:spacing w:line="560" w:lineRule="exact"/>
        <w:ind w:left="0" w:leftChars="0" w:right="0" w:firstLine="640" w:firstLineChars="200"/>
        <w:textAlignment w:val="auto"/>
        <w:outlineLvl w:val="9"/>
        <w:rPr>
          <w:rFonts w:ascii="黑体" w:hAnsi="黑体" w:eastAsia="黑体" w:cs="黑体"/>
          <w:sz w:val="32"/>
          <w:szCs w:val="32"/>
        </w:rPr>
      </w:pPr>
      <w:r>
        <w:rPr>
          <w:rFonts w:hint="eastAsia" w:ascii="黑体" w:hAnsi="黑体" w:eastAsia="黑体" w:cs="黑体"/>
          <w:sz w:val="32"/>
          <w:szCs w:val="32"/>
        </w:rPr>
        <w:t>二、绩效</w:t>
      </w:r>
      <w:r>
        <w:rPr>
          <w:rFonts w:hint="eastAsia" w:ascii="黑体" w:hAnsi="黑体" w:eastAsia="黑体" w:cs="黑体"/>
          <w:sz w:val="32"/>
          <w:szCs w:val="32"/>
          <w:lang w:eastAsia="zh-CN"/>
        </w:rPr>
        <w:t>自评工作开展</w:t>
      </w:r>
      <w:r>
        <w:rPr>
          <w:rFonts w:hint="eastAsia" w:ascii="黑体" w:hAnsi="黑体" w:eastAsia="黑体" w:cs="黑体"/>
          <w:sz w:val="32"/>
          <w:szCs w:val="32"/>
        </w:rPr>
        <w:t>情况</w:t>
      </w:r>
    </w:p>
    <w:p>
      <w:pPr>
        <w:spacing w:line="600" w:lineRule="exact"/>
        <w:ind w:firstLine="720"/>
        <w:rPr>
          <w:rFonts w:hint="eastAsia" w:ascii="仿宋_GB2312" w:hAnsi="仿宋" w:eastAsia="仿宋_GB2312"/>
          <w:sz w:val="32"/>
          <w:szCs w:val="32"/>
        </w:rPr>
      </w:pPr>
      <w:r>
        <w:rPr>
          <w:rFonts w:hint="eastAsia" w:ascii="仿宋_GB2312" w:hAnsi="仿宋" w:eastAsia="仿宋_GB2312"/>
          <w:sz w:val="32"/>
          <w:szCs w:val="32"/>
        </w:rPr>
        <w:t>1、成立预算绩效评价小组。为保证绩效评价工作顺利开展，石家庄市藁城区</w:t>
      </w:r>
      <w:r>
        <w:rPr>
          <w:rFonts w:hint="eastAsia" w:ascii="仿宋_GB2312" w:hAnsi="仿宋" w:eastAsia="仿宋_GB2312"/>
          <w:sz w:val="32"/>
          <w:szCs w:val="32"/>
          <w:lang w:eastAsia="zh-CN"/>
        </w:rPr>
        <w:t>南孟镇</w:t>
      </w:r>
      <w:r>
        <w:rPr>
          <w:rFonts w:hint="eastAsia" w:ascii="仿宋_GB2312" w:hAnsi="仿宋" w:eastAsia="仿宋_GB2312"/>
          <w:sz w:val="32"/>
          <w:szCs w:val="32"/>
        </w:rPr>
        <w:t>人民政府成立了绩效评价小组，负责绩效评价的组织管理等工作。</w:t>
      </w:r>
    </w:p>
    <w:p>
      <w:pPr>
        <w:spacing w:line="600" w:lineRule="exact"/>
        <w:ind w:firstLine="720"/>
        <w:rPr>
          <w:rFonts w:hint="eastAsia" w:ascii="仿宋_GB2312" w:hAnsi="仿宋" w:eastAsia="仿宋_GB2312"/>
          <w:sz w:val="32"/>
          <w:szCs w:val="32"/>
        </w:rPr>
      </w:pPr>
      <w:r>
        <w:rPr>
          <w:rFonts w:hint="eastAsia" w:ascii="仿宋_GB2312" w:hAnsi="仿宋" w:eastAsia="仿宋_GB2312"/>
          <w:sz w:val="32"/>
          <w:szCs w:val="32"/>
        </w:rPr>
        <w:t>2、组织开展自评。石家庄市藁城区</w:t>
      </w:r>
      <w:r>
        <w:rPr>
          <w:rFonts w:hint="eastAsia" w:ascii="仿宋_GB2312" w:hAnsi="仿宋" w:eastAsia="仿宋_GB2312"/>
          <w:sz w:val="32"/>
          <w:szCs w:val="32"/>
          <w:lang w:eastAsia="zh-CN"/>
        </w:rPr>
        <w:t>南孟镇</w:t>
      </w:r>
      <w:r>
        <w:rPr>
          <w:rFonts w:hint="eastAsia" w:ascii="仿宋_GB2312" w:hAnsi="仿宋" w:eastAsia="仿宋_GB2312"/>
          <w:sz w:val="32"/>
          <w:szCs w:val="32"/>
        </w:rPr>
        <w:t>人民政府按照要求整理相关数据和资料，对部门综合绩效情况进行自我评价，由绩效评价领导小组牵头，组织机关各科室对20</w:t>
      </w:r>
      <w:r>
        <w:rPr>
          <w:rFonts w:hint="eastAsia" w:ascii="仿宋_GB2312" w:hAnsi="仿宋" w:eastAsia="仿宋_GB2312"/>
          <w:sz w:val="32"/>
          <w:szCs w:val="32"/>
          <w:lang w:val="en-US" w:eastAsia="zh-CN"/>
        </w:rPr>
        <w:t>22</w:t>
      </w:r>
      <w:r>
        <w:rPr>
          <w:rFonts w:hint="eastAsia" w:ascii="仿宋_GB2312" w:hAnsi="仿宋" w:eastAsia="仿宋_GB2312"/>
          <w:sz w:val="32"/>
          <w:szCs w:val="32"/>
        </w:rPr>
        <w:t>年所有与本部门相关的财政支出项目开展了自评，逐个项目填报了《区级部门预算项目自评表》。</w:t>
      </w:r>
    </w:p>
    <w:p>
      <w:pPr>
        <w:spacing w:line="600" w:lineRule="exact"/>
        <w:ind w:firstLine="720"/>
        <w:rPr>
          <w:rFonts w:hint="eastAsia" w:ascii="仿宋_GB2312" w:hAnsi="仿宋" w:eastAsia="仿宋_GB2312"/>
          <w:sz w:val="32"/>
          <w:szCs w:val="32"/>
        </w:rPr>
      </w:pPr>
      <w:r>
        <w:rPr>
          <w:rFonts w:hint="eastAsia" w:ascii="仿宋_GB2312" w:hAnsi="仿宋" w:eastAsia="仿宋_GB2312"/>
          <w:sz w:val="32"/>
          <w:szCs w:val="32"/>
        </w:rPr>
        <w:t>3、石家庄市藁城区</w:t>
      </w:r>
      <w:r>
        <w:rPr>
          <w:rFonts w:hint="eastAsia" w:ascii="仿宋_GB2312" w:hAnsi="仿宋" w:eastAsia="仿宋_GB2312"/>
          <w:sz w:val="32"/>
          <w:szCs w:val="32"/>
          <w:lang w:eastAsia="zh-CN"/>
        </w:rPr>
        <w:t>南孟镇</w:t>
      </w:r>
      <w:r>
        <w:rPr>
          <w:rFonts w:hint="eastAsia" w:ascii="仿宋_GB2312" w:hAnsi="仿宋" w:eastAsia="仿宋_GB2312"/>
          <w:sz w:val="32"/>
          <w:szCs w:val="32"/>
        </w:rPr>
        <w:t>人民政府执行</w:t>
      </w:r>
      <w:r>
        <w:rPr>
          <w:rFonts w:hint="eastAsia" w:ascii="仿宋_GB2312" w:hAnsi="仿宋" w:eastAsia="仿宋_GB2312"/>
          <w:sz w:val="32"/>
          <w:szCs w:val="32"/>
          <w:lang w:eastAsia="zh-CN"/>
        </w:rPr>
        <w:t>财务</w:t>
      </w:r>
      <w:r>
        <w:rPr>
          <w:rFonts w:hint="eastAsia" w:ascii="仿宋_GB2312" w:hAnsi="仿宋" w:eastAsia="仿宋_GB2312"/>
          <w:sz w:val="32"/>
          <w:szCs w:val="32"/>
        </w:rPr>
        <w:t>制度和管理规定，按时完成预算执行进度，严格控制、合理利用各项经费，按要求进行预算管理。</w:t>
      </w:r>
    </w:p>
    <w:p>
      <w:pPr>
        <w:widowControl w:val="0"/>
        <w:numPr>
          <w:ilvl w:val="0"/>
          <w:numId w:val="1"/>
        </w:numPr>
        <w:wordWrap/>
        <w:adjustRightInd/>
        <w:snapToGrid w:val="0"/>
        <w:spacing w:line="560" w:lineRule="exact"/>
        <w:ind w:left="-10" w:leftChars="0" w:right="0" w:firstLine="640" w:firstLineChars="0"/>
        <w:textAlignment w:val="auto"/>
        <w:outlineLvl w:val="9"/>
        <w:rPr>
          <w:rFonts w:hint="eastAsia" w:ascii="黑体" w:hAnsi="黑体" w:eastAsia="黑体" w:cs="黑体"/>
          <w:sz w:val="32"/>
          <w:szCs w:val="32"/>
          <w:lang w:eastAsia="zh-CN"/>
        </w:rPr>
      </w:pPr>
      <w:r>
        <w:rPr>
          <w:rFonts w:hint="eastAsia" w:ascii="黑体" w:hAnsi="黑体" w:eastAsia="黑体" w:cs="黑体"/>
          <w:sz w:val="32"/>
          <w:szCs w:val="32"/>
          <w:lang w:eastAsia="zh-CN"/>
        </w:rPr>
        <w:t>部门整体支出绩效目标实现情况及指标分析</w:t>
      </w:r>
    </w:p>
    <w:p>
      <w:pPr>
        <w:spacing w:line="600" w:lineRule="exact"/>
        <w:ind w:firstLine="720"/>
        <w:rPr>
          <w:rFonts w:hint="eastAsia" w:ascii="仿宋_GB2312" w:hAnsi="仿宋" w:eastAsia="仿宋_GB2312" w:cs="Times New Roman"/>
          <w:sz w:val="32"/>
          <w:szCs w:val="32"/>
        </w:rPr>
      </w:pPr>
      <w:r>
        <w:rPr>
          <w:rFonts w:hint="eastAsia" w:ascii="仿宋_GB2312" w:hAnsi="仿宋" w:eastAsia="仿宋_GB2312" w:cs="Times New Roman"/>
          <w:sz w:val="32"/>
          <w:szCs w:val="32"/>
        </w:rPr>
        <w:t>按年初预算，我镇20</w:t>
      </w:r>
      <w:r>
        <w:rPr>
          <w:rFonts w:hint="eastAsia" w:ascii="仿宋_GB2312" w:hAnsi="仿宋" w:eastAsia="仿宋_GB2312" w:cs="Times New Roman"/>
          <w:sz w:val="32"/>
          <w:szCs w:val="32"/>
          <w:lang w:val="en-US" w:eastAsia="zh-CN"/>
        </w:rPr>
        <w:t>22</w:t>
      </w:r>
      <w:r>
        <w:rPr>
          <w:rFonts w:hint="eastAsia" w:ascii="仿宋_GB2312" w:hAnsi="仿宋" w:eastAsia="仿宋_GB2312" w:cs="Times New Roman"/>
          <w:sz w:val="32"/>
          <w:szCs w:val="32"/>
        </w:rPr>
        <w:t>年预算项目共</w:t>
      </w:r>
      <w:r>
        <w:rPr>
          <w:rFonts w:hint="eastAsia" w:ascii="仿宋_GB2312" w:hAnsi="仿宋" w:eastAsia="仿宋_GB2312" w:cs="Times New Roman"/>
          <w:sz w:val="32"/>
          <w:szCs w:val="32"/>
          <w:lang w:val="en-US" w:eastAsia="zh-CN"/>
        </w:rPr>
        <w:t>30</w:t>
      </w:r>
      <w:r>
        <w:rPr>
          <w:rFonts w:hint="eastAsia" w:ascii="仿宋_GB2312" w:hAnsi="仿宋" w:eastAsia="仿宋_GB2312" w:cs="Times New Roman"/>
          <w:sz w:val="32"/>
          <w:szCs w:val="32"/>
        </w:rPr>
        <w:t>个，总计经费</w:t>
      </w:r>
      <w:r>
        <w:rPr>
          <w:rFonts w:hint="eastAsia" w:ascii="仿宋_GB2312" w:hAnsi="仿宋" w:eastAsia="仿宋_GB2312" w:cs="Times New Roman"/>
          <w:sz w:val="32"/>
          <w:szCs w:val="32"/>
          <w:lang w:val="en-US" w:eastAsia="zh-CN"/>
        </w:rPr>
        <w:t>4041.480449</w:t>
      </w:r>
      <w:r>
        <w:rPr>
          <w:rFonts w:hint="eastAsia" w:ascii="仿宋_GB2312" w:hAnsi="仿宋" w:eastAsia="仿宋_GB2312" w:cs="Times New Roman"/>
          <w:sz w:val="32"/>
          <w:szCs w:val="32"/>
        </w:rPr>
        <w:t>万元，主要支出明细如下：</w:t>
      </w:r>
    </w:p>
    <w:p>
      <w:pPr>
        <w:numPr>
          <w:ilvl w:val="0"/>
          <w:numId w:val="2"/>
        </w:numPr>
        <w:spacing w:line="600" w:lineRule="exact"/>
        <w:ind w:left="425" w:leftChars="0" w:hanging="425" w:firstLineChars="0"/>
        <w:rPr>
          <w:rFonts w:hint="eastAsia" w:ascii="仿宋_GB2312" w:hAnsi="仿宋" w:eastAsia="仿宋_GB2312" w:cs="Times New Roman"/>
          <w:sz w:val="32"/>
          <w:szCs w:val="32"/>
        </w:rPr>
      </w:pPr>
      <w:r>
        <w:rPr>
          <w:rFonts w:hint="eastAsia" w:ascii="仿宋_GB2312" w:hAnsi="仿宋" w:eastAsia="仿宋_GB2312" w:cs="Times New Roman"/>
          <w:sz w:val="32"/>
          <w:szCs w:val="32"/>
        </w:rPr>
        <w:t>南孟镇十三村联建农产品仓储示范区项目电力设施迁改费用1701869</w:t>
      </w:r>
      <w:r>
        <w:rPr>
          <w:rFonts w:hint="eastAsia" w:ascii="仿宋_GB2312" w:hAnsi="仿宋" w:eastAsia="仿宋_GB2312" w:cs="Times New Roman"/>
          <w:sz w:val="32"/>
          <w:szCs w:val="32"/>
          <w:lang w:eastAsia="zh-CN"/>
        </w:rPr>
        <w:t>元[07]农税科</w:t>
      </w:r>
    </w:p>
    <w:p>
      <w:pPr>
        <w:numPr>
          <w:ilvl w:val="0"/>
          <w:numId w:val="2"/>
        </w:numPr>
        <w:spacing w:line="600" w:lineRule="exact"/>
        <w:ind w:left="425" w:leftChars="0" w:hanging="425" w:firstLineChars="0"/>
        <w:rPr>
          <w:rFonts w:hint="eastAsia" w:ascii="仿宋_GB2312" w:hAnsi="仿宋" w:eastAsia="仿宋_GB2312" w:cs="Times New Roman"/>
          <w:sz w:val="32"/>
          <w:szCs w:val="32"/>
        </w:rPr>
      </w:pPr>
      <w:r>
        <w:rPr>
          <w:rFonts w:hint="eastAsia" w:ascii="仿宋_GB2312" w:hAnsi="仿宋" w:eastAsia="仿宋_GB2312" w:cs="Times New Roman"/>
          <w:sz w:val="32"/>
          <w:szCs w:val="32"/>
        </w:rPr>
        <w:t>2021年露天焚烧奖励专项资金</w:t>
      </w:r>
      <w:r>
        <w:rPr>
          <w:rFonts w:hint="eastAsia" w:ascii="仿宋_GB2312" w:hAnsi="仿宋" w:eastAsia="仿宋_GB2312" w:cs="Times New Roman"/>
          <w:sz w:val="32"/>
          <w:szCs w:val="32"/>
          <w:lang w:val="en-US" w:eastAsia="zh-CN"/>
        </w:rPr>
        <w:t>200000元</w:t>
      </w:r>
      <w:r>
        <w:rPr>
          <w:rFonts w:hint="eastAsia" w:ascii="仿宋_GB2312" w:hAnsi="仿宋" w:eastAsia="仿宋_GB2312" w:cs="Times New Roman"/>
          <w:sz w:val="32"/>
          <w:szCs w:val="32"/>
        </w:rPr>
        <w:t>[13]乡镇财政</w:t>
      </w:r>
    </w:p>
    <w:p>
      <w:pPr>
        <w:numPr>
          <w:ilvl w:val="0"/>
          <w:numId w:val="2"/>
        </w:numPr>
        <w:spacing w:line="600" w:lineRule="exact"/>
        <w:ind w:left="425" w:leftChars="0" w:hanging="425" w:firstLineChars="0"/>
        <w:rPr>
          <w:rFonts w:hint="eastAsia" w:ascii="仿宋_GB2312" w:hAnsi="仿宋" w:eastAsia="仿宋_GB2312" w:cs="Times New Roman"/>
          <w:sz w:val="32"/>
          <w:szCs w:val="32"/>
        </w:rPr>
      </w:pPr>
      <w:r>
        <w:rPr>
          <w:rFonts w:hint="eastAsia" w:ascii="仿宋_GB2312" w:hAnsi="仿宋" w:eastAsia="仿宋_GB2312" w:cs="Times New Roman"/>
          <w:sz w:val="32"/>
          <w:szCs w:val="32"/>
        </w:rPr>
        <w:t>拨付石家庄市2022年第13批次征地补偿费（南孟镇北汪村）</w:t>
      </w:r>
      <w:r>
        <w:rPr>
          <w:rFonts w:hint="eastAsia" w:ascii="仿宋_GB2312" w:hAnsi="仿宋" w:eastAsia="仿宋_GB2312" w:cs="Times New Roman"/>
          <w:sz w:val="32"/>
          <w:szCs w:val="32"/>
          <w:lang w:val="en-US" w:eastAsia="zh-CN"/>
        </w:rPr>
        <w:t>980500元</w:t>
      </w:r>
      <w:r>
        <w:rPr>
          <w:rFonts w:hint="eastAsia" w:ascii="仿宋_GB2312" w:hAnsi="仿宋" w:eastAsia="仿宋_GB2312" w:cs="Times New Roman"/>
          <w:sz w:val="32"/>
          <w:szCs w:val="32"/>
        </w:rPr>
        <w:tab/>
      </w:r>
      <w:r>
        <w:rPr>
          <w:rFonts w:hint="eastAsia" w:ascii="仿宋_GB2312" w:hAnsi="仿宋" w:eastAsia="仿宋_GB2312" w:cs="Times New Roman"/>
          <w:sz w:val="32"/>
          <w:szCs w:val="32"/>
        </w:rPr>
        <w:t>[</w:t>
      </w:r>
      <w:r>
        <w:rPr>
          <w:rFonts w:hint="eastAsia" w:ascii="仿宋_GB2312" w:hAnsi="仿宋" w:eastAsia="仿宋_GB2312" w:cs="Times New Roman"/>
          <w:sz w:val="32"/>
          <w:szCs w:val="32"/>
          <w:lang w:val="en-US" w:eastAsia="zh-CN"/>
        </w:rPr>
        <w:t>04</w:t>
      </w:r>
      <w:r>
        <w:rPr>
          <w:rFonts w:hint="eastAsia" w:ascii="仿宋_GB2312" w:hAnsi="仿宋" w:eastAsia="仿宋_GB2312" w:cs="Times New Roman"/>
          <w:sz w:val="32"/>
          <w:szCs w:val="32"/>
        </w:rPr>
        <w:t>]</w:t>
      </w:r>
      <w:r>
        <w:rPr>
          <w:rFonts w:hint="eastAsia" w:ascii="仿宋_GB2312" w:hAnsi="仿宋" w:eastAsia="仿宋_GB2312" w:cs="Times New Roman"/>
          <w:sz w:val="32"/>
          <w:szCs w:val="32"/>
          <w:lang w:eastAsia="zh-CN"/>
        </w:rPr>
        <w:t>企业科</w:t>
      </w:r>
    </w:p>
    <w:p>
      <w:pPr>
        <w:numPr>
          <w:ilvl w:val="0"/>
          <w:numId w:val="2"/>
        </w:numPr>
        <w:spacing w:line="600" w:lineRule="exact"/>
        <w:ind w:left="425" w:leftChars="0" w:hanging="425" w:firstLineChars="0"/>
        <w:rPr>
          <w:rFonts w:hint="eastAsia" w:ascii="仿宋_GB2312" w:hAnsi="仿宋" w:eastAsia="仿宋_GB2312" w:cs="Times New Roman"/>
          <w:sz w:val="32"/>
          <w:szCs w:val="32"/>
        </w:rPr>
      </w:pPr>
      <w:r>
        <w:rPr>
          <w:rFonts w:hint="eastAsia" w:ascii="仿宋_GB2312" w:hAnsi="仿宋" w:eastAsia="仿宋_GB2312" w:cs="Times New Roman"/>
          <w:sz w:val="32"/>
          <w:szCs w:val="32"/>
        </w:rPr>
        <w:t>拨付原经贸系统关闭企业下放回乡的合同工、副业工涉军人员生活补贴</w:t>
      </w:r>
      <w:r>
        <w:rPr>
          <w:rFonts w:hint="eastAsia" w:ascii="仿宋_GB2312" w:hAnsi="仿宋" w:eastAsia="仿宋_GB2312" w:cs="Times New Roman"/>
          <w:sz w:val="32"/>
          <w:szCs w:val="32"/>
          <w:lang w:val="en-US" w:eastAsia="zh-CN"/>
        </w:rPr>
        <w:t>65520元</w:t>
      </w:r>
      <w:r>
        <w:rPr>
          <w:rFonts w:hint="eastAsia" w:ascii="仿宋_GB2312" w:hAnsi="仿宋" w:eastAsia="仿宋_GB2312" w:cs="Times New Roman"/>
          <w:sz w:val="32"/>
          <w:szCs w:val="32"/>
        </w:rPr>
        <w:tab/>
      </w:r>
      <w:r>
        <w:rPr>
          <w:rFonts w:hint="eastAsia" w:ascii="仿宋_GB2312" w:hAnsi="仿宋" w:eastAsia="仿宋_GB2312" w:cs="Times New Roman"/>
          <w:sz w:val="32"/>
          <w:szCs w:val="32"/>
        </w:rPr>
        <w:t>[</w:t>
      </w:r>
      <w:r>
        <w:rPr>
          <w:rFonts w:hint="eastAsia" w:ascii="仿宋_GB2312" w:hAnsi="仿宋" w:eastAsia="仿宋_GB2312" w:cs="Times New Roman"/>
          <w:sz w:val="32"/>
          <w:szCs w:val="32"/>
          <w:lang w:val="en-US" w:eastAsia="zh-CN"/>
        </w:rPr>
        <w:t>04</w:t>
      </w:r>
      <w:r>
        <w:rPr>
          <w:rFonts w:hint="eastAsia" w:ascii="仿宋_GB2312" w:hAnsi="仿宋" w:eastAsia="仿宋_GB2312" w:cs="Times New Roman"/>
          <w:sz w:val="32"/>
          <w:szCs w:val="32"/>
        </w:rPr>
        <w:t>]</w:t>
      </w:r>
      <w:r>
        <w:rPr>
          <w:rFonts w:hint="eastAsia" w:ascii="仿宋_GB2312" w:hAnsi="仿宋" w:eastAsia="仿宋_GB2312" w:cs="Times New Roman"/>
          <w:sz w:val="32"/>
          <w:szCs w:val="32"/>
          <w:lang w:eastAsia="zh-CN"/>
        </w:rPr>
        <w:t>企业科</w:t>
      </w:r>
    </w:p>
    <w:p>
      <w:pPr>
        <w:numPr>
          <w:ilvl w:val="0"/>
          <w:numId w:val="2"/>
        </w:numPr>
        <w:spacing w:line="600" w:lineRule="exact"/>
        <w:ind w:left="425" w:leftChars="0" w:hanging="425" w:firstLineChars="0"/>
        <w:rPr>
          <w:rFonts w:hint="eastAsia" w:ascii="仿宋_GB2312" w:hAnsi="仿宋" w:eastAsia="仿宋_GB2312" w:cs="Times New Roman"/>
          <w:sz w:val="32"/>
          <w:szCs w:val="32"/>
        </w:rPr>
      </w:pPr>
      <w:r>
        <w:rPr>
          <w:rFonts w:hint="eastAsia" w:ascii="仿宋_GB2312" w:hAnsi="仿宋" w:eastAsia="仿宋_GB2312" w:cs="Times New Roman"/>
          <w:sz w:val="32"/>
          <w:szCs w:val="32"/>
        </w:rPr>
        <w:t>改厕资金</w:t>
      </w:r>
      <w:r>
        <w:rPr>
          <w:rFonts w:hint="eastAsia" w:ascii="仿宋_GB2312" w:hAnsi="仿宋" w:eastAsia="仿宋_GB2312" w:cs="Times New Roman"/>
          <w:sz w:val="32"/>
          <w:szCs w:val="32"/>
          <w:lang w:val="en-US" w:eastAsia="zh-CN"/>
        </w:rPr>
        <w:t>256100</w:t>
      </w:r>
      <w:r>
        <w:rPr>
          <w:rFonts w:hint="eastAsia" w:ascii="仿宋_GB2312" w:hAnsi="仿宋" w:eastAsia="仿宋_GB2312" w:cs="Times New Roman"/>
          <w:sz w:val="32"/>
          <w:szCs w:val="32"/>
        </w:rPr>
        <w:tab/>
      </w:r>
      <w:r>
        <w:rPr>
          <w:rFonts w:hint="eastAsia" w:ascii="仿宋_GB2312" w:hAnsi="仿宋" w:eastAsia="仿宋_GB2312" w:cs="Times New Roman"/>
          <w:sz w:val="32"/>
          <w:szCs w:val="32"/>
        </w:rPr>
        <w:t>[</w:t>
      </w:r>
      <w:r>
        <w:rPr>
          <w:rFonts w:hint="eastAsia" w:ascii="仿宋_GB2312" w:hAnsi="仿宋" w:eastAsia="仿宋_GB2312" w:cs="Times New Roman"/>
          <w:sz w:val="32"/>
          <w:szCs w:val="32"/>
          <w:lang w:val="en-US" w:eastAsia="zh-CN"/>
        </w:rPr>
        <w:t>0</w:t>
      </w:r>
      <w:r>
        <w:rPr>
          <w:rFonts w:hint="eastAsia" w:ascii="仿宋_GB2312" w:hAnsi="仿宋" w:eastAsia="仿宋_GB2312" w:cs="Times New Roman"/>
          <w:sz w:val="32"/>
          <w:szCs w:val="32"/>
        </w:rPr>
        <w:t>3]</w:t>
      </w:r>
      <w:r>
        <w:rPr>
          <w:rFonts w:hint="eastAsia" w:ascii="仿宋_GB2312" w:hAnsi="仿宋" w:eastAsia="仿宋_GB2312" w:cs="Times New Roman"/>
          <w:sz w:val="32"/>
          <w:szCs w:val="32"/>
          <w:lang w:eastAsia="zh-CN"/>
        </w:rPr>
        <w:t>农业科</w:t>
      </w:r>
    </w:p>
    <w:p>
      <w:pPr>
        <w:numPr>
          <w:ilvl w:val="0"/>
          <w:numId w:val="2"/>
        </w:numPr>
        <w:spacing w:line="600" w:lineRule="exact"/>
        <w:ind w:left="425" w:leftChars="0" w:hanging="425" w:firstLineChars="0"/>
        <w:rPr>
          <w:rFonts w:hint="eastAsia" w:ascii="仿宋_GB2312" w:hAnsi="仿宋" w:eastAsia="仿宋_GB2312" w:cs="Times New Roman"/>
          <w:sz w:val="32"/>
          <w:szCs w:val="32"/>
        </w:rPr>
      </w:pPr>
      <w:r>
        <w:rPr>
          <w:rFonts w:hint="eastAsia" w:ascii="仿宋_GB2312" w:hAnsi="仿宋" w:eastAsia="仿宋_GB2312" w:cs="Times New Roman"/>
          <w:sz w:val="32"/>
          <w:szCs w:val="32"/>
        </w:rPr>
        <w:t>藁城区2021年度第八批次增减挂钩项目建新区（南孟镇西只甲村）5671080</w:t>
      </w:r>
      <w:r>
        <w:rPr>
          <w:rFonts w:hint="eastAsia" w:ascii="仿宋_GB2312" w:hAnsi="仿宋" w:eastAsia="仿宋_GB2312" w:cs="Times New Roman"/>
          <w:sz w:val="32"/>
          <w:szCs w:val="32"/>
          <w:lang w:eastAsia="zh-CN"/>
        </w:rPr>
        <w:t>元</w:t>
      </w:r>
      <w:r>
        <w:rPr>
          <w:rFonts w:hint="eastAsia" w:ascii="仿宋_GB2312" w:hAnsi="仿宋" w:eastAsia="仿宋_GB2312" w:cs="Times New Roman"/>
          <w:sz w:val="32"/>
          <w:szCs w:val="32"/>
        </w:rPr>
        <w:tab/>
      </w:r>
      <w:r>
        <w:rPr>
          <w:rFonts w:hint="eastAsia" w:ascii="仿宋_GB2312" w:hAnsi="仿宋" w:eastAsia="仿宋_GB2312" w:cs="Times New Roman"/>
          <w:sz w:val="32"/>
          <w:szCs w:val="32"/>
        </w:rPr>
        <w:t>[</w:t>
      </w:r>
      <w:r>
        <w:rPr>
          <w:rFonts w:hint="eastAsia" w:ascii="仿宋_GB2312" w:hAnsi="仿宋" w:eastAsia="仿宋_GB2312" w:cs="Times New Roman"/>
          <w:sz w:val="32"/>
          <w:szCs w:val="32"/>
          <w:lang w:val="en-US" w:eastAsia="zh-CN"/>
        </w:rPr>
        <w:t>04</w:t>
      </w:r>
      <w:r>
        <w:rPr>
          <w:rFonts w:hint="eastAsia" w:ascii="仿宋_GB2312" w:hAnsi="仿宋" w:eastAsia="仿宋_GB2312" w:cs="Times New Roman"/>
          <w:sz w:val="32"/>
          <w:szCs w:val="32"/>
        </w:rPr>
        <w:t>]</w:t>
      </w:r>
      <w:r>
        <w:rPr>
          <w:rFonts w:hint="eastAsia" w:ascii="仿宋_GB2312" w:hAnsi="仿宋" w:eastAsia="仿宋_GB2312" w:cs="Times New Roman"/>
          <w:sz w:val="32"/>
          <w:szCs w:val="32"/>
          <w:lang w:eastAsia="zh-CN"/>
        </w:rPr>
        <w:t>企业科</w:t>
      </w:r>
    </w:p>
    <w:p>
      <w:pPr>
        <w:numPr>
          <w:ilvl w:val="0"/>
          <w:numId w:val="2"/>
        </w:numPr>
        <w:spacing w:line="600" w:lineRule="exact"/>
        <w:ind w:left="425" w:leftChars="0" w:hanging="425" w:firstLineChars="0"/>
        <w:rPr>
          <w:rFonts w:hint="eastAsia" w:ascii="仿宋_GB2312" w:hAnsi="仿宋" w:eastAsia="仿宋_GB2312" w:cs="Times New Roman"/>
          <w:sz w:val="32"/>
          <w:szCs w:val="32"/>
        </w:rPr>
      </w:pPr>
      <w:r>
        <w:rPr>
          <w:rFonts w:hint="eastAsia" w:ascii="仿宋_GB2312" w:hAnsi="仿宋" w:eastAsia="仿宋_GB2312" w:cs="Times New Roman"/>
          <w:sz w:val="32"/>
          <w:szCs w:val="32"/>
        </w:rPr>
        <w:t>藁人居办字25号全区农村人居环境和路域环境整治观摩奖励资金</w:t>
      </w:r>
      <w:r>
        <w:rPr>
          <w:rFonts w:hint="eastAsia" w:ascii="仿宋_GB2312" w:hAnsi="仿宋" w:eastAsia="仿宋_GB2312" w:cs="Times New Roman"/>
          <w:sz w:val="32"/>
          <w:szCs w:val="32"/>
          <w:lang w:val="en-US" w:eastAsia="zh-CN"/>
        </w:rPr>
        <w:t>100000元</w:t>
      </w:r>
      <w:r>
        <w:rPr>
          <w:rFonts w:hint="eastAsia" w:ascii="仿宋_GB2312" w:hAnsi="仿宋" w:eastAsia="仿宋_GB2312" w:cs="Times New Roman"/>
          <w:sz w:val="32"/>
          <w:szCs w:val="32"/>
        </w:rPr>
        <w:tab/>
      </w:r>
      <w:r>
        <w:rPr>
          <w:rFonts w:hint="eastAsia" w:ascii="仿宋_GB2312" w:hAnsi="仿宋" w:eastAsia="仿宋_GB2312" w:cs="Times New Roman"/>
          <w:sz w:val="32"/>
          <w:szCs w:val="32"/>
        </w:rPr>
        <w:t>[</w:t>
      </w:r>
      <w:r>
        <w:rPr>
          <w:rFonts w:hint="eastAsia" w:ascii="仿宋_GB2312" w:hAnsi="仿宋" w:eastAsia="仿宋_GB2312" w:cs="Times New Roman"/>
          <w:sz w:val="32"/>
          <w:szCs w:val="32"/>
          <w:lang w:val="en-US" w:eastAsia="zh-CN"/>
        </w:rPr>
        <w:t>0</w:t>
      </w:r>
      <w:r>
        <w:rPr>
          <w:rFonts w:hint="eastAsia" w:ascii="仿宋_GB2312" w:hAnsi="仿宋" w:eastAsia="仿宋_GB2312" w:cs="Times New Roman"/>
          <w:sz w:val="32"/>
          <w:szCs w:val="32"/>
        </w:rPr>
        <w:t>3]</w:t>
      </w:r>
      <w:r>
        <w:rPr>
          <w:rFonts w:hint="eastAsia" w:ascii="仿宋_GB2312" w:hAnsi="仿宋" w:eastAsia="仿宋_GB2312" w:cs="Times New Roman"/>
          <w:sz w:val="32"/>
          <w:szCs w:val="32"/>
          <w:lang w:eastAsia="zh-CN"/>
        </w:rPr>
        <w:t>农业科</w:t>
      </w:r>
    </w:p>
    <w:p>
      <w:pPr>
        <w:numPr>
          <w:ilvl w:val="0"/>
          <w:numId w:val="2"/>
        </w:numPr>
        <w:spacing w:line="600" w:lineRule="exact"/>
        <w:ind w:left="425" w:leftChars="0" w:hanging="425" w:firstLineChars="0"/>
        <w:rPr>
          <w:rFonts w:hint="eastAsia" w:ascii="仿宋_GB2312" w:hAnsi="仿宋" w:eastAsia="仿宋_GB2312" w:cs="Times New Roman"/>
          <w:sz w:val="32"/>
          <w:szCs w:val="32"/>
        </w:rPr>
      </w:pPr>
      <w:r>
        <w:rPr>
          <w:rFonts w:hint="eastAsia" w:ascii="仿宋_GB2312" w:hAnsi="仿宋" w:eastAsia="仿宋_GB2312" w:cs="Times New Roman"/>
          <w:sz w:val="32"/>
          <w:szCs w:val="32"/>
        </w:rPr>
        <w:t>康村美丽乡村项目资金</w:t>
      </w:r>
      <w:r>
        <w:rPr>
          <w:rFonts w:hint="eastAsia" w:ascii="仿宋_GB2312" w:hAnsi="仿宋" w:eastAsia="仿宋_GB2312" w:cs="Times New Roman"/>
          <w:sz w:val="32"/>
          <w:szCs w:val="32"/>
        </w:rPr>
        <w:tab/>
      </w:r>
      <w:r>
        <w:rPr>
          <w:rFonts w:hint="eastAsia" w:ascii="仿宋_GB2312" w:hAnsi="仿宋" w:eastAsia="仿宋_GB2312" w:cs="Times New Roman"/>
          <w:sz w:val="32"/>
          <w:szCs w:val="32"/>
        </w:rPr>
        <w:t>1900000</w:t>
      </w:r>
      <w:r>
        <w:rPr>
          <w:rFonts w:hint="eastAsia" w:ascii="仿宋_GB2312" w:hAnsi="仿宋" w:eastAsia="仿宋_GB2312" w:cs="Times New Roman"/>
          <w:sz w:val="32"/>
          <w:szCs w:val="32"/>
          <w:lang w:eastAsia="zh-CN"/>
        </w:rPr>
        <w:t>元</w:t>
      </w:r>
      <w:r>
        <w:rPr>
          <w:rFonts w:hint="eastAsia" w:ascii="仿宋_GB2312" w:hAnsi="仿宋" w:eastAsia="仿宋_GB2312" w:cs="Times New Roman"/>
          <w:sz w:val="32"/>
          <w:szCs w:val="32"/>
        </w:rPr>
        <w:tab/>
      </w:r>
      <w:r>
        <w:rPr>
          <w:rFonts w:hint="eastAsia" w:ascii="仿宋_GB2312" w:hAnsi="仿宋" w:eastAsia="仿宋_GB2312" w:cs="Times New Roman"/>
          <w:sz w:val="32"/>
          <w:szCs w:val="32"/>
        </w:rPr>
        <w:t>[13]乡镇财政</w:t>
      </w:r>
    </w:p>
    <w:p>
      <w:pPr>
        <w:numPr>
          <w:ilvl w:val="0"/>
          <w:numId w:val="2"/>
        </w:numPr>
        <w:spacing w:line="600" w:lineRule="exact"/>
        <w:ind w:left="425" w:leftChars="0" w:hanging="425" w:firstLineChars="0"/>
        <w:rPr>
          <w:rFonts w:hint="eastAsia" w:ascii="仿宋_GB2312" w:hAnsi="仿宋" w:eastAsia="仿宋_GB2312" w:cs="Times New Roman"/>
          <w:sz w:val="32"/>
          <w:szCs w:val="32"/>
        </w:rPr>
      </w:pPr>
      <w:r>
        <w:rPr>
          <w:rFonts w:hint="eastAsia" w:ascii="仿宋_GB2312" w:hAnsi="仿宋" w:eastAsia="仿宋_GB2312" w:cs="Times New Roman"/>
          <w:sz w:val="32"/>
          <w:szCs w:val="32"/>
        </w:rPr>
        <w:t>南孟镇2022年安全生产支出</w:t>
      </w:r>
      <w:r>
        <w:rPr>
          <w:rFonts w:hint="eastAsia" w:ascii="仿宋_GB2312" w:hAnsi="仿宋" w:eastAsia="仿宋_GB2312" w:cs="Times New Roman"/>
          <w:sz w:val="32"/>
          <w:szCs w:val="32"/>
          <w:lang w:val="en-US" w:eastAsia="zh-CN"/>
        </w:rPr>
        <w:t>60000元</w:t>
      </w:r>
      <w:r>
        <w:rPr>
          <w:rFonts w:hint="eastAsia" w:ascii="仿宋_GB2312" w:hAnsi="仿宋" w:eastAsia="仿宋_GB2312" w:cs="Times New Roman"/>
          <w:sz w:val="32"/>
          <w:szCs w:val="32"/>
        </w:rPr>
        <w:tab/>
      </w:r>
      <w:r>
        <w:rPr>
          <w:rFonts w:hint="eastAsia" w:ascii="仿宋_GB2312" w:hAnsi="仿宋" w:eastAsia="仿宋_GB2312" w:cs="Times New Roman"/>
          <w:sz w:val="32"/>
          <w:szCs w:val="32"/>
        </w:rPr>
        <w:t>[13]乡镇财政</w:t>
      </w:r>
    </w:p>
    <w:p>
      <w:pPr>
        <w:numPr>
          <w:ilvl w:val="0"/>
          <w:numId w:val="0"/>
        </w:numPr>
        <w:spacing w:line="600" w:lineRule="exact"/>
        <w:ind w:leftChars="0"/>
        <w:rPr>
          <w:rFonts w:hint="eastAsia" w:ascii="仿宋_GB2312" w:hAnsi="仿宋" w:eastAsia="仿宋_GB2312" w:cs="Times New Roman"/>
          <w:sz w:val="32"/>
          <w:szCs w:val="32"/>
        </w:rPr>
      </w:pPr>
      <w:r>
        <w:rPr>
          <w:rFonts w:hint="eastAsia" w:ascii="仿宋_GB2312" w:hAnsi="仿宋" w:eastAsia="仿宋_GB2312" w:cs="Times New Roman"/>
          <w:sz w:val="32"/>
          <w:szCs w:val="32"/>
          <w:lang w:val="en-US" w:eastAsia="zh-CN"/>
        </w:rPr>
        <w:t>10.</w:t>
      </w:r>
      <w:r>
        <w:rPr>
          <w:rFonts w:hint="eastAsia" w:ascii="仿宋_GB2312" w:hAnsi="仿宋" w:eastAsia="仿宋_GB2312" w:cs="Times New Roman"/>
          <w:sz w:val="32"/>
          <w:szCs w:val="32"/>
        </w:rPr>
        <w:t>南孟镇2022年度环保、安全生产等经费（综合公用经费）</w:t>
      </w:r>
      <w:r>
        <w:rPr>
          <w:rFonts w:hint="eastAsia" w:ascii="仿宋_GB2312" w:hAnsi="仿宋" w:eastAsia="仿宋_GB2312" w:cs="Times New Roman"/>
          <w:sz w:val="32"/>
          <w:szCs w:val="32"/>
          <w:lang w:val="en-US" w:eastAsia="zh-CN"/>
        </w:rPr>
        <w:t>348000元</w:t>
      </w:r>
      <w:r>
        <w:rPr>
          <w:rFonts w:hint="eastAsia" w:ascii="仿宋_GB2312" w:hAnsi="仿宋" w:eastAsia="仿宋_GB2312" w:cs="Times New Roman"/>
          <w:sz w:val="32"/>
          <w:szCs w:val="32"/>
        </w:rPr>
        <w:tab/>
      </w:r>
      <w:r>
        <w:rPr>
          <w:rFonts w:hint="eastAsia" w:ascii="仿宋_GB2312" w:hAnsi="仿宋" w:eastAsia="仿宋_GB2312" w:cs="Times New Roman"/>
          <w:sz w:val="32"/>
          <w:szCs w:val="32"/>
        </w:rPr>
        <w:t>[13]乡镇财政</w:t>
      </w:r>
    </w:p>
    <w:p>
      <w:pPr>
        <w:numPr>
          <w:ilvl w:val="0"/>
          <w:numId w:val="0"/>
        </w:numPr>
        <w:spacing w:line="600" w:lineRule="exact"/>
        <w:ind w:leftChars="0"/>
        <w:jc w:val="left"/>
        <w:rPr>
          <w:rFonts w:hint="eastAsia" w:ascii="仿宋_GB2312" w:hAnsi="仿宋" w:eastAsia="仿宋_GB2312" w:cs="Times New Roman"/>
          <w:sz w:val="32"/>
          <w:szCs w:val="32"/>
        </w:rPr>
      </w:pPr>
      <w:r>
        <w:rPr>
          <w:rFonts w:hint="eastAsia" w:ascii="仿宋_GB2312" w:hAnsi="仿宋" w:eastAsia="仿宋_GB2312" w:cs="Times New Roman"/>
          <w:sz w:val="32"/>
          <w:szCs w:val="32"/>
          <w:lang w:val="en-US" w:eastAsia="zh-CN"/>
        </w:rPr>
        <w:t>11.</w:t>
      </w:r>
      <w:r>
        <w:rPr>
          <w:rFonts w:hint="eastAsia" w:ascii="仿宋_GB2312" w:hAnsi="仿宋" w:eastAsia="仿宋_GB2312" w:cs="Times New Roman"/>
          <w:sz w:val="32"/>
          <w:szCs w:val="32"/>
        </w:rPr>
        <w:t>南孟镇2022年度机关运转工作经费（综合公用经费）</w:t>
      </w:r>
      <w:r>
        <w:rPr>
          <w:rFonts w:hint="eastAsia" w:ascii="仿宋_GB2312" w:hAnsi="仿宋" w:eastAsia="仿宋_GB2312" w:cs="Times New Roman"/>
          <w:sz w:val="32"/>
          <w:szCs w:val="32"/>
        </w:rPr>
        <w:tab/>
      </w:r>
      <w:r>
        <w:rPr>
          <w:rFonts w:hint="eastAsia" w:ascii="仿宋_GB2312" w:hAnsi="仿宋" w:eastAsia="仿宋_GB2312" w:cs="Times New Roman"/>
          <w:sz w:val="32"/>
          <w:szCs w:val="32"/>
        </w:rPr>
        <w:t>293597.49[13]乡镇财政</w:t>
      </w:r>
    </w:p>
    <w:p>
      <w:pPr>
        <w:numPr>
          <w:ilvl w:val="0"/>
          <w:numId w:val="0"/>
        </w:numPr>
        <w:spacing w:line="600" w:lineRule="exact"/>
        <w:ind w:leftChars="0"/>
        <w:rPr>
          <w:rFonts w:hint="eastAsia" w:ascii="仿宋_GB2312" w:hAnsi="仿宋" w:eastAsia="仿宋_GB2312" w:cs="Times New Roman"/>
          <w:sz w:val="32"/>
          <w:szCs w:val="32"/>
        </w:rPr>
      </w:pPr>
      <w:r>
        <w:rPr>
          <w:rFonts w:hint="eastAsia" w:ascii="仿宋_GB2312" w:hAnsi="仿宋" w:eastAsia="仿宋_GB2312" w:cs="Times New Roman"/>
          <w:sz w:val="32"/>
          <w:szCs w:val="32"/>
          <w:lang w:val="en-US" w:eastAsia="zh-CN"/>
        </w:rPr>
        <w:t>12.</w:t>
      </w:r>
      <w:r>
        <w:rPr>
          <w:rFonts w:hint="eastAsia" w:ascii="仿宋_GB2312" w:hAnsi="仿宋" w:eastAsia="仿宋_GB2312" w:cs="Times New Roman"/>
          <w:sz w:val="32"/>
          <w:szCs w:val="32"/>
        </w:rPr>
        <w:t>南孟镇2022年度学区工会费</w:t>
      </w:r>
      <w:r>
        <w:rPr>
          <w:rFonts w:hint="eastAsia" w:ascii="仿宋_GB2312" w:hAnsi="仿宋" w:eastAsia="仿宋_GB2312" w:cs="Times New Roman"/>
          <w:sz w:val="32"/>
          <w:szCs w:val="32"/>
          <w:lang w:val="en-US" w:eastAsia="zh-CN"/>
        </w:rPr>
        <w:t>170000元</w:t>
      </w:r>
      <w:r>
        <w:rPr>
          <w:rFonts w:hint="eastAsia" w:ascii="仿宋_GB2312" w:hAnsi="仿宋" w:eastAsia="仿宋_GB2312" w:cs="Times New Roman"/>
          <w:sz w:val="32"/>
          <w:szCs w:val="32"/>
        </w:rPr>
        <w:tab/>
      </w:r>
      <w:r>
        <w:rPr>
          <w:rFonts w:hint="eastAsia" w:ascii="仿宋_GB2312" w:hAnsi="仿宋" w:eastAsia="仿宋_GB2312" w:cs="Times New Roman"/>
          <w:sz w:val="32"/>
          <w:szCs w:val="32"/>
        </w:rPr>
        <w:t>[13]乡镇财政</w:t>
      </w:r>
    </w:p>
    <w:p>
      <w:pPr>
        <w:numPr>
          <w:ilvl w:val="0"/>
          <w:numId w:val="0"/>
        </w:numPr>
        <w:spacing w:line="600" w:lineRule="exact"/>
        <w:ind w:leftChars="0"/>
        <w:rPr>
          <w:rFonts w:hint="eastAsia" w:ascii="仿宋_GB2312" w:hAnsi="仿宋" w:eastAsia="仿宋_GB2312" w:cs="Times New Roman"/>
          <w:sz w:val="32"/>
          <w:szCs w:val="32"/>
        </w:rPr>
      </w:pPr>
      <w:r>
        <w:rPr>
          <w:rFonts w:hint="eastAsia" w:ascii="仿宋_GB2312" w:hAnsi="仿宋" w:eastAsia="仿宋_GB2312" w:cs="Times New Roman"/>
          <w:sz w:val="32"/>
          <w:szCs w:val="32"/>
          <w:lang w:val="en-US" w:eastAsia="zh-CN"/>
        </w:rPr>
        <w:t>13.</w:t>
      </w:r>
      <w:r>
        <w:rPr>
          <w:rFonts w:hint="eastAsia" w:ascii="仿宋_GB2312" w:hAnsi="仿宋" w:eastAsia="仿宋_GB2312" w:cs="Times New Roman"/>
          <w:sz w:val="32"/>
          <w:szCs w:val="32"/>
        </w:rPr>
        <w:t>南孟镇2022年金五线绿化占地补偿</w:t>
      </w:r>
      <w:r>
        <w:rPr>
          <w:rFonts w:hint="eastAsia" w:ascii="仿宋_GB2312" w:hAnsi="仿宋" w:eastAsia="仿宋_GB2312" w:cs="Times New Roman"/>
          <w:sz w:val="32"/>
          <w:szCs w:val="32"/>
          <w:lang w:val="en-US" w:eastAsia="zh-CN"/>
        </w:rPr>
        <w:t>67000元</w:t>
      </w:r>
      <w:r>
        <w:rPr>
          <w:rFonts w:hint="eastAsia" w:ascii="仿宋_GB2312" w:hAnsi="仿宋" w:eastAsia="仿宋_GB2312" w:cs="Times New Roman"/>
          <w:sz w:val="32"/>
          <w:szCs w:val="32"/>
        </w:rPr>
        <w:tab/>
      </w:r>
      <w:r>
        <w:rPr>
          <w:rFonts w:hint="eastAsia" w:ascii="仿宋_GB2312" w:hAnsi="仿宋" w:eastAsia="仿宋_GB2312" w:cs="Times New Roman"/>
          <w:sz w:val="32"/>
          <w:szCs w:val="32"/>
        </w:rPr>
        <w:t>[13]乡镇财政</w:t>
      </w:r>
    </w:p>
    <w:p>
      <w:pPr>
        <w:numPr>
          <w:ilvl w:val="0"/>
          <w:numId w:val="0"/>
        </w:numPr>
        <w:spacing w:line="600" w:lineRule="exact"/>
        <w:ind w:leftChars="0"/>
        <w:rPr>
          <w:rFonts w:hint="eastAsia" w:ascii="仿宋_GB2312" w:hAnsi="仿宋" w:eastAsia="仿宋_GB2312" w:cs="Times New Roman"/>
          <w:sz w:val="32"/>
          <w:szCs w:val="32"/>
        </w:rPr>
      </w:pPr>
      <w:r>
        <w:rPr>
          <w:rFonts w:hint="eastAsia" w:ascii="仿宋_GB2312" w:hAnsi="仿宋" w:eastAsia="仿宋_GB2312" w:cs="Times New Roman"/>
          <w:sz w:val="32"/>
          <w:szCs w:val="32"/>
          <w:lang w:val="en-US" w:eastAsia="zh-CN"/>
        </w:rPr>
        <w:t>14.</w:t>
      </w:r>
      <w:r>
        <w:rPr>
          <w:rFonts w:hint="eastAsia" w:ascii="仿宋_GB2312" w:hAnsi="仿宋" w:eastAsia="仿宋_GB2312" w:cs="Times New Roman"/>
          <w:sz w:val="32"/>
          <w:szCs w:val="32"/>
        </w:rPr>
        <w:t>南孟镇2022年农村独生子女费</w:t>
      </w:r>
      <w:r>
        <w:rPr>
          <w:rFonts w:hint="eastAsia" w:ascii="仿宋_GB2312" w:hAnsi="仿宋" w:eastAsia="仿宋_GB2312" w:cs="Times New Roman"/>
          <w:sz w:val="32"/>
          <w:szCs w:val="32"/>
          <w:lang w:val="en-US" w:eastAsia="zh-CN"/>
        </w:rPr>
        <w:t>45000元</w:t>
      </w:r>
      <w:r>
        <w:rPr>
          <w:rFonts w:hint="eastAsia" w:ascii="仿宋_GB2312" w:hAnsi="仿宋" w:eastAsia="仿宋_GB2312" w:cs="Times New Roman"/>
          <w:sz w:val="32"/>
          <w:szCs w:val="32"/>
        </w:rPr>
        <w:t>[13]乡镇财政</w:t>
      </w:r>
    </w:p>
    <w:p>
      <w:pPr>
        <w:numPr>
          <w:ilvl w:val="0"/>
          <w:numId w:val="0"/>
        </w:numPr>
        <w:spacing w:line="600" w:lineRule="exact"/>
        <w:ind w:leftChars="0"/>
        <w:rPr>
          <w:rFonts w:hint="default" w:ascii="仿宋_GB2312" w:hAnsi="仿宋" w:eastAsia="仿宋_GB2312" w:cs="Times New Roman"/>
          <w:sz w:val="32"/>
          <w:szCs w:val="32"/>
          <w:lang w:val="en-US" w:eastAsia="zh-CN"/>
        </w:rPr>
      </w:pPr>
      <w:r>
        <w:rPr>
          <w:rFonts w:hint="eastAsia" w:ascii="仿宋_GB2312" w:hAnsi="仿宋" w:eastAsia="仿宋_GB2312" w:cs="Times New Roman"/>
          <w:sz w:val="32"/>
          <w:szCs w:val="32"/>
          <w:lang w:val="en-US" w:eastAsia="zh-CN"/>
        </w:rPr>
        <w:t>15.南孟镇2022年农村文化建设资金140000元</w:t>
      </w:r>
      <w:r>
        <w:rPr>
          <w:rFonts w:hint="eastAsia" w:ascii="仿宋_GB2312" w:hAnsi="仿宋" w:eastAsia="仿宋_GB2312" w:cs="Times New Roman"/>
          <w:sz w:val="32"/>
          <w:szCs w:val="32"/>
        </w:rPr>
        <w:t>[13]乡镇财政</w:t>
      </w:r>
    </w:p>
    <w:p>
      <w:pPr>
        <w:numPr>
          <w:numId w:val="0"/>
        </w:numPr>
        <w:spacing w:line="600" w:lineRule="exact"/>
        <w:ind w:leftChars="0"/>
        <w:rPr>
          <w:rFonts w:hint="eastAsia" w:ascii="仿宋_GB2312" w:hAnsi="仿宋" w:eastAsia="仿宋_GB2312" w:cs="Times New Roman"/>
          <w:sz w:val="32"/>
          <w:szCs w:val="32"/>
        </w:rPr>
      </w:pPr>
      <w:r>
        <w:rPr>
          <w:rFonts w:hint="eastAsia" w:ascii="仿宋_GB2312" w:hAnsi="仿宋" w:eastAsia="仿宋_GB2312" w:cs="Times New Roman"/>
          <w:sz w:val="32"/>
          <w:szCs w:val="32"/>
          <w:lang w:val="en-US" w:eastAsia="zh-CN"/>
        </w:rPr>
        <w:t>16.南孟镇2022年土地执法、信访维稳、武装等工作经费（综合公用经费）348000元</w:t>
      </w:r>
      <w:r>
        <w:rPr>
          <w:rFonts w:hint="eastAsia" w:ascii="仿宋_GB2312" w:hAnsi="仿宋" w:eastAsia="仿宋_GB2312" w:cs="Times New Roman"/>
          <w:sz w:val="32"/>
          <w:szCs w:val="32"/>
        </w:rPr>
        <w:t>[13]乡镇财政</w:t>
      </w:r>
    </w:p>
    <w:p>
      <w:pPr>
        <w:numPr>
          <w:numId w:val="0"/>
        </w:numPr>
        <w:spacing w:line="600" w:lineRule="exact"/>
        <w:ind w:leftChars="0"/>
        <w:rPr>
          <w:rFonts w:hint="eastAsia" w:ascii="仿宋_GB2312" w:hAnsi="仿宋" w:eastAsia="仿宋_GB2312" w:cs="Times New Roman"/>
          <w:sz w:val="32"/>
          <w:szCs w:val="32"/>
        </w:rPr>
      </w:pPr>
      <w:r>
        <w:rPr>
          <w:rFonts w:hint="eastAsia" w:ascii="仿宋_GB2312" w:hAnsi="仿宋" w:eastAsia="仿宋_GB2312" w:cs="Times New Roman"/>
          <w:sz w:val="32"/>
          <w:szCs w:val="32"/>
          <w:lang w:val="en-US" w:eastAsia="zh-CN"/>
        </w:rPr>
        <w:t>17.南孟镇2022年政府工会费40000元</w:t>
      </w:r>
      <w:r>
        <w:rPr>
          <w:rFonts w:hint="eastAsia" w:ascii="仿宋_GB2312" w:hAnsi="仿宋" w:eastAsia="仿宋_GB2312" w:cs="Times New Roman"/>
          <w:sz w:val="32"/>
          <w:szCs w:val="32"/>
        </w:rPr>
        <w:t>[13]乡镇财政</w:t>
      </w:r>
    </w:p>
    <w:p>
      <w:pPr>
        <w:numPr>
          <w:numId w:val="0"/>
        </w:numPr>
        <w:spacing w:line="600" w:lineRule="exact"/>
        <w:ind w:leftChars="0"/>
        <w:rPr>
          <w:rFonts w:hint="eastAsia" w:ascii="仿宋_GB2312" w:hAnsi="仿宋" w:eastAsia="仿宋_GB2312" w:cs="Times New Roman"/>
          <w:sz w:val="32"/>
          <w:szCs w:val="32"/>
        </w:rPr>
      </w:pPr>
      <w:r>
        <w:rPr>
          <w:rFonts w:hint="eastAsia" w:ascii="仿宋_GB2312" w:hAnsi="仿宋" w:eastAsia="仿宋_GB2312" w:cs="Times New Roman"/>
          <w:sz w:val="32"/>
          <w:szCs w:val="32"/>
          <w:lang w:val="en-US" w:eastAsia="zh-CN"/>
        </w:rPr>
        <w:t>18.南孟镇拆违及路域环境整治专项资金500000万元</w:t>
      </w:r>
      <w:r>
        <w:rPr>
          <w:rFonts w:hint="eastAsia" w:ascii="仿宋_GB2312" w:hAnsi="仿宋" w:eastAsia="仿宋_GB2312" w:cs="Times New Roman"/>
          <w:sz w:val="32"/>
          <w:szCs w:val="32"/>
        </w:rPr>
        <w:t>[13]乡镇财政</w:t>
      </w:r>
    </w:p>
    <w:p>
      <w:pPr>
        <w:numPr>
          <w:numId w:val="0"/>
        </w:numPr>
        <w:spacing w:line="600" w:lineRule="exact"/>
        <w:ind w:leftChars="0"/>
        <w:rPr>
          <w:rFonts w:hint="eastAsia" w:ascii="仿宋_GB2312" w:hAnsi="仿宋" w:eastAsia="仿宋_GB2312" w:cs="Times New Roman"/>
          <w:sz w:val="32"/>
          <w:szCs w:val="32"/>
          <w:lang w:eastAsia="zh-CN"/>
        </w:rPr>
      </w:pPr>
      <w:r>
        <w:rPr>
          <w:rFonts w:hint="eastAsia" w:ascii="仿宋_GB2312" w:hAnsi="仿宋" w:eastAsia="仿宋_GB2312" w:cs="Times New Roman"/>
          <w:sz w:val="32"/>
          <w:szCs w:val="32"/>
          <w:lang w:val="en-US" w:eastAsia="zh-CN"/>
        </w:rPr>
        <w:t>19.南孟镇南孟村砖窑复垦项目新修道路及移树费用1169698元</w:t>
      </w:r>
      <w:r>
        <w:rPr>
          <w:rFonts w:hint="eastAsia" w:ascii="仿宋_GB2312" w:hAnsi="仿宋" w:eastAsia="仿宋_GB2312" w:cs="Times New Roman"/>
          <w:sz w:val="32"/>
          <w:szCs w:val="32"/>
        </w:rPr>
        <w:t>[</w:t>
      </w:r>
      <w:r>
        <w:rPr>
          <w:rFonts w:hint="eastAsia" w:ascii="仿宋_GB2312" w:hAnsi="仿宋" w:eastAsia="仿宋_GB2312" w:cs="Times New Roman"/>
          <w:sz w:val="32"/>
          <w:szCs w:val="32"/>
          <w:lang w:val="en-US" w:eastAsia="zh-CN"/>
        </w:rPr>
        <w:t>04</w:t>
      </w:r>
      <w:r>
        <w:rPr>
          <w:rFonts w:hint="eastAsia" w:ascii="仿宋_GB2312" w:hAnsi="仿宋" w:eastAsia="仿宋_GB2312" w:cs="Times New Roman"/>
          <w:sz w:val="32"/>
          <w:szCs w:val="32"/>
        </w:rPr>
        <w:t>]</w:t>
      </w:r>
      <w:r>
        <w:rPr>
          <w:rFonts w:hint="eastAsia" w:ascii="仿宋_GB2312" w:hAnsi="仿宋" w:eastAsia="仿宋_GB2312" w:cs="Times New Roman"/>
          <w:sz w:val="32"/>
          <w:szCs w:val="32"/>
          <w:lang w:eastAsia="zh-CN"/>
        </w:rPr>
        <w:t>企业科</w:t>
      </w:r>
    </w:p>
    <w:p>
      <w:pPr>
        <w:numPr>
          <w:ilvl w:val="0"/>
          <w:numId w:val="0"/>
        </w:numPr>
        <w:spacing w:line="600" w:lineRule="exact"/>
        <w:ind w:leftChars="0"/>
        <w:rPr>
          <w:rFonts w:hint="eastAsia" w:ascii="仿宋_GB2312" w:hAnsi="仿宋" w:eastAsia="仿宋_GB2312" w:cs="Times New Roman"/>
          <w:sz w:val="32"/>
          <w:szCs w:val="32"/>
        </w:rPr>
      </w:pPr>
      <w:r>
        <w:rPr>
          <w:rFonts w:hint="eastAsia" w:ascii="仿宋_GB2312" w:hAnsi="仿宋" w:eastAsia="仿宋_GB2312" w:cs="Times New Roman"/>
          <w:sz w:val="32"/>
          <w:szCs w:val="32"/>
          <w:lang w:val="en-US" w:eastAsia="zh-CN"/>
        </w:rPr>
        <w:t>20.南孟镇人居环境及日常工作经费2290000</w:t>
      </w:r>
      <w:r>
        <w:rPr>
          <w:rFonts w:hint="eastAsia" w:ascii="仿宋_GB2312" w:hAnsi="仿宋" w:eastAsia="仿宋_GB2312" w:cs="Times New Roman"/>
          <w:sz w:val="32"/>
          <w:szCs w:val="32"/>
        </w:rPr>
        <w:t>[13]乡镇财政</w:t>
      </w:r>
    </w:p>
    <w:p>
      <w:pPr>
        <w:numPr>
          <w:numId w:val="0"/>
        </w:numPr>
        <w:spacing w:line="600" w:lineRule="exact"/>
        <w:ind w:leftChars="0"/>
        <w:rPr>
          <w:rFonts w:hint="eastAsia" w:ascii="仿宋_GB2312" w:hAnsi="仿宋" w:eastAsia="仿宋_GB2312" w:cs="Times New Roman"/>
          <w:sz w:val="32"/>
          <w:szCs w:val="32"/>
        </w:rPr>
      </w:pPr>
      <w:r>
        <w:rPr>
          <w:rFonts w:hint="eastAsia" w:ascii="仿宋_GB2312" w:hAnsi="仿宋" w:eastAsia="仿宋_GB2312" w:cs="Times New Roman"/>
          <w:sz w:val="32"/>
          <w:szCs w:val="32"/>
          <w:lang w:val="en-US" w:eastAsia="zh-CN"/>
        </w:rPr>
        <w:t>21.南孟镇人居环境整治资金500000元</w:t>
      </w:r>
      <w:r>
        <w:rPr>
          <w:rFonts w:hint="eastAsia" w:ascii="仿宋_GB2312" w:hAnsi="仿宋" w:eastAsia="仿宋_GB2312" w:cs="Times New Roman"/>
          <w:sz w:val="32"/>
          <w:szCs w:val="32"/>
        </w:rPr>
        <w:t>[13]乡镇财政</w:t>
      </w:r>
    </w:p>
    <w:p>
      <w:pPr>
        <w:numPr>
          <w:numId w:val="0"/>
        </w:numPr>
        <w:spacing w:line="600" w:lineRule="exact"/>
        <w:ind w:leftChars="0"/>
        <w:rPr>
          <w:rFonts w:hint="eastAsia" w:ascii="仿宋_GB2312" w:hAnsi="仿宋" w:eastAsia="仿宋_GB2312" w:cs="Times New Roman"/>
          <w:sz w:val="32"/>
          <w:szCs w:val="32"/>
        </w:rPr>
      </w:pPr>
      <w:r>
        <w:rPr>
          <w:rFonts w:hint="eastAsia" w:ascii="仿宋_GB2312" w:hAnsi="仿宋" w:eastAsia="仿宋_GB2312" w:cs="Times New Roman"/>
          <w:sz w:val="32"/>
          <w:szCs w:val="32"/>
          <w:lang w:val="en-US" w:eastAsia="zh-CN"/>
        </w:rPr>
        <w:t>22.人居环境整治提升项目500000元</w:t>
      </w:r>
      <w:r>
        <w:rPr>
          <w:rFonts w:hint="eastAsia" w:ascii="仿宋_GB2312" w:hAnsi="仿宋" w:eastAsia="仿宋_GB2312" w:cs="Times New Roman"/>
          <w:sz w:val="32"/>
          <w:szCs w:val="32"/>
        </w:rPr>
        <w:t>[13]乡镇财政</w:t>
      </w:r>
    </w:p>
    <w:p>
      <w:pPr>
        <w:numPr>
          <w:numId w:val="0"/>
        </w:numPr>
        <w:spacing w:line="600" w:lineRule="exact"/>
        <w:ind w:leftChars="0"/>
        <w:rPr>
          <w:rFonts w:hint="eastAsia" w:ascii="仿宋_GB2312" w:hAnsi="仿宋" w:eastAsia="仿宋_GB2312" w:cs="Times New Roman"/>
          <w:sz w:val="32"/>
          <w:szCs w:val="32"/>
          <w:lang w:eastAsia="zh-CN"/>
        </w:rPr>
      </w:pPr>
      <w:r>
        <w:rPr>
          <w:rFonts w:hint="eastAsia" w:ascii="仿宋_GB2312" w:hAnsi="仿宋" w:eastAsia="仿宋_GB2312" w:cs="Times New Roman"/>
          <w:sz w:val="32"/>
          <w:szCs w:val="32"/>
          <w:lang w:val="en-US" w:eastAsia="zh-CN"/>
        </w:rPr>
        <w:t>23.石财农[2022]58号2022年中央农村综合改革转移支付预算的通知400000元</w:t>
      </w:r>
      <w:r>
        <w:rPr>
          <w:rFonts w:hint="eastAsia" w:ascii="仿宋_GB2312" w:hAnsi="仿宋" w:eastAsia="仿宋_GB2312" w:cs="Times New Roman"/>
          <w:sz w:val="32"/>
          <w:szCs w:val="32"/>
        </w:rPr>
        <w:t>[</w:t>
      </w:r>
      <w:r>
        <w:rPr>
          <w:rFonts w:hint="eastAsia" w:ascii="仿宋_GB2312" w:hAnsi="仿宋" w:eastAsia="仿宋_GB2312" w:cs="Times New Roman"/>
          <w:sz w:val="32"/>
          <w:szCs w:val="32"/>
          <w:lang w:val="en-US" w:eastAsia="zh-CN"/>
        </w:rPr>
        <w:t>07</w:t>
      </w:r>
      <w:r>
        <w:rPr>
          <w:rFonts w:hint="eastAsia" w:ascii="仿宋_GB2312" w:hAnsi="仿宋" w:eastAsia="仿宋_GB2312" w:cs="Times New Roman"/>
          <w:sz w:val="32"/>
          <w:szCs w:val="32"/>
        </w:rPr>
        <w:t>]</w:t>
      </w:r>
      <w:r>
        <w:rPr>
          <w:rFonts w:hint="eastAsia" w:ascii="仿宋_GB2312" w:hAnsi="仿宋" w:eastAsia="仿宋_GB2312" w:cs="Times New Roman"/>
          <w:sz w:val="32"/>
          <w:szCs w:val="32"/>
          <w:lang w:eastAsia="zh-CN"/>
        </w:rPr>
        <w:t>农税科</w:t>
      </w:r>
    </w:p>
    <w:p>
      <w:pPr>
        <w:numPr>
          <w:numId w:val="0"/>
        </w:numPr>
        <w:spacing w:line="600" w:lineRule="exact"/>
        <w:ind w:leftChars="0"/>
        <w:rPr>
          <w:rFonts w:hint="eastAsia" w:ascii="仿宋_GB2312" w:hAnsi="仿宋" w:eastAsia="仿宋_GB2312" w:cs="Times New Roman"/>
          <w:sz w:val="32"/>
          <w:szCs w:val="32"/>
          <w:lang w:eastAsia="zh-CN"/>
        </w:rPr>
      </w:pPr>
      <w:r>
        <w:rPr>
          <w:rFonts w:hint="eastAsia" w:ascii="仿宋_GB2312" w:hAnsi="仿宋" w:eastAsia="仿宋_GB2312" w:cs="Times New Roman"/>
          <w:sz w:val="32"/>
          <w:szCs w:val="32"/>
          <w:lang w:val="en-US" w:eastAsia="zh-CN"/>
        </w:rPr>
        <w:t>24.石财农【2021】101号关于提前下达2022年省级农村综合改革转移支付预算的通知1950000元</w:t>
      </w:r>
      <w:r>
        <w:rPr>
          <w:rFonts w:hint="eastAsia" w:ascii="仿宋_GB2312" w:hAnsi="仿宋" w:eastAsia="仿宋_GB2312" w:cs="Times New Roman"/>
          <w:sz w:val="32"/>
          <w:szCs w:val="32"/>
        </w:rPr>
        <w:t>[</w:t>
      </w:r>
      <w:r>
        <w:rPr>
          <w:rFonts w:hint="eastAsia" w:ascii="仿宋_GB2312" w:hAnsi="仿宋" w:eastAsia="仿宋_GB2312" w:cs="Times New Roman"/>
          <w:sz w:val="32"/>
          <w:szCs w:val="32"/>
          <w:lang w:val="en-US" w:eastAsia="zh-CN"/>
        </w:rPr>
        <w:t>07</w:t>
      </w:r>
      <w:r>
        <w:rPr>
          <w:rFonts w:hint="eastAsia" w:ascii="仿宋_GB2312" w:hAnsi="仿宋" w:eastAsia="仿宋_GB2312" w:cs="Times New Roman"/>
          <w:sz w:val="32"/>
          <w:szCs w:val="32"/>
        </w:rPr>
        <w:t>]</w:t>
      </w:r>
      <w:r>
        <w:rPr>
          <w:rFonts w:hint="eastAsia" w:ascii="仿宋_GB2312" w:hAnsi="仿宋" w:eastAsia="仿宋_GB2312" w:cs="Times New Roman"/>
          <w:sz w:val="32"/>
          <w:szCs w:val="32"/>
          <w:lang w:eastAsia="zh-CN"/>
        </w:rPr>
        <w:t>农税科</w:t>
      </w:r>
    </w:p>
    <w:p>
      <w:pPr>
        <w:numPr>
          <w:numId w:val="0"/>
        </w:numPr>
        <w:spacing w:line="600" w:lineRule="exact"/>
        <w:ind w:leftChars="0"/>
        <w:rPr>
          <w:rFonts w:hint="eastAsia" w:ascii="仿宋_GB2312" w:hAnsi="仿宋" w:eastAsia="仿宋_GB2312" w:cs="Times New Roman"/>
          <w:sz w:val="32"/>
          <w:szCs w:val="32"/>
          <w:lang w:eastAsia="zh-CN"/>
        </w:rPr>
      </w:pPr>
      <w:r>
        <w:rPr>
          <w:rFonts w:hint="eastAsia" w:ascii="仿宋_GB2312" w:hAnsi="仿宋" w:eastAsia="仿宋_GB2312" w:cs="Times New Roman"/>
          <w:sz w:val="32"/>
          <w:szCs w:val="32"/>
          <w:lang w:val="en-US" w:eastAsia="zh-CN"/>
        </w:rPr>
        <w:t>25.石财农【2021】88号关于提前下达2022年中央农村综合改革转移支付预算的通知4500000元</w:t>
      </w:r>
      <w:r>
        <w:rPr>
          <w:rFonts w:hint="eastAsia" w:ascii="仿宋_GB2312" w:hAnsi="仿宋" w:eastAsia="仿宋_GB2312" w:cs="Times New Roman"/>
          <w:sz w:val="32"/>
          <w:szCs w:val="32"/>
        </w:rPr>
        <w:t>[</w:t>
      </w:r>
      <w:r>
        <w:rPr>
          <w:rFonts w:hint="eastAsia" w:ascii="仿宋_GB2312" w:hAnsi="仿宋" w:eastAsia="仿宋_GB2312" w:cs="Times New Roman"/>
          <w:sz w:val="32"/>
          <w:szCs w:val="32"/>
          <w:lang w:val="en-US" w:eastAsia="zh-CN"/>
        </w:rPr>
        <w:t>07</w:t>
      </w:r>
      <w:r>
        <w:rPr>
          <w:rFonts w:hint="eastAsia" w:ascii="仿宋_GB2312" w:hAnsi="仿宋" w:eastAsia="仿宋_GB2312" w:cs="Times New Roman"/>
          <w:sz w:val="32"/>
          <w:szCs w:val="32"/>
        </w:rPr>
        <w:t>]</w:t>
      </w:r>
      <w:r>
        <w:rPr>
          <w:rFonts w:hint="eastAsia" w:ascii="仿宋_GB2312" w:hAnsi="仿宋" w:eastAsia="仿宋_GB2312" w:cs="Times New Roman"/>
          <w:sz w:val="32"/>
          <w:szCs w:val="32"/>
          <w:lang w:eastAsia="zh-CN"/>
        </w:rPr>
        <w:t>农税科</w:t>
      </w:r>
    </w:p>
    <w:p>
      <w:pPr>
        <w:numPr>
          <w:ilvl w:val="0"/>
          <w:numId w:val="0"/>
        </w:numPr>
        <w:spacing w:line="600" w:lineRule="exact"/>
        <w:ind w:leftChars="0"/>
        <w:rPr>
          <w:rFonts w:hint="eastAsia" w:ascii="仿宋_GB2312" w:hAnsi="仿宋" w:eastAsia="仿宋_GB2312" w:cs="Times New Roman"/>
          <w:sz w:val="32"/>
          <w:szCs w:val="32"/>
          <w:lang w:eastAsia="zh-CN"/>
        </w:rPr>
      </w:pPr>
      <w:r>
        <w:rPr>
          <w:rFonts w:hint="eastAsia" w:ascii="仿宋_GB2312" w:hAnsi="仿宋" w:eastAsia="仿宋_GB2312" w:cs="Times New Roman"/>
          <w:sz w:val="32"/>
          <w:szCs w:val="32"/>
          <w:lang w:val="en-US" w:eastAsia="zh-CN"/>
        </w:rPr>
        <w:t>26.石财农【2021】89号关于提前下达2022年市级农村综合改革转移支付预算的通知650000元</w:t>
      </w:r>
      <w:r>
        <w:rPr>
          <w:rFonts w:hint="eastAsia" w:ascii="仿宋_GB2312" w:hAnsi="仿宋" w:eastAsia="仿宋_GB2312" w:cs="Times New Roman"/>
          <w:sz w:val="32"/>
          <w:szCs w:val="32"/>
        </w:rPr>
        <w:t>[</w:t>
      </w:r>
      <w:r>
        <w:rPr>
          <w:rFonts w:hint="eastAsia" w:ascii="仿宋_GB2312" w:hAnsi="仿宋" w:eastAsia="仿宋_GB2312" w:cs="Times New Roman"/>
          <w:sz w:val="32"/>
          <w:szCs w:val="32"/>
          <w:lang w:val="en-US" w:eastAsia="zh-CN"/>
        </w:rPr>
        <w:t>07</w:t>
      </w:r>
      <w:r>
        <w:rPr>
          <w:rFonts w:hint="eastAsia" w:ascii="仿宋_GB2312" w:hAnsi="仿宋" w:eastAsia="仿宋_GB2312" w:cs="Times New Roman"/>
          <w:sz w:val="32"/>
          <w:szCs w:val="32"/>
        </w:rPr>
        <w:t>]</w:t>
      </w:r>
      <w:r>
        <w:rPr>
          <w:rFonts w:hint="eastAsia" w:ascii="仿宋_GB2312" w:hAnsi="仿宋" w:eastAsia="仿宋_GB2312" w:cs="Times New Roman"/>
          <w:sz w:val="32"/>
          <w:szCs w:val="32"/>
          <w:lang w:eastAsia="zh-CN"/>
        </w:rPr>
        <w:t>农税科</w:t>
      </w:r>
    </w:p>
    <w:p>
      <w:pPr>
        <w:numPr>
          <w:numId w:val="0"/>
        </w:numPr>
        <w:spacing w:line="600" w:lineRule="exact"/>
        <w:ind w:leftChars="0"/>
        <w:rPr>
          <w:rFonts w:hint="eastAsia" w:ascii="仿宋_GB2312" w:hAnsi="仿宋" w:eastAsia="仿宋_GB2312" w:cs="Times New Roman"/>
          <w:sz w:val="32"/>
          <w:szCs w:val="32"/>
        </w:rPr>
      </w:pPr>
      <w:r>
        <w:rPr>
          <w:rFonts w:hint="eastAsia" w:ascii="仿宋_GB2312" w:hAnsi="仿宋" w:eastAsia="仿宋_GB2312" w:cs="Times New Roman"/>
          <w:sz w:val="32"/>
          <w:szCs w:val="32"/>
          <w:lang w:val="en-US" w:eastAsia="zh-CN"/>
        </w:rPr>
        <w:t>27.石财预[2021]39号关于提前下达2022年革命老区转移支付预算的通知2220000元</w:t>
      </w:r>
      <w:r>
        <w:rPr>
          <w:rFonts w:hint="eastAsia" w:ascii="仿宋_GB2312" w:hAnsi="仿宋" w:eastAsia="仿宋_GB2312" w:cs="Times New Roman"/>
          <w:sz w:val="32"/>
          <w:szCs w:val="32"/>
        </w:rPr>
        <w:t>[13]乡镇财政</w:t>
      </w:r>
    </w:p>
    <w:p>
      <w:pPr>
        <w:numPr>
          <w:numId w:val="0"/>
        </w:numPr>
        <w:spacing w:line="600" w:lineRule="exact"/>
        <w:ind w:leftChars="0"/>
        <w:rPr>
          <w:rFonts w:hint="eastAsia" w:ascii="仿宋_GB2312" w:hAnsi="仿宋" w:eastAsia="仿宋_GB2312" w:cs="Times New Roman"/>
          <w:sz w:val="32"/>
          <w:szCs w:val="32"/>
          <w:lang w:eastAsia="zh-CN"/>
        </w:rPr>
      </w:pPr>
      <w:r>
        <w:rPr>
          <w:rFonts w:hint="eastAsia" w:ascii="仿宋_GB2312" w:hAnsi="仿宋" w:eastAsia="仿宋_GB2312" w:cs="Times New Roman"/>
          <w:sz w:val="32"/>
          <w:szCs w:val="32"/>
          <w:lang w:val="en-US" w:eastAsia="zh-CN"/>
        </w:rPr>
        <w:t>28.石家庄市2021年第73批次征地补偿费（南孟镇康村）8411940元</w:t>
      </w:r>
      <w:r>
        <w:rPr>
          <w:rFonts w:hint="eastAsia" w:ascii="仿宋_GB2312" w:hAnsi="仿宋" w:eastAsia="仿宋_GB2312" w:cs="Times New Roman"/>
          <w:sz w:val="32"/>
          <w:szCs w:val="32"/>
        </w:rPr>
        <w:t>[</w:t>
      </w:r>
      <w:r>
        <w:rPr>
          <w:rFonts w:hint="eastAsia" w:ascii="仿宋_GB2312" w:hAnsi="仿宋" w:eastAsia="仿宋_GB2312" w:cs="Times New Roman"/>
          <w:sz w:val="32"/>
          <w:szCs w:val="32"/>
          <w:lang w:val="en-US" w:eastAsia="zh-CN"/>
        </w:rPr>
        <w:t>04</w:t>
      </w:r>
      <w:r>
        <w:rPr>
          <w:rFonts w:hint="eastAsia" w:ascii="仿宋_GB2312" w:hAnsi="仿宋" w:eastAsia="仿宋_GB2312" w:cs="Times New Roman"/>
          <w:sz w:val="32"/>
          <w:szCs w:val="32"/>
        </w:rPr>
        <w:t>]</w:t>
      </w:r>
      <w:r>
        <w:rPr>
          <w:rFonts w:hint="eastAsia" w:ascii="仿宋_GB2312" w:hAnsi="仿宋" w:eastAsia="仿宋_GB2312" w:cs="Times New Roman"/>
          <w:sz w:val="32"/>
          <w:szCs w:val="32"/>
          <w:lang w:eastAsia="zh-CN"/>
        </w:rPr>
        <w:t>企业科</w:t>
      </w:r>
    </w:p>
    <w:p>
      <w:pPr>
        <w:numPr>
          <w:numId w:val="0"/>
        </w:numPr>
        <w:spacing w:line="600" w:lineRule="exact"/>
        <w:ind w:leftChars="0"/>
        <w:rPr>
          <w:rFonts w:hint="eastAsia" w:ascii="仿宋_GB2312" w:hAnsi="仿宋" w:eastAsia="仿宋_GB2312" w:cs="Times New Roman"/>
          <w:sz w:val="32"/>
          <w:szCs w:val="32"/>
          <w:lang w:eastAsia="zh-CN"/>
        </w:rPr>
      </w:pPr>
      <w:r>
        <w:rPr>
          <w:rFonts w:hint="eastAsia" w:ascii="仿宋_GB2312" w:hAnsi="仿宋" w:eastAsia="仿宋_GB2312" w:cs="Times New Roman"/>
          <w:sz w:val="32"/>
          <w:szCs w:val="32"/>
          <w:lang w:val="en-US" w:eastAsia="zh-CN"/>
        </w:rPr>
        <w:t>29.页岩砖企业转型升级奖补资金（南孟镇）5000000元</w:t>
      </w:r>
      <w:r>
        <w:rPr>
          <w:rFonts w:hint="eastAsia" w:ascii="仿宋_GB2312" w:hAnsi="仿宋" w:eastAsia="仿宋_GB2312" w:cs="Times New Roman"/>
          <w:sz w:val="32"/>
          <w:szCs w:val="32"/>
        </w:rPr>
        <w:t>[</w:t>
      </w:r>
      <w:r>
        <w:rPr>
          <w:rFonts w:hint="eastAsia" w:ascii="仿宋_GB2312" w:hAnsi="仿宋" w:eastAsia="仿宋_GB2312" w:cs="Times New Roman"/>
          <w:sz w:val="32"/>
          <w:szCs w:val="32"/>
          <w:lang w:val="en-US" w:eastAsia="zh-CN"/>
        </w:rPr>
        <w:t>04</w:t>
      </w:r>
      <w:r>
        <w:rPr>
          <w:rFonts w:hint="eastAsia" w:ascii="仿宋_GB2312" w:hAnsi="仿宋" w:eastAsia="仿宋_GB2312" w:cs="Times New Roman"/>
          <w:sz w:val="32"/>
          <w:szCs w:val="32"/>
        </w:rPr>
        <w:t>]</w:t>
      </w:r>
      <w:r>
        <w:rPr>
          <w:rFonts w:hint="eastAsia" w:ascii="仿宋_GB2312" w:hAnsi="仿宋" w:eastAsia="仿宋_GB2312" w:cs="Times New Roman"/>
          <w:sz w:val="32"/>
          <w:szCs w:val="32"/>
          <w:lang w:eastAsia="zh-CN"/>
        </w:rPr>
        <w:t>企业科</w:t>
      </w:r>
    </w:p>
    <w:p>
      <w:pPr>
        <w:numPr>
          <w:numId w:val="0"/>
        </w:numPr>
        <w:spacing w:line="600" w:lineRule="exact"/>
        <w:ind w:leftChars="0"/>
        <w:rPr>
          <w:rFonts w:hint="default" w:ascii="仿宋_GB2312" w:hAnsi="仿宋" w:eastAsia="仿宋_GB2312" w:cs="Times New Roman"/>
          <w:sz w:val="32"/>
          <w:szCs w:val="32"/>
          <w:lang w:val="en-US" w:eastAsia="zh-CN"/>
        </w:rPr>
      </w:pPr>
      <w:r>
        <w:rPr>
          <w:rFonts w:hint="eastAsia" w:ascii="仿宋_GB2312" w:hAnsi="仿宋" w:eastAsia="仿宋_GB2312" w:cs="Times New Roman"/>
          <w:sz w:val="32"/>
          <w:szCs w:val="32"/>
          <w:lang w:val="en-US" w:eastAsia="zh-CN"/>
        </w:rPr>
        <w:t>30.疫情防控隔离点底商补偿16500元</w:t>
      </w:r>
      <w:r>
        <w:rPr>
          <w:rFonts w:hint="eastAsia" w:ascii="仿宋_GB2312" w:hAnsi="仿宋" w:eastAsia="仿宋_GB2312" w:cs="Times New Roman"/>
          <w:sz w:val="32"/>
          <w:szCs w:val="32"/>
        </w:rPr>
        <w:t>[13]乡镇财政</w:t>
      </w:r>
    </w:p>
    <w:p>
      <w:pPr>
        <w:widowControl w:val="0"/>
        <w:numPr>
          <w:ilvl w:val="0"/>
          <w:numId w:val="1"/>
        </w:numPr>
        <w:wordWrap/>
        <w:adjustRightInd/>
        <w:snapToGrid w:val="0"/>
        <w:spacing w:line="560" w:lineRule="exact"/>
        <w:ind w:left="-10" w:leftChars="0" w:right="0" w:firstLine="640" w:firstLineChars="0"/>
        <w:textAlignment w:val="auto"/>
        <w:outlineLvl w:val="9"/>
        <w:rPr>
          <w:rFonts w:hint="eastAsia" w:ascii="黑体" w:hAnsi="黑体" w:eastAsia="黑体" w:cs="黑体"/>
          <w:sz w:val="32"/>
          <w:szCs w:val="32"/>
          <w:lang w:eastAsia="zh-CN"/>
        </w:rPr>
      </w:pPr>
      <w:r>
        <w:rPr>
          <w:rFonts w:hint="eastAsia" w:ascii="黑体" w:hAnsi="黑体" w:eastAsia="黑体" w:cs="黑体"/>
          <w:sz w:val="32"/>
          <w:szCs w:val="32"/>
          <w:lang w:eastAsia="zh-CN"/>
        </w:rPr>
        <w:t>评价结论和评价等级</w:t>
      </w:r>
    </w:p>
    <w:p>
      <w:pPr>
        <w:spacing w:line="600" w:lineRule="exact"/>
        <w:ind w:firstLine="720"/>
        <w:rPr>
          <w:rFonts w:hint="eastAsia" w:ascii="仿宋_GB2312" w:hAnsi="仿宋" w:eastAsia="仿宋_GB2312" w:cs="Times New Roman"/>
          <w:sz w:val="32"/>
          <w:szCs w:val="32"/>
        </w:rPr>
      </w:pPr>
      <w:r>
        <w:rPr>
          <w:rFonts w:hint="eastAsia" w:ascii="仿宋_GB2312" w:hAnsi="仿宋" w:eastAsia="仿宋_GB2312" w:cs="Times New Roman"/>
          <w:sz w:val="32"/>
          <w:szCs w:val="32"/>
          <w:lang w:eastAsia="zh-CN"/>
        </w:rPr>
        <w:t>南孟镇</w:t>
      </w:r>
      <w:r>
        <w:rPr>
          <w:rFonts w:hint="eastAsia" w:ascii="仿宋_GB2312" w:hAnsi="仿宋" w:eastAsia="仿宋_GB2312" w:cs="Times New Roman"/>
          <w:sz w:val="32"/>
          <w:szCs w:val="32"/>
        </w:rPr>
        <w:t>20</w:t>
      </w:r>
      <w:r>
        <w:rPr>
          <w:rFonts w:hint="eastAsia" w:ascii="仿宋_GB2312" w:hAnsi="仿宋" w:eastAsia="仿宋_GB2312" w:cs="Times New Roman"/>
          <w:sz w:val="32"/>
          <w:szCs w:val="32"/>
          <w:lang w:val="en-US" w:eastAsia="zh-CN"/>
        </w:rPr>
        <w:t>22</w:t>
      </w:r>
      <w:r>
        <w:rPr>
          <w:rFonts w:hint="eastAsia" w:ascii="仿宋_GB2312" w:hAnsi="仿宋" w:eastAsia="仿宋_GB2312" w:cs="Times New Roman"/>
          <w:sz w:val="32"/>
          <w:szCs w:val="32"/>
        </w:rPr>
        <w:t>年</w:t>
      </w:r>
      <w:r>
        <w:rPr>
          <w:rFonts w:hint="eastAsia" w:ascii="仿宋_GB2312" w:hAnsi="仿宋" w:eastAsia="仿宋_GB2312" w:cs="Times New Roman"/>
          <w:sz w:val="32"/>
          <w:szCs w:val="32"/>
          <w:lang w:eastAsia="zh-CN"/>
        </w:rPr>
        <w:t>共有学区工会费、政府工会费</w:t>
      </w:r>
      <w:r>
        <w:rPr>
          <w:rFonts w:hint="eastAsia" w:ascii="仿宋_GB2312" w:hAnsi="仿宋" w:eastAsia="仿宋_GB2312" w:cs="Times New Roman"/>
          <w:sz w:val="32"/>
          <w:szCs w:val="32"/>
        </w:rPr>
        <w:t>、</w:t>
      </w:r>
      <w:r>
        <w:rPr>
          <w:rFonts w:hint="eastAsia" w:ascii="仿宋_GB2312" w:hAnsi="仿宋" w:eastAsia="仿宋_GB2312" w:cs="Times New Roman"/>
          <w:sz w:val="32"/>
          <w:szCs w:val="32"/>
          <w:lang w:val="en-US" w:eastAsia="zh-CN"/>
        </w:rPr>
        <w:t>综合工作经费等30</w:t>
      </w:r>
      <w:r>
        <w:rPr>
          <w:rFonts w:hint="eastAsia" w:ascii="仿宋_GB2312" w:hAnsi="仿宋" w:eastAsia="仿宋_GB2312" w:cs="Times New Roman"/>
          <w:sz w:val="32"/>
          <w:szCs w:val="32"/>
        </w:rPr>
        <w:t>个项目</w:t>
      </w:r>
      <w:r>
        <w:rPr>
          <w:rFonts w:hint="eastAsia" w:ascii="仿宋_GB2312" w:hAnsi="仿宋" w:eastAsia="仿宋_GB2312" w:cs="Times New Roman"/>
          <w:sz w:val="32"/>
          <w:szCs w:val="32"/>
          <w:lang w:eastAsia="zh-CN"/>
        </w:rPr>
        <w:t>，</w:t>
      </w:r>
      <w:r>
        <w:rPr>
          <w:rFonts w:hint="eastAsia" w:ascii="仿宋_GB2312" w:hAnsi="仿宋" w:eastAsia="仿宋_GB2312" w:cs="Times New Roman"/>
          <w:sz w:val="32"/>
          <w:szCs w:val="32"/>
        </w:rPr>
        <w:t>年初预算金额为</w:t>
      </w:r>
      <w:r>
        <w:rPr>
          <w:rFonts w:hint="eastAsia" w:ascii="仿宋_GB2312" w:hAnsi="仿宋" w:eastAsia="仿宋_GB2312" w:cs="Times New Roman"/>
          <w:sz w:val="32"/>
          <w:szCs w:val="32"/>
          <w:lang w:val="en-US" w:eastAsia="zh-CN"/>
        </w:rPr>
        <w:t>4041.480449</w:t>
      </w:r>
      <w:r>
        <w:rPr>
          <w:rFonts w:hint="eastAsia" w:ascii="仿宋_GB2312" w:hAnsi="仿宋" w:eastAsia="仿宋_GB2312" w:cs="Times New Roman"/>
          <w:sz w:val="32"/>
          <w:szCs w:val="32"/>
        </w:rPr>
        <w:t>万元。</w:t>
      </w:r>
    </w:p>
    <w:p>
      <w:pPr>
        <w:spacing w:line="600" w:lineRule="exact"/>
        <w:ind w:firstLine="720"/>
        <w:rPr>
          <w:rFonts w:hint="eastAsia" w:ascii="仿宋_GB2312" w:hAnsi="仿宋" w:eastAsia="仿宋_GB2312" w:cs="Times New Roman"/>
          <w:sz w:val="32"/>
          <w:szCs w:val="32"/>
        </w:rPr>
      </w:pPr>
      <w:r>
        <w:rPr>
          <w:rFonts w:hint="eastAsia" w:ascii="仿宋_GB2312" w:hAnsi="仿宋" w:eastAsia="仿宋_GB2312" w:cs="Times New Roman"/>
          <w:sz w:val="32"/>
          <w:szCs w:val="32"/>
        </w:rPr>
        <w:t>项目实施单位为</w:t>
      </w:r>
      <w:r>
        <w:rPr>
          <w:rFonts w:hint="eastAsia" w:ascii="仿宋_GB2312" w:hAnsi="仿宋" w:eastAsia="仿宋_GB2312" w:cs="Times New Roman"/>
          <w:sz w:val="32"/>
          <w:szCs w:val="32"/>
          <w:lang w:eastAsia="zh-CN"/>
        </w:rPr>
        <w:t>南孟镇</w:t>
      </w:r>
      <w:r>
        <w:rPr>
          <w:rFonts w:hint="eastAsia" w:ascii="仿宋_GB2312" w:hAnsi="仿宋" w:eastAsia="仿宋_GB2312" w:cs="Times New Roman"/>
          <w:sz w:val="32"/>
          <w:szCs w:val="32"/>
        </w:rPr>
        <w:t>人民政府，</w:t>
      </w:r>
      <w:r>
        <w:rPr>
          <w:rFonts w:hint="eastAsia" w:ascii="仿宋_GB2312" w:hAnsi="仿宋" w:eastAsia="仿宋_GB2312" w:cs="Times New Roman"/>
          <w:sz w:val="32"/>
          <w:szCs w:val="32"/>
          <w:lang w:eastAsia="zh-CN"/>
        </w:rPr>
        <w:t>上述</w:t>
      </w:r>
      <w:r>
        <w:rPr>
          <w:rFonts w:hint="eastAsia" w:ascii="仿宋_GB2312" w:hAnsi="仿宋" w:eastAsia="仿宋_GB2312" w:cs="Times New Roman"/>
          <w:sz w:val="32"/>
          <w:szCs w:val="32"/>
        </w:rPr>
        <w:t>项目是</w:t>
      </w:r>
      <w:r>
        <w:rPr>
          <w:rFonts w:hint="eastAsia" w:ascii="仿宋_GB2312" w:hAnsi="仿宋" w:eastAsia="仿宋_GB2312" w:cs="Times New Roman"/>
          <w:sz w:val="32"/>
          <w:szCs w:val="32"/>
          <w:lang w:eastAsia="zh-CN"/>
        </w:rPr>
        <w:t>依据区财政“保工资、保运转、保民生”的原则进行设定的。南孟镇</w:t>
      </w:r>
      <w:r>
        <w:rPr>
          <w:rFonts w:hint="eastAsia" w:ascii="仿宋_GB2312" w:hAnsi="仿宋" w:eastAsia="仿宋_GB2312" w:cs="Times New Roman"/>
          <w:sz w:val="32"/>
          <w:szCs w:val="32"/>
        </w:rPr>
        <w:t>本着</w:t>
      </w:r>
      <w:r>
        <w:rPr>
          <w:rFonts w:hint="eastAsia" w:ascii="仿宋_GB2312" w:hAnsi="仿宋" w:eastAsia="仿宋_GB2312" w:cs="Times New Roman"/>
          <w:sz w:val="32"/>
          <w:szCs w:val="32"/>
          <w:lang w:eastAsia="zh-CN"/>
        </w:rPr>
        <w:t>强化</w:t>
      </w:r>
      <w:r>
        <w:rPr>
          <w:rFonts w:hint="eastAsia" w:ascii="仿宋_GB2312" w:hAnsi="仿宋" w:eastAsia="仿宋_GB2312" w:cs="Times New Roman"/>
          <w:sz w:val="32"/>
          <w:szCs w:val="32"/>
        </w:rPr>
        <w:t>环境整治</w:t>
      </w:r>
      <w:r>
        <w:rPr>
          <w:rFonts w:hint="eastAsia" w:ascii="仿宋_GB2312" w:hAnsi="仿宋" w:eastAsia="仿宋_GB2312" w:cs="Times New Roman"/>
          <w:sz w:val="32"/>
          <w:szCs w:val="32"/>
          <w:lang w:eastAsia="zh-CN"/>
        </w:rPr>
        <w:t>、促进</w:t>
      </w:r>
      <w:r>
        <w:rPr>
          <w:rFonts w:hint="eastAsia" w:ascii="仿宋_GB2312" w:hAnsi="仿宋" w:eastAsia="仿宋_GB2312" w:cs="Times New Roman"/>
          <w:sz w:val="32"/>
          <w:szCs w:val="32"/>
        </w:rPr>
        <w:t>面貌</w:t>
      </w:r>
      <w:r>
        <w:rPr>
          <w:rFonts w:hint="eastAsia" w:ascii="仿宋_GB2312" w:hAnsi="仿宋" w:eastAsia="仿宋_GB2312" w:cs="Times New Roman"/>
          <w:sz w:val="32"/>
          <w:szCs w:val="32"/>
          <w:lang w:eastAsia="zh-CN"/>
        </w:rPr>
        <w:t>提升</w:t>
      </w:r>
      <w:r>
        <w:rPr>
          <w:rFonts w:hint="eastAsia" w:ascii="仿宋_GB2312" w:hAnsi="仿宋" w:eastAsia="仿宋_GB2312" w:cs="Times New Roman"/>
          <w:sz w:val="32"/>
          <w:szCs w:val="32"/>
        </w:rPr>
        <w:t>、维护信访稳定、防治环境污染、清理违法占地、维护食品安全、保障安全生产等</w:t>
      </w:r>
      <w:r>
        <w:rPr>
          <w:rFonts w:hint="eastAsia" w:ascii="仿宋_GB2312" w:hAnsi="仿宋" w:eastAsia="仿宋_GB2312" w:cs="Times New Roman"/>
          <w:sz w:val="32"/>
          <w:szCs w:val="32"/>
          <w:lang w:eastAsia="zh-CN"/>
        </w:rPr>
        <w:t>工作统筹</w:t>
      </w:r>
      <w:r>
        <w:rPr>
          <w:rFonts w:hint="eastAsia" w:ascii="仿宋_GB2312" w:hAnsi="仿宋" w:eastAsia="仿宋_GB2312" w:cs="Times New Roman"/>
          <w:sz w:val="32"/>
          <w:szCs w:val="32"/>
        </w:rPr>
        <w:t>使用</w:t>
      </w:r>
      <w:r>
        <w:rPr>
          <w:rFonts w:hint="eastAsia" w:ascii="仿宋_GB2312" w:hAnsi="仿宋" w:eastAsia="仿宋_GB2312" w:cs="Times New Roman"/>
          <w:sz w:val="32"/>
          <w:szCs w:val="32"/>
          <w:lang w:eastAsia="zh-CN"/>
        </w:rPr>
        <w:t>项目资金</w:t>
      </w:r>
      <w:r>
        <w:rPr>
          <w:rFonts w:hint="eastAsia" w:ascii="仿宋_GB2312" w:hAnsi="仿宋" w:eastAsia="仿宋_GB2312" w:cs="Times New Roman"/>
          <w:sz w:val="32"/>
          <w:szCs w:val="32"/>
        </w:rPr>
        <w:t>，项目资金来源是财政预算拨款。</w:t>
      </w:r>
    </w:p>
    <w:p>
      <w:pPr>
        <w:spacing w:line="600" w:lineRule="exact"/>
        <w:ind w:firstLine="720"/>
        <w:rPr>
          <w:rFonts w:hint="eastAsia" w:ascii="仿宋_GB2312" w:hAnsi="仿宋" w:eastAsia="仿宋_GB2312" w:cs="Times New Roman"/>
          <w:sz w:val="32"/>
          <w:szCs w:val="32"/>
          <w:lang w:eastAsia="zh-CN"/>
        </w:rPr>
      </w:pPr>
      <w:r>
        <w:rPr>
          <w:rFonts w:hint="eastAsia" w:ascii="仿宋_GB2312" w:hAnsi="仿宋" w:eastAsia="仿宋_GB2312" w:cs="Times New Roman"/>
          <w:sz w:val="32"/>
          <w:szCs w:val="32"/>
        </w:rPr>
        <w:t>政府信访、环保、土地、食品、安全生产、协税等工作经费及劳务费预期绩效总目标是按</w:t>
      </w:r>
      <w:r>
        <w:rPr>
          <w:rFonts w:hint="eastAsia" w:ascii="仿宋_GB2312" w:hAnsi="仿宋" w:eastAsia="仿宋_GB2312" w:cs="Times New Roman"/>
          <w:sz w:val="32"/>
          <w:szCs w:val="32"/>
          <w:lang w:val="en-US" w:eastAsia="zh-CN"/>
        </w:rPr>
        <w:t>2022年度各项工作任务情况进行设定，经自评，各项任务目标均已达到，</w:t>
      </w:r>
      <w:r>
        <w:rPr>
          <w:rFonts w:hint="eastAsia" w:ascii="仿宋_GB2312" w:hAnsi="仿宋" w:eastAsia="仿宋_GB2312" w:cs="Times New Roman"/>
          <w:sz w:val="32"/>
          <w:szCs w:val="32"/>
        </w:rPr>
        <w:t>资金使用率100%</w:t>
      </w:r>
      <w:r>
        <w:rPr>
          <w:rFonts w:hint="eastAsia" w:ascii="仿宋_GB2312" w:hAnsi="仿宋" w:eastAsia="仿宋_GB2312" w:cs="Times New Roman"/>
          <w:sz w:val="32"/>
          <w:szCs w:val="32"/>
          <w:lang w:eastAsia="zh-CN"/>
        </w:rPr>
        <w:t>，各项目绩效执行情况良好。</w:t>
      </w:r>
    </w:p>
    <w:p>
      <w:pPr>
        <w:widowControl w:val="0"/>
        <w:wordWrap/>
        <w:adjustRightInd/>
        <w:snapToGrid w:val="0"/>
        <w:spacing w:line="560" w:lineRule="exact"/>
        <w:ind w:left="0" w:leftChars="0" w:right="0" w:firstLine="640" w:firstLineChars="200"/>
        <w:textAlignment w:val="auto"/>
        <w:outlineLvl w:val="9"/>
        <w:rPr>
          <w:rFonts w:ascii="黑体" w:hAnsi="黑体" w:eastAsia="黑体" w:cs="黑体"/>
          <w:sz w:val="32"/>
          <w:szCs w:val="32"/>
        </w:rPr>
      </w:pPr>
      <w:r>
        <w:rPr>
          <w:rFonts w:hint="eastAsia" w:ascii="黑体" w:hAnsi="黑体" w:eastAsia="黑体" w:cs="黑体"/>
          <w:b w:val="0"/>
          <w:bCs w:val="0"/>
          <w:sz w:val="32"/>
          <w:szCs w:val="32"/>
          <w:lang w:eastAsia="zh-CN"/>
        </w:rPr>
        <w:t>五</w:t>
      </w:r>
      <w:r>
        <w:rPr>
          <w:rFonts w:hint="eastAsia" w:ascii="黑体" w:hAnsi="黑体" w:eastAsia="黑体" w:cs="黑体"/>
          <w:b w:val="0"/>
          <w:bCs w:val="0"/>
          <w:sz w:val="32"/>
          <w:szCs w:val="32"/>
        </w:rPr>
        <w:t>、整改措</w:t>
      </w:r>
      <w:r>
        <w:rPr>
          <w:rFonts w:hint="eastAsia" w:ascii="黑体" w:hAnsi="黑体" w:eastAsia="黑体" w:cs="黑体"/>
          <w:sz w:val="32"/>
          <w:szCs w:val="32"/>
        </w:rPr>
        <w:t>施及结果应用</w:t>
      </w:r>
    </w:p>
    <w:p>
      <w:pPr>
        <w:spacing w:line="600" w:lineRule="exact"/>
        <w:ind w:firstLine="720"/>
        <w:rPr>
          <w:rFonts w:hint="eastAsia" w:ascii="仿宋_GB2312" w:hAnsi="仿宋" w:eastAsia="仿宋_GB2312" w:cs="Times New Roman"/>
          <w:sz w:val="32"/>
          <w:szCs w:val="32"/>
          <w:lang w:eastAsia="zh-CN"/>
        </w:rPr>
      </w:pPr>
      <w:r>
        <w:rPr>
          <w:rFonts w:hint="eastAsia" w:ascii="仿宋_GB2312" w:hAnsi="仿宋" w:eastAsia="仿宋_GB2312" w:cs="Times New Roman"/>
          <w:sz w:val="32"/>
          <w:szCs w:val="32"/>
          <w:lang w:eastAsia="zh-CN"/>
        </w:rPr>
        <w:t>学区工会费、政府工会费能够严格根据预算执行。综合公用经费，涵盖范围交广，涉及内容较多，且信访、环保、土地、食品、安全生产、协税等工作经费及劳务费预算编制主要参考往年支出并结合对下年的预期进行编制，但实际执行过程中因为阶段性重点工作的变化，存在一定偏差。</w:t>
      </w:r>
    </w:p>
    <w:p>
      <w:pPr>
        <w:spacing w:line="600" w:lineRule="exact"/>
        <w:ind w:firstLine="720"/>
        <w:rPr>
          <w:rFonts w:hint="eastAsia" w:ascii="仿宋_GB2312" w:hAnsi="仿宋" w:eastAsia="仿宋_GB2312" w:cs="Times New Roman"/>
          <w:sz w:val="32"/>
          <w:szCs w:val="32"/>
          <w:lang w:eastAsia="zh-CN"/>
        </w:rPr>
      </w:pPr>
      <w:r>
        <w:rPr>
          <w:rFonts w:hint="eastAsia" w:ascii="仿宋_GB2312" w:hAnsi="仿宋" w:eastAsia="仿宋_GB2312" w:cs="Times New Roman"/>
          <w:sz w:val="32"/>
          <w:szCs w:val="32"/>
          <w:lang w:eastAsia="zh-CN"/>
        </w:rPr>
        <w:t>改进措施：及时与财政沟通，根据不同情况合理列支支出项目。</w:t>
      </w:r>
    </w:p>
    <w:p>
      <w:pPr>
        <w:widowControl w:val="0"/>
        <w:wordWrap/>
        <w:adjustRightInd/>
        <w:snapToGrid w:val="0"/>
        <w:spacing w:line="560" w:lineRule="exact"/>
        <w:ind w:left="0" w:leftChars="0" w:right="0" w:firstLine="640" w:firstLineChars="200"/>
        <w:textAlignment w:val="auto"/>
        <w:outlineLvl w:val="9"/>
        <w:rPr>
          <w:rFonts w:hint="eastAsia" w:ascii="黑体" w:hAnsi="黑体" w:eastAsia="黑体" w:cs="黑体"/>
          <w:b w:val="0"/>
          <w:bCs w:val="0"/>
          <w:sz w:val="32"/>
          <w:szCs w:val="32"/>
          <w:lang w:eastAsia="zh-CN"/>
        </w:rPr>
      </w:pPr>
    </w:p>
    <w:p>
      <w:pPr>
        <w:widowControl w:val="0"/>
        <w:wordWrap/>
        <w:adjustRightInd/>
        <w:snapToGrid w:val="0"/>
        <w:spacing w:line="560" w:lineRule="exact"/>
        <w:ind w:left="0" w:leftChars="0" w:right="0" w:firstLine="640" w:firstLineChars="200"/>
        <w:textAlignment w:val="auto"/>
        <w:outlineLvl w:val="9"/>
        <w:rPr>
          <w:rFonts w:hint="eastAsia" w:ascii="黑体" w:hAnsi="黑体" w:eastAsia="黑体" w:cs="黑体"/>
          <w:b w:val="0"/>
          <w:bCs w:val="0"/>
          <w:sz w:val="32"/>
          <w:szCs w:val="32"/>
          <w:lang w:eastAsia="zh-CN"/>
        </w:rPr>
      </w:pPr>
      <w:r>
        <w:rPr>
          <w:rFonts w:hint="eastAsia" w:ascii="黑体" w:hAnsi="黑体" w:eastAsia="黑体" w:cs="黑体"/>
          <w:b w:val="0"/>
          <w:bCs w:val="0"/>
          <w:sz w:val="32"/>
          <w:szCs w:val="32"/>
          <w:lang w:eastAsia="zh-CN"/>
        </w:rPr>
        <w:t>六、评价工作组人员名单及签字</w:t>
      </w:r>
    </w:p>
    <w:tbl>
      <w:tblPr>
        <w:tblStyle w:val="5"/>
        <w:tblW w:w="8660"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288"/>
        <w:gridCol w:w="1475"/>
        <w:gridCol w:w="2274"/>
        <w:gridCol w:w="1890"/>
        <w:gridCol w:w="173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82" w:hRule="atLeast"/>
        </w:trPr>
        <w:tc>
          <w:tcPr>
            <w:tcW w:w="1288" w:type="dxa"/>
            <w:vAlign w:val="center"/>
          </w:tcPr>
          <w:p>
            <w:pPr>
              <w:jc w:val="center"/>
              <w:rPr>
                <w:rFonts w:hint="eastAsia" w:ascii="仿宋_GB2312" w:hAnsi="宋体" w:eastAsia="仿宋_GB2312" w:cs="宋体"/>
                <w:color w:val="000000"/>
                <w:kern w:val="0"/>
                <w:sz w:val="32"/>
                <w:szCs w:val="32"/>
                <w:lang w:val="en-US" w:eastAsia="zh-CN" w:bidi="ar-SA"/>
              </w:rPr>
            </w:pPr>
            <w:r>
              <w:rPr>
                <w:rFonts w:hint="eastAsia" w:ascii="仿宋_GB2312" w:hAnsi="宋体" w:eastAsia="仿宋_GB2312" w:cs="宋体"/>
                <w:color w:val="000000"/>
                <w:kern w:val="0"/>
                <w:sz w:val="32"/>
                <w:szCs w:val="32"/>
                <w:lang w:val="en-US" w:eastAsia="zh-CN" w:bidi="ar-SA"/>
              </w:rPr>
              <w:t>序号</w:t>
            </w:r>
          </w:p>
        </w:tc>
        <w:tc>
          <w:tcPr>
            <w:tcW w:w="1475" w:type="dxa"/>
            <w:vAlign w:val="center"/>
          </w:tcPr>
          <w:p>
            <w:pPr>
              <w:jc w:val="center"/>
              <w:rPr>
                <w:rFonts w:hint="eastAsia" w:ascii="仿宋_GB2312" w:hAnsi="宋体" w:eastAsia="仿宋_GB2312" w:cs="宋体"/>
                <w:color w:val="000000"/>
                <w:kern w:val="0"/>
                <w:sz w:val="32"/>
                <w:szCs w:val="32"/>
                <w:lang w:val="en-US" w:eastAsia="zh-CN" w:bidi="ar-SA"/>
              </w:rPr>
            </w:pPr>
            <w:r>
              <w:rPr>
                <w:rFonts w:hint="eastAsia" w:ascii="仿宋_GB2312" w:hAnsi="宋体" w:eastAsia="仿宋_GB2312" w:cs="宋体"/>
                <w:color w:val="000000"/>
                <w:kern w:val="0"/>
                <w:sz w:val="32"/>
                <w:szCs w:val="32"/>
                <w:lang w:val="en-US" w:eastAsia="zh-CN" w:bidi="ar-SA"/>
              </w:rPr>
              <w:t>姓名</w:t>
            </w:r>
          </w:p>
        </w:tc>
        <w:tc>
          <w:tcPr>
            <w:tcW w:w="2274" w:type="dxa"/>
            <w:vAlign w:val="center"/>
          </w:tcPr>
          <w:p>
            <w:pPr>
              <w:jc w:val="center"/>
              <w:rPr>
                <w:rFonts w:hint="eastAsia" w:ascii="仿宋_GB2312" w:hAnsi="宋体" w:eastAsia="仿宋_GB2312" w:cs="宋体"/>
                <w:color w:val="000000"/>
                <w:kern w:val="0"/>
                <w:sz w:val="32"/>
                <w:szCs w:val="32"/>
                <w:lang w:val="en-US" w:eastAsia="zh-CN" w:bidi="ar-SA"/>
              </w:rPr>
            </w:pPr>
            <w:r>
              <w:rPr>
                <w:rFonts w:hint="eastAsia" w:ascii="仿宋_GB2312" w:hAnsi="宋体" w:eastAsia="仿宋_GB2312" w:cs="宋体"/>
                <w:color w:val="000000"/>
                <w:kern w:val="0"/>
                <w:sz w:val="32"/>
                <w:szCs w:val="32"/>
                <w:lang w:val="en-US" w:eastAsia="zh-CN" w:bidi="ar-SA"/>
              </w:rPr>
              <w:t>职  务</w:t>
            </w:r>
          </w:p>
        </w:tc>
        <w:tc>
          <w:tcPr>
            <w:tcW w:w="1890" w:type="dxa"/>
            <w:vAlign w:val="center"/>
          </w:tcPr>
          <w:p>
            <w:pPr>
              <w:jc w:val="center"/>
              <w:rPr>
                <w:rFonts w:hint="eastAsia" w:ascii="仿宋_GB2312" w:hAnsi="宋体" w:eastAsia="仿宋_GB2312" w:cs="宋体"/>
                <w:color w:val="000000"/>
                <w:kern w:val="0"/>
                <w:sz w:val="32"/>
                <w:szCs w:val="32"/>
                <w:lang w:val="en-US" w:eastAsia="zh-CN" w:bidi="ar-SA"/>
              </w:rPr>
            </w:pPr>
            <w:r>
              <w:rPr>
                <w:rFonts w:hint="eastAsia" w:ascii="仿宋_GB2312" w:hAnsi="宋体" w:eastAsia="仿宋_GB2312" w:cs="宋体"/>
                <w:color w:val="000000"/>
                <w:kern w:val="0"/>
                <w:sz w:val="32"/>
                <w:szCs w:val="32"/>
                <w:lang w:val="en-US" w:eastAsia="zh-CN" w:bidi="ar-SA"/>
              </w:rPr>
              <w:t>单  位</w:t>
            </w:r>
          </w:p>
        </w:tc>
        <w:tc>
          <w:tcPr>
            <w:tcW w:w="1733" w:type="dxa"/>
            <w:vAlign w:val="center"/>
          </w:tcPr>
          <w:p>
            <w:pPr>
              <w:ind w:firstLine="320" w:firstLineChars="100"/>
              <w:jc w:val="both"/>
              <w:rPr>
                <w:rFonts w:hint="eastAsia" w:ascii="仿宋_GB2312" w:hAnsi="宋体" w:eastAsia="仿宋_GB2312" w:cs="宋体"/>
                <w:color w:val="000000"/>
                <w:kern w:val="0"/>
                <w:sz w:val="32"/>
                <w:szCs w:val="32"/>
                <w:lang w:val="en-US" w:eastAsia="zh-CN" w:bidi="ar-SA"/>
              </w:rPr>
            </w:pPr>
            <w:r>
              <w:rPr>
                <w:rFonts w:hint="eastAsia" w:ascii="仿宋_GB2312" w:hAnsi="宋体" w:eastAsia="仿宋_GB2312" w:cs="宋体"/>
                <w:color w:val="000000"/>
                <w:kern w:val="0"/>
                <w:sz w:val="32"/>
                <w:szCs w:val="32"/>
                <w:lang w:val="en-US" w:eastAsia="zh-CN" w:bidi="ar-SA"/>
              </w:rPr>
              <w:t>签  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73" w:hRule="atLeast"/>
        </w:trPr>
        <w:tc>
          <w:tcPr>
            <w:tcW w:w="1288" w:type="dxa"/>
            <w:vAlign w:val="center"/>
          </w:tcPr>
          <w:p>
            <w:pPr>
              <w:jc w:val="center"/>
              <w:rPr>
                <w:rFonts w:hint="eastAsia" w:ascii="仿宋_GB2312" w:hAnsi="宋体" w:eastAsia="仿宋_GB2312" w:cs="宋体"/>
                <w:color w:val="000000"/>
                <w:kern w:val="0"/>
                <w:sz w:val="32"/>
                <w:szCs w:val="32"/>
                <w:lang w:val="en-US" w:eastAsia="zh-CN" w:bidi="ar-SA"/>
              </w:rPr>
            </w:pPr>
            <w:r>
              <w:rPr>
                <w:rFonts w:hint="eastAsia" w:ascii="仿宋_GB2312" w:hAnsi="宋体" w:eastAsia="仿宋_GB2312" w:cs="宋体"/>
                <w:color w:val="000000"/>
                <w:kern w:val="0"/>
                <w:sz w:val="32"/>
                <w:szCs w:val="32"/>
                <w:lang w:val="en-US" w:eastAsia="zh-CN" w:bidi="ar-SA"/>
              </w:rPr>
              <w:t>1</w:t>
            </w:r>
          </w:p>
        </w:tc>
        <w:tc>
          <w:tcPr>
            <w:tcW w:w="1475" w:type="dxa"/>
            <w:vAlign w:val="center"/>
          </w:tcPr>
          <w:p>
            <w:pPr>
              <w:jc w:val="center"/>
              <w:rPr>
                <w:rFonts w:hint="eastAsia" w:ascii="仿宋_GB2312" w:hAnsi="宋体" w:eastAsia="仿宋_GB2312" w:cs="宋体"/>
                <w:color w:val="000000"/>
                <w:kern w:val="0"/>
                <w:sz w:val="32"/>
                <w:szCs w:val="32"/>
                <w:lang w:val="en-US" w:eastAsia="zh-CN" w:bidi="ar-SA"/>
              </w:rPr>
            </w:pPr>
            <w:r>
              <w:rPr>
                <w:rFonts w:hint="eastAsia" w:ascii="仿宋_GB2312" w:hAnsi="宋体" w:eastAsia="仿宋_GB2312" w:cs="宋体"/>
                <w:color w:val="000000"/>
                <w:kern w:val="0"/>
                <w:sz w:val="32"/>
                <w:szCs w:val="32"/>
                <w:lang w:val="en-US" w:eastAsia="zh-CN" w:bidi="ar-SA"/>
              </w:rPr>
              <w:t>董密霞</w:t>
            </w:r>
          </w:p>
        </w:tc>
        <w:tc>
          <w:tcPr>
            <w:tcW w:w="2274" w:type="dxa"/>
            <w:vAlign w:val="center"/>
          </w:tcPr>
          <w:p>
            <w:pPr>
              <w:jc w:val="center"/>
              <w:rPr>
                <w:rFonts w:hint="eastAsia" w:ascii="仿宋_GB2312" w:hAnsi="宋体" w:eastAsia="仿宋_GB2312" w:cs="宋体"/>
                <w:color w:val="000000"/>
                <w:kern w:val="0"/>
                <w:sz w:val="32"/>
                <w:szCs w:val="32"/>
                <w:lang w:val="en-US" w:eastAsia="zh-CN" w:bidi="ar-SA"/>
              </w:rPr>
            </w:pPr>
            <w:r>
              <w:rPr>
                <w:rFonts w:hint="eastAsia" w:ascii="仿宋_GB2312" w:hAnsi="宋体" w:eastAsia="仿宋_GB2312" w:cs="宋体"/>
                <w:color w:val="000000"/>
                <w:kern w:val="0"/>
                <w:sz w:val="32"/>
                <w:szCs w:val="32"/>
                <w:lang w:val="en-US" w:eastAsia="zh-CN" w:bidi="ar-SA"/>
              </w:rPr>
              <w:t>镇 长</w:t>
            </w:r>
          </w:p>
        </w:tc>
        <w:tc>
          <w:tcPr>
            <w:tcW w:w="1890" w:type="dxa"/>
            <w:vAlign w:val="center"/>
          </w:tcPr>
          <w:p>
            <w:pPr>
              <w:jc w:val="center"/>
              <w:rPr>
                <w:rFonts w:hint="eastAsia" w:ascii="仿宋_GB2312" w:hAnsi="宋体" w:eastAsia="仿宋_GB2312" w:cs="宋体"/>
                <w:color w:val="000000"/>
                <w:kern w:val="0"/>
                <w:sz w:val="32"/>
                <w:szCs w:val="32"/>
                <w:lang w:val="en-US" w:eastAsia="zh-CN" w:bidi="ar-SA"/>
              </w:rPr>
            </w:pPr>
            <w:r>
              <w:rPr>
                <w:rFonts w:hint="eastAsia" w:ascii="仿宋_GB2312" w:hAnsi="宋体" w:eastAsia="仿宋_GB2312" w:cs="宋体"/>
                <w:color w:val="000000"/>
                <w:kern w:val="0"/>
                <w:sz w:val="32"/>
                <w:szCs w:val="32"/>
                <w:lang w:val="en-US" w:eastAsia="zh-CN" w:bidi="ar-SA"/>
              </w:rPr>
              <w:t>南孟镇政府</w:t>
            </w:r>
          </w:p>
        </w:tc>
        <w:tc>
          <w:tcPr>
            <w:tcW w:w="1733" w:type="dxa"/>
            <w:vAlign w:val="center"/>
          </w:tcPr>
          <w:p>
            <w:pPr>
              <w:ind w:firstLine="640" w:firstLineChars="200"/>
              <w:jc w:val="center"/>
              <w:rPr>
                <w:rFonts w:hint="eastAsia" w:ascii="仿宋_GB2312" w:hAnsi="宋体" w:eastAsia="仿宋_GB2312" w:cs="宋体"/>
                <w:color w:val="000000"/>
                <w:kern w:val="0"/>
                <w:sz w:val="32"/>
                <w:szCs w:val="32"/>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03" w:hRule="atLeast"/>
        </w:trPr>
        <w:tc>
          <w:tcPr>
            <w:tcW w:w="1288" w:type="dxa"/>
            <w:vAlign w:val="center"/>
          </w:tcPr>
          <w:p>
            <w:pPr>
              <w:jc w:val="center"/>
              <w:rPr>
                <w:rFonts w:hint="eastAsia" w:ascii="仿宋_GB2312" w:hAnsi="宋体" w:eastAsia="仿宋_GB2312" w:cs="宋体"/>
                <w:color w:val="000000"/>
                <w:kern w:val="0"/>
                <w:sz w:val="32"/>
                <w:szCs w:val="32"/>
                <w:lang w:val="en-US" w:eastAsia="zh-CN" w:bidi="ar-SA"/>
              </w:rPr>
            </w:pPr>
            <w:r>
              <w:rPr>
                <w:rFonts w:hint="eastAsia" w:ascii="仿宋_GB2312" w:hAnsi="宋体" w:eastAsia="仿宋_GB2312" w:cs="宋体"/>
                <w:color w:val="000000"/>
                <w:kern w:val="0"/>
                <w:sz w:val="32"/>
                <w:szCs w:val="32"/>
                <w:lang w:val="en-US" w:eastAsia="zh-CN" w:bidi="ar-SA"/>
              </w:rPr>
              <w:t>2</w:t>
            </w:r>
          </w:p>
        </w:tc>
        <w:tc>
          <w:tcPr>
            <w:tcW w:w="1475" w:type="dxa"/>
            <w:vAlign w:val="center"/>
          </w:tcPr>
          <w:p>
            <w:pPr>
              <w:jc w:val="center"/>
              <w:rPr>
                <w:rFonts w:hint="default" w:ascii="仿宋_GB2312" w:hAnsi="宋体" w:eastAsia="仿宋_GB2312" w:cs="宋体"/>
                <w:color w:val="000000"/>
                <w:kern w:val="0"/>
                <w:sz w:val="32"/>
                <w:szCs w:val="32"/>
                <w:lang w:val="en-US" w:eastAsia="zh-CN" w:bidi="ar-SA"/>
              </w:rPr>
            </w:pPr>
            <w:r>
              <w:rPr>
                <w:rFonts w:hint="eastAsia" w:ascii="仿宋_GB2312" w:hAnsi="宋体" w:eastAsia="仿宋_GB2312" w:cs="宋体"/>
                <w:color w:val="000000"/>
                <w:kern w:val="0"/>
                <w:sz w:val="32"/>
                <w:szCs w:val="32"/>
                <w:lang w:val="en-US" w:eastAsia="zh-CN" w:bidi="ar-SA"/>
              </w:rPr>
              <w:t>董翠国</w:t>
            </w:r>
          </w:p>
        </w:tc>
        <w:tc>
          <w:tcPr>
            <w:tcW w:w="2274" w:type="dxa"/>
            <w:vAlign w:val="center"/>
          </w:tcPr>
          <w:p>
            <w:pPr>
              <w:jc w:val="center"/>
              <w:rPr>
                <w:rFonts w:hint="eastAsia" w:ascii="仿宋_GB2312" w:hAnsi="宋体" w:eastAsia="仿宋_GB2312" w:cs="宋体"/>
                <w:color w:val="000000"/>
                <w:kern w:val="0"/>
                <w:sz w:val="32"/>
                <w:szCs w:val="32"/>
                <w:lang w:val="en-US" w:eastAsia="zh-CN" w:bidi="ar-SA"/>
              </w:rPr>
            </w:pPr>
            <w:r>
              <w:rPr>
                <w:rFonts w:hint="eastAsia" w:ascii="仿宋_GB2312" w:hAnsi="宋体" w:eastAsia="仿宋_GB2312" w:cs="宋体"/>
                <w:color w:val="000000"/>
                <w:kern w:val="0"/>
                <w:sz w:val="32"/>
                <w:szCs w:val="32"/>
                <w:lang w:val="en-US" w:eastAsia="zh-CN" w:bidi="ar-SA"/>
              </w:rPr>
              <w:t>人大副主席</w:t>
            </w:r>
          </w:p>
        </w:tc>
        <w:tc>
          <w:tcPr>
            <w:tcW w:w="1890" w:type="dxa"/>
            <w:vAlign w:val="center"/>
          </w:tcPr>
          <w:p>
            <w:pPr>
              <w:jc w:val="center"/>
              <w:rPr>
                <w:rFonts w:hint="eastAsia" w:ascii="仿宋_GB2312" w:hAnsi="宋体" w:eastAsia="仿宋_GB2312" w:cs="宋体"/>
                <w:color w:val="000000"/>
                <w:kern w:val="0"/>
                <w:sz w:val="32"/>
                <w:szCs w:val="32"/>
                <w:lang w:val="en-US" w:eastAsia="zh-CN" w:bidi="ar-SA"/>
              </w:rPr>
            </w:pPr>
            <w:r>
              <w:rPr>
                <w:rFonts w:hint="eastAsia" w:ascii="仿宋_GB2312" w:hAnsi="宋体" w:eastAsia="仿宋_GB2312" w:cs="宋体"/>
                <w:color w:val="000000"/>
                <w:kern w:val="0"/>
                <w:sz w:val="32"/>
                <w:szCs w:val="32"/>
                <w:lang w:val="en-US" w:eastAsia="zh-CN" w:bidi="ar-SA"/>
              </w:rPr>
              <w:t>南孟镇政府</w:t>
            </w:r>
          </w:p>
        </w:tc>
        <w:tc>
          <w:tcPr>
            <w:tcW w:w="1733" w:type="dxa"/>
            <w:vAlign w:val="center"/>
          </w:tcPr>
          <w:p>
            <w:pPr>
              <w:ind w:firstLine="640" w:firstLineChars="200"/>
              <w:jc w:val="center"/>
              <w:rPr>
                <w:rFonts w:hint="eastAsia" w:ascii="仿宋_GB2312" w:hAnsi="宋体" w:eastAsia="仿宋_GB2312" w:cs="宋体"/>
                <w:color w:val="000000"/>
                <w:kern w:val="0"/>
                <w:sz w:val="32"/>
                <w:szCs w:val="32"/>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70" w:hRule="atLeast"/>
        </w:trPr>
        <w:tc>
          <w:tcPr>
            <w:tcW w:w="1288" w:type="dxa"/>
            <w:vAlign w:val="center"/>
          </w:tcPr>
          <w:p>
            <w:pPr>
              <w:jc w:val="center"/>
              <w:rPr>
                <w:rFonts w:hint="eastAsia" w:ascii="仿宋_GB2312" w:hAnsi="宋体" w:eastAsia="仿宋_GB2312" w:cs="宋体"/>
                <w:color w:val="000000"/>
                <w:kern w:val="0"/>
                <w:sz w:val="32"/>
                <w:szCs w:val="32"/>
                <w:lang w:val="en-US" w:eastAsia="zh-CN" w:bidi="ar-SA"/>
              </w:rPr>
            </w:pPr>
            <w:r>
              <w:rPr>
                <w:rFonts w:hint="eastAsia" w:ascii="仿宋_GB2312" w:hAnsi="宋体" w:eastAsia="仿宋_GB2312" w:cs="宋体"/>
                <w:color w:val="000000"/>
                <w:kern w:val="0"/>
                <w:sz w:val="32"/>
                <w:szCs w:val="32"/>
                <w:lang w:val="en-US" w:eastAsia="zh-CN" w:bidi="ar-SA"/>
              </w:rPr>
              <w:t>3</w:t>
            </w:r>
          </w:p>
        </w:tc>
        <w:tc>
          <w:tcPr>
            <w:tcW w:w="1475" w:type="dxa"/>
            <w:vAlign w:val="center"/>
          </w:tcPr>
          <w:p>
            <w:pPr>
              <w:jc w:val="center"/>
              <w:rPr>
                <w:rFonts w:hint="default" w:ascii="仿宋_GB2312" w:hAnsi="宋体" w:eastAsia="仿宋_GB2312" w:cs="宋体"/>
                <w:color w:val="000000"/>
                <w:kern w:val="0"/>
                <w:sz w:val="32"/>
                <w:szCs w:val="32"/>
                <w:lang w:val="en-US" w:eastAsia="zh-CN" w:bidi="ar-SA"/>
              </w:rPr>
            </w:pPr>
            <w:r>
              <w:rPr>
                <w:rFonts w:hint="eastAsia" w:ascii="仿宋_GB2312" w:hAnsi="宋体" w:eastAsia="仿宋_GB2312" w:cs="宋体"/>
                <w:color w:val="000000"/>
                <w:kern w:val="0"/>
                <w:sz w:val="32"/>
                <w:szCs w:val="32"/>
                <w:lang w:val="en-US" w:eastAsia="zh-CN" w:bidi="ar-SA"/>
              </w:rPr>
              <w:t>杨宏刚</w:t>
            </w:r>
          </w:p>
        </w:tc>
        <w:tc>
          <w:tcPr>
            <w:tcW w:w="2274" w:type="dxa"/>
            <w:vAlign w:val="center"/>
          </w:tcPr>
          <w:p>
            <w:pPr>
              <w:jc w:val="center"/>
              <w:rPr>
                <w:rFonts w:hint="eastAsia" w:ascii="仿宋_GB2312" w:hAnsi="宋体" w:eastAsia="仿宋_GB2312" w:cs="宋体"/>
                <w:color w:val="000000"/>
                <w:kern w:val="0"/>
                <w:sz w:val="32"/>
                <w:szCs w:val="32"/>
                <w:lang w:val="en-US" w:eastAsia="zh-CN" w:bidi="ar-SA"/>
              </w:rPr>
            </w:pPr>
            <w:r>
              <w:rPr>
                <w:rFonts w:hint="eastAsia" w:ascii="仿宋_GB2312" w:hAnsi="宋体" w:eastAsia="仿宋_GB2312" w:cs="宋体"/>
                <w:color w:val="000000"/>
                <w:kern w:val="0"/>
                <w:sz w:val="32"/>
                <w:szCs w:val="32"/>
                <w:lang w:val="en-US" w:eastAsia="zh-CN" w:bidi="ar-SA"/>
              </w:rPr>
              <w:t>副书记</w:t>
            </w:r>
          </w:p>
        </w:tc>
        <w:tc>
          <w:tcPr>
            <w:tcW w:w="1890" w:type="dxa"/>
            <w:vAlign w:val="center"/>
          </w:tcPr>
          <w:p>
            <w:pPr>
              <w:jc w:val="center"/>
              <w:rPr>
                <w:rFonts w:hint="eastAsia" w:ascii="仿宋_GB2312" w:hAnsi="宋体" w:eastAsia="仿宋_GB2312" w:cs="宋体"/>
                <w:color w:val="000000"/>
                <w:kern w:val="0"/>
                <w:sz w:val="32"/>
                <w:szCs w:val="32"/>
                <w:lang w:val="en-US" w:eastAsia="zh-CN" w:bidi="ar-SA"/>
              </w:rPr>
            </w:pPr>
            <w:r>
              <w:rPr>
                <w:rFonts w:hint="eastAsia" w:ascii="仿宋_GB2312" w:hAnsi="宋体" w:eastAsia="仿宋_GB2312" w:cs="宋体"/>
                <w:color w:val="000000"/>
                <w:kern w:val="0"/>
                <w:sz w:val="32"/>
                <w:szCs w:val="32"/>
                <w:lang w:val="en-US" w:eastAsia="zh-CN" w:bidi="ar-SA"/>
              </w:rPr>
              <w:t>南孟镇政府</w:t>
            </w:r>
          </w:p>
        </w:tc>
        <w:tc>
          <w:tcPr>
            <w:tcW w:w="1733" w:type="dxa"/>
            <w:vAlign w:val="center"/>
          </w:tcPr>
          <w:p>
            <w:pPr>
              <w:ind w:firstLine="640" w:firstLineChars="200"/>
              <w:jc w:val="center"/>
              <w:rPr>
                <w:rFonts w:hint="eastAsia" w:ascii="仿宋_GB2312" w:hAnsi="宋体" w:eastAsia="仿宋_GB2312" w:cs="宋体"/>
                <w:color w:val="000000"/>
                <w:kern w:val="0"/>
                <w:sz w:val="32"/>
                <w:szCs w:val="32"/>
                <w:lang w:val="en-US" w:eastAsia="zh-CN" w:bidi="ar-SA"/>
              </w:rPr>
            </w:pPr>
            <w:bookmarkStart w:id="0" w:name="_GoBack"/>
            <w:bookmarkEnd w:id="0"/>
          </w:p>
        </w:tc>
      </w:tr>
    </w:tbl>
    <w:p>
      <w:pPr>
        <w:ind w:firstLine="5760" w:firstLineChars="1800"/>
        <w:rPr>
          <w:rFonts w:hint="eastAsia" w:ascii="仿宋" w:hAnsi="仿宋" w:eastAsia="仿宋" w:cs="仿宋"/>
          <w:sz w:val="32"/>
          <w:szCs w:val="32"/>
          <w:lang w:val="en-US" w:eastAsia="zh-CN"/>
        </w:rPr>
      </w:pPr>
    </w:p>
    <w:p>
      <w:pPr>
        <w:widowControl w:val="0"/>
        <w:numPr>
          <w:ilvl w:val="0"/>
          <w:numId w:val="0"/>
        </w:numPr>
        <w:wordWrap/>
        <w:adjustRightInd/>
        <w:snapToGrid w:val="0"/>
        <w:spacing w:line="560" w:lineRule="exact"/>
        <w:ind w:left="630" w:leftChars="0" w:right="0" w:rightChars="0"/>
        <w:textAlignment w:val="auto"/>
        <w:outlineLvl w:val="9"/>
        <w:rPr>
          <w:rFonts w:hint="eastAsia" w:ascii="仿宋" w:hAnsi="仿宋" w:eastAsia="仿宋" w:cs="仿宋"/>
          <w:sz w:val="32"/>
          <w:szCs w:val="32"/>
          <w:lang w:eastAsia="zh-CN"/>
        </w:rPr>
      </w:pPr>
    </w:p>
    <w:sectPr>
      <w:headerReference r:id="rId3" w:type="default"/>
      <w:footerReference r:id="rId4" w:type="default"/>
      <w:pgSz w:w="11906" w:h="16838"/>
      <w:pgMar w:top="2041" w:right="1304" w:bottom="1701" w:left="1531" w:header="851" w:footer="992" w:gutter="0"/>
      <w:pgNumType w:fmt="numberInDash"/>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altName w:val="微软雅黑"/>
    <w:panose1 w:val="00000000000000000000"/>
    <w:charset w:val="00"/>
    <w:family w:val="auto"/>
    <w:pitch w:val="default"/>
    <w:sig w:usb0="00000000" w:usb1="00000000" w:usb2="00000000" w:usb3="00000000" w:csb0="00000000" w:csb1="00000000"/>
  </w:font>
  <w:font w:name="仿宋">
    <w:panose1 w:val="02010609060101010101"/>
    <w:charset w:val="86"/>
    <w:family w:val="auto"/>
    <w:pitch w:val="default"/>
    <w:sig w:usb0="800002BF" w:usb1="38CF7CFA" w:usb2="00000016" w:usb3="00000000" w:csb0="00040001" w:csb1="00000000"/>
  </w:font>
  <w:font w:name="仿宋_GB2312">
    <w:altName w:val="仿宋"/>
    <w:panose1 w:val="02010609030101010101"/>
    <w:charset w:val="86"/>
    <w:family w:val="auto"/>
    <w:pitch w:val="default"/>
    <w:sig w:usb0="00000000" w:usb1="00000000" w:usb2="00000000" w:usb3="00000000" w:csb0="00040000" w:csb1="00000000"/>
  </w:font>
  <w:font w:name="微软雅黑">
    <w:panose1 w:val="020B0503020204020204"/>
    <w:charset w:val="86"/>
    <w:family w:val="auto"/>
    <w:pitch w:val="default"/>
    <w:sig w:usb0="80000287" w:usb1="280F3C52" w:usb2="00000016" w:usb3="00000000" w:csb0="0004001F" w:csb1="00000000"/>
  </w:font>
  <w:font w:name="仿宋_GB2312">
    <w:altName w:val="仿宋"/>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rPr>
        <w:rFonts w:ascii="Times New Roman" w:hAnsi="Times New Roman" w:eastAsia="宋体" w:cs="Times New Roman"/>
        <w:kern w:val="2"/>
        <w:sz w:val="21"/>
        <w:szCs w:val="24"/>
        <w:lang w:val="en-US" w:eastAsia="zh-CN" w:bidi="ar-SA"/>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Quad Arrow 307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wps:txbx>
                    <wps:bodyPr wrap="none" lIns="0" tIns="0" rIns="0" bIns="0" upright="1">
                      <a:spAutoFit/>
                    </wps:bodyPr>
                  </wps:wsp>
                </a:graphicData>
              </a:graphic>
            </wp:anchor>
          </w:drawing>
        </mc:Choice>
        <mc:Fallback>
          <w:pict>
            <v:shape id="Quad Arrow 3073"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">
              <v:fill on="f" focussize="0,0"/>
              <v:stroke on="f"/>
              <v:imagedata o:title=""/>
              <o:lock v:ext="edit" aspectratio="f"/>
              <v:textbox inset="0mm,0mm,0mm,0mm" style="mso-fit-shape-to-text:t;">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Bdr>
        <w:bottom w:val="none" w:color="auto" w:sz="0" w:space="1"/>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B79F1EC4"/>
    <w:multiLevelType w:val="singleLevel"/>
    <w:tmpl w:val="B79F1EC4"/>
    <w:lvl w:ilvl="0" w:tentative="0">
      <w:start w:val="3"/>
      <w:numFmt w:val="chineseCounting"/>
      <w:suff w:val="nothing"/>
      <w:lvlText w:val="%1、"/>
      <w:lvlJc w:val="left"/>
      <w:pPr>
        <w:ind w:left="-10"/>
      </w:pPr>
      <w:rPr>
        <w:rFonts w:hint="eastAsia"/>
      </w:rPr>
    </w:lvl>
  </w:abstractNum>
  <w:abstractNum w:abstractNumId="1">
    <w:nsid w:val="40CAE115"/>
    <w:multiLevelType w:val="singleLevel"/>
    <w:tmpl w:val="40CAE115"/>
    <w:lvl w:ilvl="0" w:tentative="0">
      <w:start w:val="1"/>
      <w:numFmt w:val="decimal"/>
      <w:lvlText w:val="%1."/>
      <w:lvlJc w:val="left"/>
      <w:pPr>
        <w:ind w:left="425" w:hanging="425"/>
      </w:pPr>
      <w:rPr>
        <w:rFonts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0"/>
  <w:bordersDoNotSurroundFooter w:val="0"/>
  <w:documentProtection w:enforcement="0"/>
  <w:defaultTabStop w:val="420"/>
  <w:drawingGridHorizontalSpacing w:val="105"/>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2U0YmE1YWU3NDkwNDc0ZjM0YjhkYzA3ZTQ0NWZkMzkifQ=="/>
  </w:docVars>
  <w:rsids>
    <w:rsidRoot w:val="00EF16A3"/>
    <w:rsid w:val="000D193E"/>
    <w:rsid w:val="000D29F1"/>
    <w:rsid w:val="001627CF"/>
    <w:rsid w:val="001646B1"/>
    <w:rsid w:val="00176210"/>
    <w:rsid w:val="001D2D4C"/>
    <w:rsid w:val="00383AC5"/>
    <w:rsid w:val="003B412A"/>
    <w:rsid w:val="00432709"/>
    <w:rsid w:val="0043554E"/>
    <w:rsid w:val="004919BA"/>
    <w:rsid w:val="00491FCD"/>
    <w:rsid w:val="004E6C05"/>
    <w:rsid w:val="004F6F9F"/>
    <w:rsid w:val="00546BCB"/>
    <w:rsid w:val="005B610E"/>
    <w:rsid w:val="005C236C"/>
    <w:rsid w:val="005E6EC9"/>
    <w:rsid w:val="00656B2A"/>
    <w:rsid w:val="00665896"/>
    <w:rsid w:val="0071336C"/>
    <w:rsid w:val="0071475B"/>
    <w:rsid w:val="0077251A"/>
    <w:rsid w:val="00793214"/>
    <w:rsid w:val="007D43DA"/>
    <w:rsid w:val="007E50DB"/>
    <w:rsid w:val="007E661D"/>
    <w:rsid w:val="007F5EE6"/>
    <w:rsid w:val="007F7CC2"/>
    <w:rsid w:val="0081530B"/>
    <w:rsid w:val="008C31C3"/>
    <w:rsid w:val="008E0E58"/>
    <w:rsid w:val="00941865"/>
    <w:rsid w:val="00966800"/>
    <w:rsid w:val="00986803"/>
    <w:rsid w:val="0099577A"/>
    <w:rsid w:val="009F1522"/>
    <w:rsid w:val="00A06D88"/>
    <w:rsid w:val="00AB70A8"/>
    <w:rsid w:val="00AF5C06"/>
    <w:rsid w:val="00B723C7"/>
    <w:rsid w:val="00B8177D"/>
    <w:rsid w:val="00B86365"/>
    <w:rsid w:val="00BE032C"/>
    <w:rsid w:val="00C242EC"/>
    <w:rsid w:val="00CE156F"/>
    <w:rsid w:val="00DE50A2"/>
    <w:rsid w:val="00DF6FF4"/>
    <w:rsid w:val="00E03726"/>
    <w:rsid w:val="00E17D5D"/>
    <w:rsid w:val="00E61BFC"/>
    <w:rsid w:val="00E841B7"/>
    <w:rsid w:val="00ED5E84"/>
    <w:rsid w:val="00EF16A3"/>
    <w:rsid w:val="00F57E52"/>
    <w:rsid w:val="00FB4297"/>
    <w:rsid w:val="051D4810"/>
    <w:rsid w:val="055B525F"/>
    <w:rsid w:val="07725757"/>
    <w:rsid w:val="0BC95D40"/>
    <w:rsid w:val="13B61930"/>
    <w:rsid w:val="1571548E"/>
    <w:rsid w:val="1BAF1154"/>
    <w:rsid w:val="1C655171"/>
    <w:rsid w:val="20276775"/>
    <w:rsid w:val="236C04AD"/>
    <w:rsid w:val="28200160"/>
    <w:rsid w:val="2B181FA3"/>
    <w:rsid w:val="33B37C35"/>
    <w:rsid w:val="39BE4798"/>
    <w:rsid w:val="3AEF6FE7"/>
    <w:rsid w:val="3D6A5C87"/>
    <w:rsid w:val="464F7E61"/>
    <w:rsid w:val="493B718D"/>
    <w:rsid w:val="49E7213D"/>
    <w:rsid w:val="4FA639A5"/>
    <w:rsid w:val="53A42ADD"/>
    <w:rsid w:val="5C4A315B"/>
    <w:rsid w:val="5EC34504"/>
    <w:rsid w:val="661D3074"/>
    <w:rsid w:val="67300822"/>
    <w:rsid w:val="67331EBA"/>
    <w:rsid w:val="6BDE7164"/>
    <w:rsid w:val="77856C8A"/>
  </w:rsids>
  <m:mathPr>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0" w:name="index 1"/>
    <w:lsdException w:uiPriority="0" w:name="index 2"/>
    <w:lsdException w:uiPriority="0" w:name="index 3"/>
    <w:lsdException w:uiPriority="0" w:name="index 4"/>
    <w:lsdException w:uiPriority="0" w:name="index 5"/>
    <w:lsdException w:uiPriority="0" w:name="index 6"/>
    <w:lsdException w:uiPriority="0" w:name="index 7"/>
    <w:lsdException w:uiPriority="0" w:name="index 8"/>
    <w:lsdException w:uiPriority="0"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0" w:name="Normal Indent"/>
    <w:lsdException w:uiPriority="0" w:name="footnote text"/>
    <w:lsdException w:uiPriority="0" w:name="annotation text"/>
    <w:lsdException w:qFormat="1" w:uiPriority="99" w:semiHidden="0" w:name="header"/>
    <w:lsdException w:qFormat="1" w:uiPriority="99" w:semiHidden="0" w:name="footer"/>
    <w:lsdException w:uiPriority="0" w:name="index heading"/>
    <w:lsdException w:qFormat="1" w:uiPriority="35" w:name="caption"/>
    <w:lsdException w:uiPriority="0" w:name="table of figures"/>
    <w:lsdException w:uiPriority="0" w:name="envelope address"/>
    <w:lsdException w:uiPriority="0" w:name="envelope return"/>
    <w:lsdException w:uiPriority="0" w:name="footnote reference"/>
    <w:lsdException w:uiPriority="0" w:name="annotation reference"/>
    <w:lsdException w:uiPriority="0" w:name="line number"/>
    <w:lsdException w:uiPriority="0" w:name="page number"/>
    <w:lsdException w:uiPriority="0" w:name="endnote reference"/>
    <w:lsdException w:uiPriority="0" w:name="endnote text"/>
    <w:lsdException w:uiPriority="0" w:name="table of authorities"/>
    <w:lsdException w:uiPriority="0" w:name="macro"/>
    <w:lsdException w:uiPriority="0" w:name="toa heading"/>
    <w:lsdException w:uiPriority="0" w:name="List"/>
    <w:lsdException w:uiPriority="0" w:name="List Bullet"/>
    <w:lsdException w:uiPriority="0" w:name="List Number"/>
    <w:lsdException w:uiPriority="0" w:name="List 2"/>
    <w:lsdException w:uiPriority="0" w:name="List 3"/>
    <w:lsdException w:uiPriority="0" w:name="List 4"/>
    <w:lsdException w:uiPriority="0" w:name="List 5"/>
    <w:lsdException w:uiPriority="0" w:name="List Bullet 2"/>
    <w:lsdException w:uiPriority="0" w:name="List Bullet 3"/>
    <w:lsdException w:uiPriority="0" w:name="List Bullet 4"/>
    <w:lsdException w:uiPriority="0" w:name="List Bullet 5"/>
    <w:lsdException w:uiPriority="0" w:name="List Number 2"/>
    <w:lsdException w:uiPriority="0" w:name="List Number 3"/>
    <w:lsdException w:uiPriority="0" w:name="List Number 4"/>
    <w:lsdException w:uiPriority="0" w:name="List Number 5"/>
    <w:lsdException w:qFormat="1" w:unhideWhenUsed="0" w:uiPriority="10" w:semiHidden="0" w:name="Title"/>
    <w:lsdException w:uiPriority="0" w:name="Closing"/>
    <w:lsdException w:uiPriority="0" w:name="Signature"/>
    <w:lsdException w:qFormat="1" w:uiPriority="1" w:semiHidden="0" w:name="Default Paragraph Font"/>
    <w:lsdException w:uiPriority="0" w:name="Body Text"/>
    <w:lsdException w:uiPriority="0" w:name="Body Text Indent"/>
    <w:lsdException w:uiPriority="0" w:name="List Continue"/>
    <w:lsdException w:uiPriority="0" w:name="List Continue 2"/>
    <w:lsdException w:uiPriority="0" w:name="List Continue 3"/>
    <w:lsdException w:uiPriority="0" w:name="List Continue 4"/>
    <w:lsdException w:uiPriority="0" w:name="List Continue 5"/>
    <w:lsdException w:uiPriority="0" w:name="Message Header"/>
    <w:lsdException w:qFormat="1" w:unhideWhenUsed="0" w:uiPriority="11" w:semiHidden="0" w:name="Subtitle"/>
    <w:lsdException w:uiPriority="0" w:name="Salutation"/>
    <w:lsdException w:uiPriority="0" w:name="Date"/>
    <w:lsdException w:uiPriority="0" w:name="Body Text First Indent"/>
    <w:lsdException w:uiPriority="0" w:name="Body Text First Indent 2"/>
    <w:lsdException w:uiPriority="0" w:name="Note Heading"/>
    <w:lsdException w:uiPriority="0" w:name="Body Text 2"/>
    <w:lsdException w:uiPriority="0" w:name="Body Text 3"/>
    <w:lsdException w:uiPriority="0" w:name="Body Text Indent 2"/>
    <w:lsdException w:uiPriority="0" w:name="Body Text Indent 3"/>
    <w:lsdException w:uiPriority="0" w:name="Block Text"/>
    <w:lsdException w:uiPriority="0" w:name="Hyperlink"/>
    <w:lsdException w:uiPriority="0" w:name="FollowedHyperlink"/>
    <w:lsdException w:qFormat="1" w:unhideWhenUsed="0" w:uiPriority="22" w:semiHidden="0" w:name="Strong"/>
    <w:lsdException w:qFormat="1" w:unhideWhenUsed="0" w:uiPriority="20" w:semiHidden="0" w:name="Emphasis"/>
    <w:lsdException w:uiPriority="0" w:name="Document Map"/>
    <w:lsdException w:uiPriority="0" w:name="Plain Text"/>
    <w:lsdException w:uiPriority="0" w:name="E-mail Signature"/>
    <w:lsdException w:uiPriority="0" w:name="Normal (Web)"/>
    <w:lsdException w:uiPriority="0" w:name="HTML Acronym"/>
    <w:lsdException w:uiPriority="0" w:name="HTML Address"/>
    <w:lsdException w:uiPriority="0" w:name="HTML Cite"/>
    <w:lsdException w:uiPriority="0" w:name="HTML Code"/>
    <w:lsdException w:uiPriority="0" w:name="HTML Definition"/>
    <w:lsdException w:uiPriority="0" w:name="HTML Keyboard"/>
    <w:lsdException w:uiPriority="0" w:name="HTML Preformatted"/>
    <w:lsdException w:uiPriority="0" w:name="HTML Sample"/>
    <w:lsdException w:uiPriority="0" w:name="HTML Typewriter"/>
    <w:lsdException w:uiPriority="0" w:name="HTML Variable"/>
    <w:lsdException w:qFormat="1" w:uiPriority="99" w:semiHidden="0" w:name="Normal Table"/>
    <w:lsdException w:uiPriority="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iPriority="0" w:name="Balloon Text"/>
    <w:lsdException w:qFormat="1" w:unhideWhenUsed="0" w:uiPriority="59"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6">
    <w:name w:val="Default Paragraph Font"/>
    <w:unhideWhenUsed/>
    <w:qFormat/>
    <w:uiPriority w:val="1"/>
  </w:style>
  <w:style w:type="table" w:default="1" w:styleId="4">
    <w:name w:val="Normal Table"/>
    <w:unhideWhenUsed/>
    <w:qFormat/>
    <w:uiPriority w:val="99"/>
    <w:tblPr>
      <w:tblLayout w:type="fixed"/>
      <w:tblCellMar>
        <w:top w:w="0" w:type="dxa"/>
        <w:left w:w="108" w:type="dxa"/>
        <w:bottom w:w="0" w:type="dxa"/>
        <w:right w:w="108" w:type="dxa"/>
      </w:tblCellMar>
    </w:tblPr>
  </w:style>
  <w:style w:type="paragraph" w:styleId="2">
    <w:name w:val="footer"/>
    <w:basedOn w:val="1"/>
    <w:link w:val="8"/>
    <w:unhideWhenUsed/>
    <w:qFormat/>
    <w:uiPriority w:val="99"/>
    <w:pPr>
      <w:tabs>
        <w:tab w:val="center" w:pos="4153"/>
        <w:tab w:val="right" w:pos="8306"/>
      </w:tabs>
      <w:snapToGrid w:val="0"/>
      <w:jc w:val="left"/>
    </w:pPr>
    <w:rPr>
      <w:sz w:val="18"/>
      <w:szCs w:val="18"/>
    </w:rPr>
  </w:style>
  <w:style w:type="paragraph" w:styleId="3">
    <w:name w:val="header"/>
    <w:basedOn w:val="1"/>
    <w:link w:val="7"/>
    <w:unhideWhenUsed/>
    <w:qFormat/>
    <w:uiPriority w:val="99"/>
    <w:pPr>
      <w:pBdr>
        <w:bottom w:val="single" w:color="auto" w:sz="6" w:space="1"/>
      </w:pBdr>
      <w:tabs>
        <w:tab w:val="center" w:pos="4153"/>
        <w:tab w:val="right" w:pos="8306"/>
      </w:tabs>
      <w:snapToGrid w:val="0"/>
      <w:jc w:val="center"/>
    </w:pPr>
    <w:rPr>
      <w:sz w:val="18"/>
      <w:szCs w:val="18"/>
    </w:rPr>
  </w:style>
  <w:style w:type="table" w:styleId="5">
    <w:name w:val="Table Grid"/>
    <w:basedOn w:val="4"/>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Pr>
  </w:style>
  <w:style w:type="character" w:customStyle="1" w:styleId="7">
    <w:name w:val="页眉 Char"/>
    <w:basedOn w:val="6"/>
    <w:link w:val="3"/>
    <w:qFormat/>
    <w:uiPriority w:val="99"/>
    <w:rPr>
      <w:sz w:val="18"/>
      <w:szCs w:val="18"/>
    </w:rPr>
  </w:style>
  <w:style w:type="character" w:customStyle="1" w:styleId="8">
    <w:name w:val="页脚 Char"/>
    <w:basedOn w:val="6"/>
    <w:link w:val="2"/>
    <w:qFormat/>
    <w:uiPriority w:val="99"/>
    <w:rPr>
      <w:sz w:val="18"/>
      <w:szCs w:val="18"/>
    </w:rPr>
  </w:style>
  <w:style w:type="paragraph" w:customStyle="1" w:styleId="9">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Lenovo</Company>
  <Pages>5</Pages>
  <Words>2358</Words>
  <Characters>2532</Characters>
  <Lines>3</Lines>
  <Paragraphs>1</Paragraphs>
  <TotalTime>3</TotalTime>
  <ScaleCrop>false</ScaleCrop>
  <LinksUpToDate>false</LinksUpToDate>
  <CharactersWithSpaces>2608</CharactersWithSpaces>
  <Application>WPS Office_11.8.2.8593_F1E327BC-269C-435d-A152-05C5408002CA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2019-11-14T00:58:00Z</dcterms:created>
  <dc:creator>user</dc:creator>
  <cp:lastModifiedBy>Administrator</cp:lastModifiedBy>
  <cp:lastPrinted>2023-04-24T08:41:00Z</cp:lastPrinted>
  <dcterms:modified xsi:type="dcterms:W3CDTF">2023-07-20T08:58:14Z</dcterms:modified>
  <dc:title>附件2： </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2052-11.8.2.8593</vt:lpwstr>
  </property>
  <property fmtid="{D5CDD505-2E9C-101B-9397-08002B2CF9AE}" pid="3" name="ICV">
    <vt:lpwstr>63F81FF4D34D40FE824F2583D0F1314E</vt:lpwstr>
  </property>
</Properties>
</file>