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8ABAF9">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2766DFD4">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069E89A3">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14:paraId="0DF0AEC8">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1C5CA125">
      <w:pPr>
        <w:keepNext w:val="0"/>
        <w:keepLines w:val="0"/>
        <w:pageBreakBefore w:val="0"/>
        <w:widowControl w:val="0"/>
        <w:kinsoku/>
        <w:wordWrap/>
        <w:overflowPunct/>
        <w:topLinePunct w:val="0"/>
        <w:bidi w:val="0"/>
        <w:snapToGrid/>
        <w:spacing w:after="0" w:line="560" w:lineRule="exact"/>
        <w:ind w:firstLine="643" w:firstLineChars="200"/>
        <w:textAlignment w:val="auto"/>
        <w:rPr>
          <w:rFonts w:hint="eastAsia" w:ascii="仿宋_GB2312" w:hAnsi="Calibri" w:eastAsia="仿宋_GB2312" w:cs="ArialUnicodeMS"/>
          <w:b/>
          <w:bCs/>
          <w:kern w:val="0"/>
          <w:sz w:val="32"/>
          <w:szCs w:val="32"/>
          <w:lang w:eastAsia="zh-CN"/>
        </w:rPr>
      </w:pPr>
      <w:r>
        <w:rPr>
          <w:rFonts w:hint="eastAsia" w:ascii="仿宋_GB2312" w:hAnsi="Calibri" w:eastAsia="仿宋_GB2312" w:cs="ArialUnicodeMS"/>
          <w:b/>
          <w:bCs/>
          <w:kern w:val="0"/>
          <w:sz w:val="32"/>
          <w:szCs w:val="32"/>
          <w:lang w:eastAsia="zh-CN"/>
        </w:rPr>
        <w:t>（一）部门职责</w:t>
      </w:r>
    </w:p>
    <w:p w14:paraId="2A107337">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根据《藁城区文化体育部门职能配置、内设机构和人员编制方案》规定，藁城区文化体育部门的主要职责是：</w:t>
      </w:r>
    </w:p>
    <w:p w14:paraId="1FD9E837">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1、贯彻执行党和国家关于文化</w:t>
      </w:r>
      <w:r>
        <w:rPr>
          <w:rFonts w:hint="eastAsia" w:ascii="仿宋_GB2312" w:eastAsia="仿宋_GB2312" w:cs="ArialUnicodeMS"/>
          <w:kern w:val="0"/>
          <w:sz w:val="32"/>
          <w:szCs w:val="32"/>
          <w:lang w:eastAsia="zh-CN"/>
        </w:rPr>
        <w:t>、宣传、创作、广播电视、</w:t>
      </w:r>
      <w:r>
        <w:rPr>
          <w:rFonts w:hint="eastAsia" w:ascii="仿宋_GB2312" w:hAnsi="Calibri" w:eastAsia="仿宋_GB2312" w:cs="ArialUnicodeMS"/>
          <w:kern w:val="0"/>
          <w:sz w:val="32"/>
          <w:szCs w:val="32"/>
        </w:rPr>
        <w:t>体育</w:t>
      </w:r>
      <w:r>
        <w:rPr>
          <w:rFonts w:hint="eastAsia" w:ascii="仿宋_GB2312" w:eastAsia="仿宋_GB2312" w:cs="ArialUnicodeMS"/>
          <w:kern w:val="0"/>
          <w:sz w:val="32"/>
          <w:szCs w:val="32"/>
          <w:lang w:eastAsia="zh-CN"/>
        </w:rPr>
        <w:t>和旅游</w:t>
      </w:r>
      <w:r>
        <w:rPr>
          <w:rFonts w:hint="eastAsia" w:ascii="仿宋_GB2312" w:hAnsi="Calibri" w:eastAsia="仿宋_GB2312" w:cs="ArialUnicodeMS"/>
          <w:kern w:val="0"/>
          <w:sz w:val="32"/>
          <w:szCs w:val="32"/>
        </w:rPr>
        <w:t>方针政策</w:t>
      </w:r>
      <w:r>
        <w:rPr>
          <w:rFonts w:hint="eastAsia" w:ascii="仿宋_GB2312" w:eastAsia="仿宋_GB2312" w:cs="ArialUnicodeMS"/>
          <w:kern w:val="0"/>
          <w:sz w:val="32"/>
          <w:szCs w:val="32"/>
          <w:lang w:eastAsia="zh-CN"/>
        </w:rPr>
        <w:t>和决策部署</w:t>
      </w:r>
      <w:r>
        <w:rPr>
          <w:rFonts w:hint="eastAsia" w:ascii="仿宋_GB2312" w:hAnsi="Calibri" w:eastAsia="仿宋_GB2312" w:cs="ArialUnicodeMS"/>
          <w:kern w:val="0"/>
          <w:sz w:val="32"/>
          <w:szCs w:val="32"/>
        </w:rPr>
        <w:t>。</w:t>
      </w:r>
    </w:p>
    <w:p w14:paraId="4FF7AD91">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2、结合实际，制定我区文化体育、新闻出版音像图书、文化市场和电子网络工作发展规划和方案，并监督执行。</w:t>
      </w:r>
    </w:p>
    <w:p w14:paraId="692BFE6E">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3、负责</w:t>
      </w:r>
      <w:r>
        <w:rPr>
          <w:rFonts w:hint="eastAsia" w:ascii="仿宋_GB2312" w:eastAsia="仿宋_GB2312" w:cs="ArialUnicodeMS"/>
          <w:kern w:val="0"/>
          <w:sz w:val="32"/>
          <w:szCs w:val="32"/>
          <w:lang w:eastAsia="zh-CN"/>
        </w:rPr>
        <w:t>全区非物质文化遗产保护，推动非物质文化遗产的保护、传承、普及、弘扬和振兴</w:t>
      </w:r>
      <w:r>
        <w:rPr>
          <w:rFonts w:hint="eastAsia" w:ascii="仿宋_GB2312" w:hAnsi="Calibri" w:eastAsia="仿宋_GB2312" w:cs="ArialUnicodeMS"/>
          <w:kern w:val="0"/>
          <w:sz w:val="32"/>
          <w:szCs w:val="32"/>
        </w:rPr>
        <w:t>。</w:t>
      </w:r>
    </w:p>
    <w:p w14:paraId="5BDE4A23">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4、培养和造就我区优秀的文化艺术人才和艺术团体，创作出大量为群众喜闻乐见、生动活泼的文化艺术作品。</w:t>
      </w:r>
    </w:p>
    <w:p w14:paraId="446749C1">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5、</w:t>
      </w:r>
      <w:r>
        <w:rPr>
          <w:rFonts w:hint="eastAsia" w:ascii="仿宋_GB2312" w:eastAsia="仿宋_GB2312" w:cs="ArialUnicodeMS"/>
          <w:kern w:val="0"/>
          <w:sz w:val="32"/>
          <w:szCs w:val="32"/>
          <w:lang w:eastAsia="zh-CN"/>
        </w:rPr>
        <w:t>负责文化、文物、新闻出版（版权）、广播电视、电影、旅游等市场综合执法；负责督查督办全区性跨区域性大案要案，维护市场秩序</w:t>
      </w:r>
      <w:r>
        <w:rPr>
          <w:rFonts w:hint="eastAsia" w:ascii="仿宋_GB2312" w:hAnsi="Calibri" w:eastAsia="仿宋_GB2312" w:cs="ArialUnicodeMS"/>
          <w:kern w:val="0"/>
          <w:sz w:val="32"/>
          <w:szCs w:val="32"/>
        </w:rPr>
        <w:t>。</w:t>
      </w:r>
    </w:p>
    <w:p w14:paraId="092B8C3A">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eastAsia="仿宋_GB2312" w:cs="ArialUnicodeMS"/>
          <w:kern w:val="0"/>
          <w:sz w:val="32"/>
          <w:szCs w:val="32"/>
          <w:lang w:eastAsia="zh-CN"/>
        </w:rPr>
      </w:pPr>
      <w:r>
        <w:rPr>
          <w:rFonts w:hint="eastAsia" w:ascii="仿宋_GB2312" w:eastAsia="仿宋_GB2312" w:cs="ArialUnicodeMS"/>
          <w:kern w:val="0"/>
          <w:sz w:val="32"/>
          <w:szCs w:val="32"/>
          <w:lang w:eastAsia="zh-CN"/>
        </w:rPr>
        <w:t>6、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14:paraId="2CB38C26">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rPr>
        <w:t>7、负责</w:t>
      </w:r>
      <w:r>
        <w:rPr>
          <w:rFonts w:hint="eastAsia" w:ascii="仿宋_GB2312" w:eastAsia="仿宋_GB2312" w:cs="ArialUnicodeMS"/>
          <w:kern w:val="0"/>
          <w:sz w:val="32"/>
          <w:szCs w:val="32"/>
          <w:lang w:eastAsia="zh-CN"/>
        </w:rPr>
        <w:t>文化遗产的管理和保护</w:t>
      </w:r>
      <w:r>
        <w:rPr>
          <w:rFonts w:hint="eastAsia" w:ascii="仿宋_GB2312" w:hAnsi="Calibri" w:eastAsia="仿宋_GB2312" w:cs="ArialUnicodeMS"/>
          <w:kern w:val="0"/>
          <w:sz w:val="32"/>
          <w:szCs w:val="32"/>
        </w:rPr>
        <w:t>。</w:t>
      </w:r>
      <w:r>
        <w:rPr>
          <w:rFonts w:hint="eastAsia" w:ascii="仿宋_GB2312" w:eastAsia="仿宋_GB2312" w:cs="ArialUnicodeMS"/>
          <w:kern w:val="0"/>
          <w:sz w:val="32"/>
          <w:szCs w:val="32"/>
          <w:lang w:eastAsia="zh-CN"/>
        </w:rPr>
        <w:t>指导和管理文物、博物馆事业，组织指导文物的保护抢救、考古发掘和开发利用工作。</w:t>
      </w:r>
    </w:p>
    <w:p w14:paraId="562AC538">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lang w:val="en-US" w:eastAsia="zh-CN"/>
        </w:rPr>
      </w:pPr>
      <w:r>
        <w:rPr>
          <w:rFonts w:hint="eastAsia" w:ascii="仿宋_GB2312" w:eastAsia="仿宋_GB2312" w:cs="ArialUnicodeMS"/>
          <w:kern w:val="0"/>
          <w:sz w:val="32"/>
          <w:szCs w:val="32"/>
          <w:lang w:val="en-US" w:eastAsia="zh-CN"/>
        </w:rPr>
        <w:t>8、负责统筹规划全区群众体育发展，推行全民健身计划，开展群众性体育活动，实施国家体育锻炼标准，开展国民体质监测，负责公共体育设施建设及监督管理工作。</w:t>
      </w:r>
    </w:p>
    <w:p w14:paraId="3D5BBB50">
      <w:pPr>
        <w:keepNext w:val="0"/>
        <w:keepLines w:val="0"/>
        <w:pageBreakBefore w:val="0"/>
        <w:widowControl w:val="0"/>
        <w:kinsoku/>
        <w:wordWrap/>
        <w:overflowPunct/>
        <w:topLinePunct w:val="0"/>
        <w:bidi w:val="0"/>
        <w:snapToGrid/>
        <w:spacing w:after="0" w:line="560" w:lineRule="exact"/>
        <w:ind w:firstLine="640" w:firstLineChars="200"/>
        <w:textAlignment w:val="auto"/>
        <w:rPr>
          <w:rFonts w:hint="eastAsia" w:ascii="仿宋_GB2312" w:hAnsi="Calibri" w:eastAsia="仿宋_GB2312" w:cs="ArialUnicodeMS"/>
          <w:kern w:val="0"/>
          <w:sz w:val="32"/>
          <w:szCs w:val="32"/>
        </w:rPr>
      </w:pPr>
      <w:r>
        <w:rPr>
          <w:rFonts w:hint="eastAsia" w:ascii="仿宋_GB2312" w:eastAsia="仿宋_GB2312" w:cs="ArialUnicodeMS"/>
          <w:kern w:val="0"/>
          <w:sz w:val="32"/>
          <w:szCs w:val="32"/>
          <w:lang w:val="en-US" w:eastAsia="zh-CN"/>
        </w:rPr>
        <w:t>9</w:t>
      </w:r>
      <w:r>
        <w:rPr>
          <w:rFonts w:hint="eastAsia" w:ascii="仿宋_GB2312" w:hAnsi="Calibri" w:eastAsia="仿宋_GB2312" w:cs="ArialUnicodeMS"/>
          <w:kern w:val="0"/>
          <w:sz w:val="32"/>
          <w:szCs w:val="32"/>
        </w:rPr>
        <w:t>、</w:t>
      </w:r>
      <w:r>
        <w:rPr>
          <w:rFonts w:hint="eastAsia" w:ascii="仿宋_GB2312" w:eastAsia="仿宋_GB2312" w:cs="ArialUnicodeMS"/>
          <w:kern w:val="0"/>
          <w:sz w:val="32"/>
          <w:szCs w:val="32"/>
          <w:lang w:eastAsia="zh-CN"/>
        </w:rPr>
        <w:t>完成区委、区政府交办的其他任务</w:t>
      </w:r>
      <w:r>
        <w:rPr>
          <w:rFonts w:hint="eastAsia" w:ascii="仿宋_GB2312" w:hAnsi="Calibri" w:eastAsia="仿宋_GB2312" w:cs="ArialUnicodeMS"/>
          <w:kern w:val="0"/>
          <w:sz w:val="32"/>
          <w:szCs w:val="32"/>
        </w:rPr>
        <w:t>。</w:t>
      </w:r>
    </w:p>
    <w:p w14:paraId="12FAEE03">
      <w:pPr>
        <w:keepNext w:val="0"/>
        <w:keepLines w:val="0"/>
        <w:pageBreakBefore w:val="0"/>
        <w:widowControl w:val="0"/>
        <w:kinsoku/>
        <w:wordWrap/>
        <w:overflowPunct/>
        <w:topLinePunct w:val="0"/>
        <w:bidi w:val="0"/>
        <w:snapToGrid/>
        <w:spacing w:after="0" w:line="560" w:lineRule="exact"/>
        <w:ind w:firstLine="643" w:firstLineChars="200"/>
        <w:jc w:val="both"/>
        <w:textAlignment w:val="auto"/>
        <w:rPr>
          <w:rFonts w:hint="eastAsia" w:ascii="仿宋_GB2312" w:eastAsia="仿宋_GB2312" w:cs="ArialUnicodeMS"/>
          <w:b/>
          <w:bCs/>
          <w:kern w:val="0"/>
          <w:sz w:val="32"/>
          <w:szCs w:val="32"/>
          <w:lang w:eastAsia="zh-CN"/>
        </w:rPr>
      </w:pPr>
      <w:r>
        <w:rPr>
          <w:rFonts w:hint="eastAsia" w:ascii="仿宋_GB2312" w:eastAsia="仿宋_GB2312" w:cs="ArialUnicodeMS"/>
          <w:b/>
          <w:bCs/>
          <w:kern w:val="0"/>
          <w:sz w:val="32"/>
          <w:szCs w:val="32"/>
          <w:lang w:eastAsia="zh-CN"/>
        </w:rPr>
        <w:t>（二）组织机构</w:t>
      </w:r>
    </w:p>
    <w:p w14:paraId="458AB2F7">
      <w:pPr>
        <w:keepNext w:val="0"/>
        <w:keepLines w:val="0"/>
        <w:pageBreakBefore w:val="0"/>
        <w:widowControl w:val="0"/>
        <w:kinsoku/>
        <w:wordWrap/>
        <w:overflowPunct/>
        <w:topLinePunct w:val="0"/>
        <w:bidi w:val="0"/>
        <w:snapToGrid/>
        <w:spacing w:after="0" w:line="560" w:lineRule="exact"/>
        <w:ind w:firstLine="640" w:firstLineChars="200"/>
        <w:jc w:val="both"/>
        <w:textAlignment w:val="auto"/>
        <w:rPr>
          <w:rFonts w:hint="eastAsia" w:ascii="仿宋_GB2312" w:eastAsia="仿宋_GB2312" w:cs="ArialUnicodeMS"/>
          <w:kern w:val="0"/>
          <w:sz w:val="32"/>
          <w:szCs w:val="32"/>
          <w:lang w:val="en-US" w:eastAsia="zh-CN"/>
        </w:rPr>
      </w:pPr>
      <w:r>
        <w:rPr>
          <w:rFonts w:hint="eastAsia" w:ascii="仿宋_GB2312" w:eastAsia="仿宋_GB2312" w:cs="ArialUnicodeMS"/>
          <w:kern w:val="0"/>
          <w:sz w:val="32"/>
          <w:szCs w:val="32"/>
          <w:lang w:eastAsia="zh-CN"/>
        </w:rPr>
        <w:t>藁城区文化广电体育和旅游局共四个内设科室分别为办公室、公共服务股、文化旅游和产业发展股和广电媒体和市场监管股。</w:t>
      </w:r>
      <w:r>
        <w:rPr>
          <w:rFonts w:hint="eastAsia" w:ascii="仿宋_GB2312" w:eastAsia="仿宋_GB2312" w:cs="ArialUnicodeMS"/>
          <w:kern w:val="0"/>
          <w:sz w:val="32"/>
          <w:szCs w:val="32"/>
          <w:lang w:val="en-US" w:eastAsia="zh-CN"/>
        </w:rPr>
        <w:t>5个下属单位，图书馆、文化馆、文物保管所为全额事业单位，评剧艺术团为差额事业单位，旅游业管理中心为自收自支事业单位。</w:t>
      </w:r>
    </w:p>
    <w:p w14:paraId="2FBB6F55">
      <w:pPr>
        <w:keepNext w:val="0"/>
        <w:keepLines w:val="0"/>
        <w:pageBreakBefore w:val="0"/>
        <w:widowControl w:val="0"/>
        <w:kinsoku/>
        <w:wordWrap/>
        <w:overflowPunct/>
        <w:topLinePunct w:val="0"/>
        <w:bidi w:val="0"/>
        <w:snapToGrid/>
        <w:spacing w:after="0" w:line="560" w:lineRule="exact"/>
        <w:ind w:firstLine="643" w:firstLineChars="200"/>
        <w:jc w:val="both"/>
        <w:textAlignment w:val="auto"/>
        <w:rPr>
          <w:rFonts w:hint="eastAsia" w:ascii="仿宋_GB2312" w:eastAsia="仿宋_GB2312" w:cs="ArialUnicodeMS"/>
          <w:b/>
          <w:bCs/>
          <w:kern w:val="0"/>
          <w:sz w:val="32"/>
          <w:szCs w:val="32"/>
          <w:lang w:eastAsia="zh-CN"/>
        </w:rPr>
      </w:pPr>
      <w:r>
        <w:rPr>
          <w:rFonts w:hint="eastAsia" w:ascii="仿宋_GB2312" w:eastAsia="仿宋_GB2312" w:cs="ArialUnicodeMS"/>
          <w:b/>
          <w:bCs/>
          <w:kern w:val="0"/>
          <w:sz w:val="32"/>
          <w:szCs w:val="32"/>
          <w:lang w:val="en-US" w:eastAsia="zh-CN"/>
        </w:rPr>
        <w:t>（三）</w:t>
      </w:r>
      <w:r>
        <w:rPr>
          <w:rFonts w:hint="eastAsia" w:ascii="仿宋_GB2312" w:eastAsia="仿宋_GB2312" w:cs="ArialUnicodeMS"/>
          <w:b/>
          <w:bCs/>
          <w:kern w:val="0"/>
          <w:sz w:val="32"/>
          <w:szCs w:val="32"/>
          <w:lang w:eastAsia="zh-CN"/>
        </w:rPr>
        <w:t>部门整体支出绩效目标</w:t>
      </w:r>
    </w:p>
    <w:p w14:paraId="1EE8735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default" w:ascii="仿宋_GB2312" w:eastAsia="仿宋_GB2312" w:cs="ArialUnicodeMS"/>
          <w:b/>
          <w:bCs/>
          <w:kern w:val="0"/>
          <w:sz w:val="32"/>
          <w:szCs w:val="32"/>
          <w:lang w:val="en-US" w:eastAsia="zh-CN"/>
        </w:rPr>
      </w:pPr>
      <w:r>
        <w:rPr>
          <w:rFonts w:hint="eastAsia" w:ascii="仿宋" w:hAnsi="仿宋" w:eastAsia="仿宋" w:cs="仿宋"/>
          <w:b w:val="0"/>
          <w:bCs w:val="0"/>
          <w:sz w:val="32"/>
          <w:szCs w:val="32"/>
          <w:lang w:val="en-US" w:eastAsia="zh-CN"/>
        </w:rPr>
        <w:t>坚持以习近平新时代中国特色社会主义思想为指导，深入贯彻落实中央《体育强国建设纲要》以及《“十四五”文化和旅游发展规划》。</w:t>
      </w:r>
      <w:r>
        <w:rPr>
          <w:rFonts w:hint="eastAsia" w:ascii="仿宋" w:hAnsi="仿宋" w:eastAsia="仿宋" w:cs="仿宋"/>
          <w:b w:val="0"/>
          <w:bCs w:val="0"/>
          <w:sz w:val="32"/>
          <w:szCs w:val="32"/>
          <w:lang w:eastAsia="zh-CN"/>
        </w:rPr>
        <w:t>积极谋划和推动项目建设，促进文旅产业融合发展</w:t>
      </w:r>
      <w:r>
        <w:rPr>
          <w:rFonts w:hint="eastAsia" w:ascii="仿宋" w:hAnsi="仿宋" w:eastAsia="仿宋" w:cs="仿宋"/>
          <w:b w:val="0"/>
          <w:bCs w:val="0"/>
          <w:sz w:val="32"/>
          <w:szCs w:val="32"/>
          <w:lang w:val="en-US" w:eastAsia="zh-CN"/>
        </w:rPr>
        <w:t>，扩大影响力，带动经济发展。完善公共文化服务体系建设，增强基层服务供给，提升文旅公共服务功能。</w:t>
      </w:r>
      <w:r>
        <w:rPr>
          <w:rStyle w:val="9"/>
          <w:rFonts w:hint="eastAsia" w:ascii="仿宋" w:hAnsi="仿宋" w:eastAsia="仿宋" w:cs="仿宋"/>
          <w:b w:val="0"/>
          <w:bCs w:val="0"/>
          <w:sz w:val="32"/>
          <w:szCs w:val="32"/>
        </w:rPr>
        <w:t>广泛开展</w:t>
      </w:r>
      <w:r>
        <w:rPr>
          <w:rStyle w:val="9"/>
          <w:rFonts w:hint="eastAsia" w:ascii="仿宋" w:hAnsi="仿宋" w:eastAsia="仿宋" w:cs="仿宋"/>
          <w:b w:val="0"/>
          <w:bCs w:val="0"/>
          <w:sz w:val="32"/>
          <w:szCs w:val="32"/>
          <w:lang w:eastAsia="zh-CN"/>
        </w:rPr>
        <w:t>基层</w:t>
      </w:r>
      <w:r>
        <w:rPr>
          <w:rStyle w:val="9"/>
          <w:rFonts w:hint="eastAsia" w:ascii="仿宋" w:hAnsi="仿宋" w:eastAsia="仿宋" w:cs="仿宋"/>
          <w:b w:val="0"/>
          <w:bCs w:val="0"/>
          <w:sz w:val="32"/>
          <w:szCs w:val="32"/>
        </w:rPr>
        <w:t>文</w:t>
      </w:r>
      <w:r>
        <w:rPr>
          <w:rStyle w:val="9"/>
          <w:rFonts w:hint="eastAsia" w:ascii="仿宋" w:hAnsi="仿宋" w:eastAsia="仿宋" w:cs="仿宋"/>
          <w:b w:val="0"/>
          <w:bCs w:val="0"/>
          <w:sz w:val="32"/>
          <w:szCs w:val="32"/>
          <w:lang w:eastAsia="zh-CN"/>
        </w:rPr>
        <w:t>体</w:t>
      </w:r>
      <w:r>
        <w:rPr>
          <w:rStyle w:val="9"/>
          <w:rFonts w:hint="eastAsia" w:ascii="仿宋" w:hAnsi="仿宋" w:eastAsia="仿宋" w:cs="仿宋"/>
          <w:b w:val="0"/>
          <w:bCs w:val="0"/>
          <w:sz w:val="32"/>
          <w:szCs w:val="32"/>
        </w:rPr>
        <w:t>活动</w:t>
      </w:r>
      <w:r>
        <w:rPr>
          <w:rStyle w:val="9"/>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组织开展文化惠民活动，</w:t>
      </w:r>
      <w:r>
        <w:rPr>
          <w:rStyle w:val="9"/>
          <w:rFonts w:hint="eastAsia" w:ascii="仿宋" w:hAnsi="仿宋" w:eastAsia="仿宋" w:cs="仿宋"/>
          <w:b w:val="0"/>
          <w:bCs w:val="0"/>
          <w:sz w:val="32"/>
          <w:szCs w:val="32"/>
          <w:lang w:eastAsia="zh-CN"/>
        </w:rPr>
        <w:t>满足群众精神文化需求</w:t>
      </w:r>
      <w:r>
        <w:rPr>
          <w:rFonts w:hint="eastAsia" w:ascii="仿宋" w:hAnsi="仿宋" w:eastAsia="仿宋" w:cs="仿宋"/>
          <w:b w:val="0"/>
          <w:bCs w:val="0"/>
          <w:sz w:val="32"/>
          <w:szCs w:val="32"/>
          <w:lang w:val="en-US" w:eastAsia="zh-CN"/>
        </w:rPr>
        <w:t>。加强文艺精品创作与生产，组织优秀剧目展演。做好文化遗产保护利用、传承和文物保护，提升文化传承影响力。统筹重点区域发展，积极推广冰雪运动，响应冬奥会冰雪文化的号召。毫不放松加强执法监管，落实安全生产和防控责任。</w:t>
      </w:r>
    </w:p>
    <w:p w14:paraId="53021491">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0BFCFAF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按照上级文件的有关要求</w:t>
      </w:r>
      <w:r>
        <w:rPr>
          <w:rFonts w:hint="eastAsia" w:ascii="仿宋" w:hAnsi="仿宋" w:eastAsia="仿宋" w:cs="仿宋"/>
          <w:sz w:val="32"/>
          <w:szCs w:val="32"/>
          <w:lang w:eastAsia="zh-CN"/>
        </w:rPr>
        <w:t>，</w:t>
      </w:r>
      <w:r>
        <w:rPr>
          <w:rFonts w:hint="eastAsia" w:ascii="仿宋" w:hAnsi="仿宋" w:eastAsia="仿宋" w:cs="仿宋"/>
          <w:sz w:val="32"/>
          <w:szCs w:val="32"/>
        </w:rPr>
        <w:t>结合我单位实际情况，经局</w:t>
      </w:r>
      <w:r>
        <w:rPr>
          <w:rFonts w:hint="eastAsia" w:ascii="仿宋" w:hAnsi="仿宋" w:eastAsia="仿宋" w:cs="仿宋"/>
          <w:sz w:val="32"/>
          <w:szCs w:val="32"/>
          <w:lang w:eastAsia="zh-CN"/>
        </w:rPr>
        <w:t>领导班子</w:t>
      </w:r>
      <w:r>
        <w:rPr>
          <w:rFonts w:hint="eastAsia" w:ascii="仿宋" w:hAnsi="仿宋" w:eastAsia="仿宋" w:cs="仿宋"/>
          <w:sz w:val="32"/>
          <w:szCs w:val="32"/>
        </w:rPr>
        <w:t>研究决定，</w:t>
      </w:r>
      <w:r>
        <w:rPr>
          <w:rFonts w:hint="eastAsia" w:ascii="仿宋" w:hAnsi="仿宋" w:eastAsia="仿宋" w:cs="仿宋"/>
          <w:sz w:val="32"/>
          <w:szCs w:val="32"/>
          <w:lang w:eastAsia="zh-CN"/>
        </w:rPr>
        <w:t>组织专人负责</w:t>
      </w:r>
      <w:r>
        <w:rPr>
          <w:rFonts w:hint="eastAsia" w:ascii="仿宋" w:hAnsi="仿宋" w:eastAsia="仿宋" w:cs="仿宋"/>
          <w:sz w:val="32"/>
          <w:szCs w:val="32"/>
          <w:lang w:val="en-US" w:eastAsia="zh-CN"/>
        </w:rPr>
        <w:t>2022年项目自评工作</w:t>
      </w:r>
      <w:r>
        <w:rPr>
          <w:rFonts w:hint="eastAsia" w:ascii="仿宋" w:hAnsi="仿宋" w:eastAsia="仿宋" w:cs="仿宋"/>
          <w:sz w:val="32"/>
          <w:szCs w:val="32"/>
        </w:rPr>
        <w:t>，制定了</w:t>
      </w:r>
      <w:r>
        <w:rPr>
          <w:rFonts w:hint="eastAsia" w:ascii="仿宋" w:hAnsi="仿宋" w:eastAsia="仿宋" w:cs="仿宋"/>
          <w:sz w:val="32"/>
          <w:szCs w:val="32"/>
          <w:lang w:val="en-US" w:eastAsia="zh-CN"/>
        </w:rPr>
        <w:t>2022</w:t>
      </w:r>
      <w:r>
        <w:rPr>
          <w:rFonts w:hint="eastAsia" w:ascii="仿宋" w:hAnsi="仿宋" w:eastAsia="仿宋" w:cs="仿宋"/>
          <w:sz w:val="32"/>
          <w:szCs w:val="32"/>
        </w:rPr>
        <w:t xml:space="preserve"> 年自评工作方案，为自评工作做好准备。</w:t>
      </w:r>
    </w:p>
    <w:p w14:paraId="38260B3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2022</w:t>
      </w:r>
      <w:r>
        <w:rPr>
          <w:rFonts w:hint="eastAsia" w:ascii="仿宋" w:hAnsi="仿宋" w:eastAsia="仿宋" w:cs="仿宋"/>
          <w:sz w:val="32"/>
          <w:szCs w:val="32"/>
        </w:rPr>
        <w:t>年我单位自评绩效项目共有</w:t>
      </w:r>
      <w:r>
        <w:rPr>
          <w:rFonts w:hint="eastAsia" w:ascii="仿宋" w:hAnsi="仿宋" w:eastAsia="仿宋" w:cs="仿宋"/>
          <w:sz w:val="32"/>
          <w:szCs w:val="32"/>
          <w:lang w:val="en-US" w:eastAsia="zh-CN"/>
        </w:rPr>
        <w:t>48</w:t>
      </w:r>
      <w:r>
        <w:rPr>
          <w:rFonts w:hint="eastAsia" w:ascii="仿宋" w:hAnsi="仿宋" w:eastAsia="仿宋" w:cs="仿宋"/>
          <w:sz w:val="32"/>
          <w:szCs w:val="32"/>
        </w:rPr>
        <w:t>个</w:t>
      </w:r>
      <w:r>
        <w:rPr>
          <w:rFonts w:hint="eastAsia" w:ascii="仿宋" w:hAnsi="仿宋" w:eastAsia="仿宋" w:cs="仿宋"/>
          <w:sz w:val="32"/>
          <w:szCs w:val="32"/>
          <w:lang w:eastAsia="zh-CN"/>
        </w:rPr>
        <w:t>，</w:t>
      </w:r>
      <w:r>
        <w:rPr>
          <w:rFonts w:hint="eastAsia" w:ascii="仿宋" w:hAnsi="仿宋" w:eastAsia="仿宋" w:cs="仿宋"/>
          <w:sz w:val="32"/>
          <w:szCs w:val="32"/>
        </w:rPr>
        <w:t>首先对</w:t>
      </w:r>
      <w:r>
        <w:rPr>
          <w:rFonts w:hint="eastAsia" w:ascii="仿宋" w:hAnsi="仿宋" w:eastAsia="仿宋" w:cs="仿宋"/>
          <w:sz w:val="32"/>
          <w:szCs w:val="32"/>
          <w:lang w:val="en-US" w:eastAsia="zh-CN"/>
        </w:rPr>
        <w:t>2022</w:t>
      </w:r>
      <w:r>
        <w:rPr>
          <w:rFonts w:hint="eastAsia" w:ascii="仿宋" w:hAnsi="仿宋" w:eastAsia="仿宋" w:cs="仿宋"/>
          <w:sz w:val="32"/>
          <w:szCs w:val="32"/>
        </w:rPr>
        <w:t>年度</w:t>
      </w:r>
      <w:r>
        <w:rPr>
          <w:rFonts w:hint="eastAsia" w:ascii="仿宋" w:hAnsi="仿宋" w:eastAsia="仿宋" w:cs="仿宋"/>
          <w:sz w:val="32"/>
          <w:szCs w:val="32"/>
          <w:lang w:val="en-US" w:eastAsia="zh-CN"/>
        </w:rPr>
        <w:t>48</w:t>
      </w:r>
      <w:r>
        <w:rPr>
          <w:rFonts w:hint="eastAsia" w:ascii="仿宋" w:hAnsi="仿宋" w:eastAsia="仿宋" w:cs="仿宋"/>
          <w:sz w:val="32"/>
          <w:szCs w:val="32"/>
        </w:rPr>
        <w:t>个项目的实际完成情况进行了解</w:t>
      </w:r>
      <w:r>
        <w:rPr>
          <w:rFonts w:hint="eastAsia" w:ascii="仿宋" w:hAnsi="仿宋" w:eastAsia="仿宋" w:cs="仿宋"/>
          <w:sz w:val="32"/>
          <w:szCs w:val="32"/>
          <w:lang w:eastAsia="zh-CN"/>
        </w:rPr>
        <w:t>，</w:t>
      </w:r>
      <w:r>
        <w:rPr>
          <w:rFonts w:hint="eastAsia" w:ascii="仿宋" w:hAnsi="仿宋" w:eastAsia="仿宋" w:cs="仿宋"/>
          <w:sz w:val="32"/>
          <w:szCs w:val="32"/>
        </w:rPr>
        <w:t>与年初预算制定的绩效目标相比较，均已完成年初预算绩效目标;其次对项目资金的使用情况进行评价，通过查阅有关项目收入支出明细账</w:t>
      </w:r>
      <w:bookmarkStart w:id="0" w:name="_GoBack"/>
      <w:bookmarkEnd w:id="0"/>
      <w:r>
        <w:rPr>
          <w:rFonts w:hint="eastAsia" w:ascii="仿宋" w:hAnsi="仿宋" w:eastAsia="仿宋" w:cs="仿宋"/>
          <w:sz w:val="32"/>
          <w:szCs w:val="32"/>
        </w:rPr>
        <w:t>，审核项目资金是否专款专用、支出进度是否达到年初计划</w:t>
      </w:r>
      <w:r>
        <w:rPr>
          <w:rFonts w:hint="eastAsia" w:ascii="仿宋" w:hAnsi="仿宋" w:eastAsia="仿宋" w:cs="仿宋"/>
          <w:sz w:val="32"/>
          <w:szCs w:val="32"/>
          <w:lang w:eastAsia="zh-CN"/>
        </w:rPr>
        <w:t>；</w:t>
      </w:r>
      <w:r>
        <w:rPr>
          <w:rFonts w:hint="eastAsia" w:ascii="仿宋" w:hAnsi="仿宋" w:eastAsia="仿宋" w:cs="仿宋"/>
          <w:sz w:val="32"/>
          <w:szCs w:val="32"/>
        </w:rPr>
        <w:t>最后，对项目实施过程中存在的问题进行分析讨论，并提出可行性建议和措施。</w:t>
      </w:r>
    </w:p>
    <w:p w14:paraId="0CEC7A7B">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14:paraId="09F9B21E">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2022年我部门高效率地使用了各项资金，</w:t>
      </w:r>
      <w:r>
        <w:rPr>
          <w:rFonts w:hint="eastAsia" w:ascii="仿宋" w:hAnsi="仿宋" w:eastAsia="仿宋" w:cs="黑体"/>
          <w:sz w:val="32"/>
          <w:szCs w:val="32"/>
          <w:lang w:eastAsia="zh-CN"/>
        </w:rPr>
        <w:t>本</w:t>
      </w:r>
      <w:r>
        <w:rPr>
          <w:rFonts w:hint="eastAsia" w:ascii="仿宋" w:hAnsi="仿宋" w:eastAsia="仿宋" w:cs="黑体"/>
          <w:sz w:val="32"/>
          <w:szCs w:val="32"/>
        </w:rPr>
        <w:t>部门</w:t>
      </w:r>
      <w:r>
        <w:rPr>
          <w:rFonts w:hint="eastAsia" w:ascii="仿宋" w:hAnsi="仿宋" w:eastAsia="仿宋" w:cs="黑体"/>
          <w:sz w:val="32"/>
          <w:szCs w:val="32"/>
          <w:lang w:eastAsia="zh-CN"/>
        </w:rPr>
        <w:t>整体绩效目标基本实现，</w:t>
      </w:r>
      <w:r>
        <w:rPr>
          <w:rFonts w:hint="eastAsia" w:ascii="仿宋" w:hAnsi="仿宋" w:eastAsia="仿宋" w:cs="黑体"/>
          <w:sz w:val="32"/>
          <w:szCs w:val="32"/>
          <w:lang w:val="en-US" w:eastAsia="zh-CN"/>
        </w:rPr>
        <w:t>公共文化服务水平持续提升，举办多种文化体育活动及培训，文化下乡及三进演出等活动按时完成。加强了非物质文化遗产的宣传保护和开发利用，强化对全区文保单位的日常保养和维护，重点针对各文物点开展安全隐患大排查，确保文物安全无损毁、无破坏、无遗失、无被盗。文旅产业转型加快升级，坚持优化环境、项目带动、融合发展，文化产业发展进一步提速，推动文旅产业项目建设，打造文旅产业精品。全域旅游创建稳步推进，文旅市场整治规范有序。坚持以扫黑除恶专项斗争为切入点，坚持规范和繁荣两手抓，切实加强文化旅游市场管理，各类违法违规经营行为得到有效遏制，文旅市场活力得到彰显。</w:t>
      </w:r>
      <w:r>
        <w:rPr>
          <w:rFonts w:hint="eastAsia" w:ascii="仿宋" w:hAnsi="仿宋" w:eastAsia="仿宋" w:cs="仿宋_GB2312"/>
          <w:sz w:val="32"/>
          <w:szCs w:val="32"/>
          <w:lang w:eastAsia="zh-CN"/>
        </w:rPr>
        <w:t>年度支出合理，收支平衡，绩效目标完成率高，效果明显，整体支出等分</w:t>
      </w:r>
      <w:r>
        <w:rPr>
          <w:rFonts w:hint="eastAsia" w:ascii="仿宋" w:hAnsi="仿宋" w:eastAsia="仿宋" w:cs="仿宋_GB2312"/>
          <w:sz w:val="32"/>
          <w:szCs w:val="32"/>
          <w:lang w:val="en-US" w:eastAsia="zh-CN"/>
        </w:rPr>
        <w:t>90分，</w:t>
      </w:r>
      <w:r>
        <w:rPr>
          <w:rFonts w:hint="eastAsia" w:ascii="仿宋" w:hAnsi="仿宋" w:eastAsia="仿宋" w:cs="仿宋_GB2312"/>
          <w:sz w:val="32"/>
          <w:szCs w:val="32"/>
          <w:lang w:eastAsia="zh-CN"/>
        </w:rPr>
        <w:t>评价等级为优秀。</w:t>
      </w:r>
    </w:p>
    <w:p w14:paraId="111B9B87">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eastAsia="zh-CN"/>
        </w:rPr>
        <w:t>评价结论和评价等级</w:t>
      </w:r>
    </w:p>
    <w:p w14:paraId="305C541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2022年我部门高效率地使用了各项资金，基本完成了各项目的绩效目标，根据各项目执行情况、项目绩效情况和指标体系，项目评分均为优秀。</w:t>
      </w:r>
    </w:p>
    <w:p w14:paraId="28350897">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2022年第二批新增债券藁城区四明楼古建筑基础设施及配套建设项目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7300万元，到年底支出86.6835万元，剩余资金结转下年预算执行率达到1.19%。完成协商拆迁商户22户，完成 工程前期工作，预算执行率为1.19%。资金支出慢主要是因为方案需要调整，项目城墙位置与区北环规划路有部分重叠，方案不符合现在区城市规划条件，需要调整。</w:t>
      </w:r>
    </w:p>
    <w:p w14:paraId="4C3B7F5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sz w:val="32"/>
          <w:szCs w:val="32"/>
          <w:lang w:val="en-US" w:eastAsia="zh-CN"/>
        </w:rPr>
        <w:t>2、2022年新增专项债券利息项目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150.3万，到年底按照绩效要求全部支出完成，预算执行率达到100%。按照债券付息时间要求完成2022年新增债券付息，完成率100%，有利于提高公信力，公众满意度达到95%。</w:t>
      </w:r>
      <w:r>
        <w:rPr>
          <w:rFonts w:hint="eastAsia" w:ascii="仿宋" w:hAnsi="仿宋" w:eastAsia="仿宋" w:cs="仿宋"/>
          <w:sz w:val="32"/>
          <w:szCs w:val="32"/>
          <w:lang w:val="en-US" w:eastAsia="zh-CN"/>
        </w:rPr>
        <w:t>根据项目执行情况和项目绩效情况，总得分为95分，项目综合绩效评价为优秀。</w:t>
      </w:r>
    </w:p>
    <w:p w14:paraId="1C2B25C5">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3、城市形象标识征集经费项目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5.5万，到年底按照绩效要求全部支出完成，预算执行率达到100%。成功举办了城市形象征集活动，活动按时完成率达到100%，成本严格控制在预算范围内，未超出预算。此次活动彰显了城市特色，塑造了藁城形象，群众满意度达到95%，</w:t>
      </w:r>
      <w:r>
        <w:rPr>
          <w:rFonts w:hint="eastAsia" w:ascii="仿宋" w:hAnsi="仿宋" w:eastAsia="仿宋" w:cs="仿宋"/>
          <w:sz w:val="32"/>
          <w:szCs w:val="32"/>
          <w:lang w:val="en-US" w:eastAsia="zh-CN"/>
        </w:rPr>
        <w:t>根据项目执行情况和项目绩效情况，总得分为95分，项目综合绩效评价为优秀。</w:t>
      </w:r>
    </w:p>
    <w:p w14:paraId="1F21FA07">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4、劳务派遣聘用文化人才工资及社保费项目实施单位为藁城区文化广电体育和旅游局，年初预算安排10.8万，到年底按照绩效要求全部支出完成，预算执行率达到100%。引进文化艺术人才两位，工资及社保及时发放缴纳，通过聘用文化艺术人才，可以提供更加丰富的文化服务，提高文化服务水平。根据项目执行情况和项目绩效情况，总得分为95分，项目综合绩效评价为优秀。</w:t>
      </w:r>
    </w:p>
    <w:p w14:paraId="4A7F962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5、老年文体活动经费</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10万，到年底按照绩效要求全部支出完成，预算执行率达到100%。</w:t>
      </w:r>
      <w:r>
        <w:rPr>
          <w:rFonts w:hint="eastAsia" w:ascii="仿宋" w:hAnsi="仿宋" w:eastAsia="仿宋" w:cs="仿宋"/>
          <w:sz w:val="32"/>
          <w:szCs w:val="32"/>
          <w:lang w:val="en-US" w:eastAsia="zh-CN"/>
        </w:rPr>
        <w:t>参加各级比赛及举办培训活动达到5场，老年体育培训参与率达90%，老年体协举办体育培训及参加各级体育比赛，提高了社会对老年群体的关注，提高了社会对老年群体身心健康的重视程度，并在全区产生重大影响，受到群众的充分认可。根据项目执行情况和项目绩效情况，总得分为95分，项目综合绩效评价为优秀。</w:t>
      </w:r>
    </w:p>
    <w:p w14:paraId="4B6A8B92">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6、免费开放地方配套资金（文化站）项目实施单位为藁城区文化广电体育和旅游局，年初预算安排21.38万，到年底按照绩效要求全部支出完成，预算执行率达到100%。补助15个乡镇文化站，群众文化参与率达到70%，对文化站的补助及时发放，保证了乡镇文化站全年免费开放。根据项目执行情况和项目绩效情况，总得分为95分，项目综合绩效评价为优秀。</w:t>
      </w:r>
    </w:p>
    <w:p w14:paraId="4129B963">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七一建党文艺演出活动经费项目实施单位为藁城区文化广电体育和旅游局，年初预算安排5.5万，到年底按照绩效要求全部支出完成，预算执行率达到100%。成功举办七一文艺汇演，文艺汇演按时完成率达100%，活动成本未超出预算，提高了群众文化生活质量，群众满意度达到95%。根据项目执行情况和项目绩效情况，总得分为95分，项目综合绩效评价为优秀。</w:t>
      </w:r>
    </w:p>
    <w:p w14:paraId="45122E1E">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8、启动台西遗址文物保护规划资金项目实施单位为藁城区文化广电体育和旅游局，年初预算安排34.5万，到年底按照绩效要求全部支出完成，预算执行率达到100%。启动台西遗址文物保护规划编制工作，编制成本控制在预算范围内，有利于更好的保护开发利用台西遗址，群众及工作人员满意度达到95%。根据项目执行情况和项目绩效情况，总得分为95分，项目综合绩效评价为优秀。</w:t>
      </w:r>
    </w:p>
    <w:p w14:paraId="41892C7C">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9、球类场地建设项目实施单位为藁城区文化广电体育和旅游局，年初预算安排43.68万，到年底按照绩效要求全部支出完成，预算执行率达到100%。建设球类场地5个，按照合同支付30%，球类场地质量全部合格达标，成本控制到在预算范围内。为群众提供更多的建设场地，促进了体育事业发展。根据项目执行情况和项目绩效情况，总得分为95分，项目综合绩效评价为优秀。</w:t>
      </w:r>
    </w:p>
    <w:p w14:paraId="75A393E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全民健身及冰雪活动经费实施单位为藁城区文化广电体育和旅游局，年初预算安排46.6472万，到年底按照绩效要求全部支出完成，预算执行率达到100%。维持1个滑冰馆的正常运营，未出现任何活动事故，各项活动均及时完成，提高了群众冰雪活动参与率。根据项目执行情况和项目绩效情况，总得分为95分，项目综合绩效评价为优秀。</w:t>
      </w:r>
    </w:p>
    <w:p w14:paraId="7A7CB26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省到县多层级视频会议系统项目费用实施单位为藁城区文化广电体育和旅游局，年初预算安排2万，到年底按照绩效要求全部支出完成，预算执行率达到100%。租赁1套视频会议设备，视频会议系统安装验收合格，视频会议系统服务费按时支付，利用视频会议系统进一步提高了工作效率。根据项目执行情况和项目绩效情况，总得分为95分，项目综合绩效评价为优秀。</w:t>
      </w:r>
    </w:p>
    <w:p w14:paraId="2F3535F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12、石财教【2021】102号关于提前下达2022年省级非物质文化遗产保护专项资金</w:t>
      </w:r>
      <w:r>
        <w:rPr>
          <w:rFonts w:hint="default" w:ascii="仿宋" w:hAnsi="仿宋" w:eastAsia="仿宋" w:cs="仿宋"/>
          <w:sz w:val="32"/>
          <w:szCs w:val="32"/>
          <w:lang w:val="en-US" w:eastAsia="zh-CN"/>
        </w:rPr>
        <w:t>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4.8万，到年底按照绩效要求全部支出完成，预算执行率达到100%。</w:t>
      </w:r>
      <w:r>
        <w:rPr>
          <w:rFonts w:hint="eastAsia" w:ascii="仿宋" w:hAnsi="仿宋" w:eastAsia="仿宋" w:cs="仿宋"/>
          <w:sz w:val="32"/>
          <w:szCs w:val="32"/>
          <w:lang w:val="en-US" w:eastAsia="zh-CN"/>
        </w:rPr>
        <w:t>补助8位省级非物质文化遗产传承人，补助经费100%完成下发，通过补助非遗传承人，满足非遗传承人传习活动需求，提高其积极性，提高非遗传承力度，提高群众了解程度。根据项目执行情况和项目绩效情况，总得分为95分，项目综合绩效评价为优秀。</w:t>
      </w:r>
    </w:p>
    <w:p w14:paraId="3476374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13、石财教【2021】110号关于提前下达2022年省级体育彩票公益金</w:t>
      </w:r>
      <w:r>
        <w:rPr>
          <w:rFonts w:hint="default" w:ascii="仿宋" w:hAnsi="仿宋" w:eastAsia="仿宋" w:cs="仿宋"/>
          <w:sz w:val="32"/>
          <w:szCs w:val="32"/>
          <w:lang w:val="en-US" w:eastAsia="zh-CN"/>
        </w:rPr>
        <w:t>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1.66万，到年底按照绩效要求全部支出完成，预算执行率达到100%。组织真冰真雪全民冰雪运动2场，活动按时完成，安全举办率达到100%，有效的推广宣传了冰雪运动。</w:t>
      </w:r>
      <w:r>
        <w:rPr>
          <w:rFonts w:hint="eastAsia" w:ascii="仿宋" w:hAnsi="仿宋" w:eastAsia="仿宋" w:cs="仿宋"/>
          <w:sz w:val="32"/>
          <w:szCs w:val="32"/>
          <w:lang w:val="en-US" w:eastAsia="zh-CN"/>
        </w:rPr>
        <w:t>根据项目执行情况和项目绩效情况，总得分为95分，项目综合绩效评价为优秀。</w:t>
      </w:r>
    </w:p>
    <w:p w14:paraId="7A32E7A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14、石财教【2021】111号关于提前下达2022年省级“三馆一站”免费开放补助资金项目实施单位为藁城区文化广电体育和旅游局，年初预算安排7.5万，到年底按照绩效要求全部支出完成，预算执行率达到100%，15个文化站全年免费开放，每个文化站补助资金0.5万元，文化站免费开放满足群众精神文化需求，为群众提供良好的文化活动场所，受到广大群众的充分认可。根据项目执行情况和项目绩效情况，总得分为95分，项目综合绩效评价为优秀。</w:t>
      </w:r>
    </w:p>
    <w:p w14:paraId="28418A12">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石财教【2021】88号关于提前下达2022年中央非物质文化遗产保护资金-耿村民间故事项目实施单位为藁城区文化广电体育和旅游局，年初预算安排7.5万，到年底按照绩效要求全部支出完成，预算执行率达到100%。举办耿村民间故事展演等活动2场，完成传承人抢救性记录拍摄，拍摄成本控制在预算范围内，群众满意度达到95%。根据项目执行情况和项目绩效情况，总得分为95分，项目综合绩效评价为优秀。</w:t>
      </w:r>
    </w:p>
    <w:p w14:paraId="59EDD3D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16、石财教【2021】89号关于提前下达2022年中央补助地方美术馆公共图书馆文化站免费开放资金实施单位为藁城区文化广电体育和旅游局，年初预算安排45万，到年底按照绩效要求全部支出完成，预算执行率达到100%，15个文化站全年免费开放，每个文化站补助资金3万元，文化站免费开放满足群众精神文化需求，为群众提供良好的文化活动场所，受到广大群众的充分认可。根据项目执行情况和项目绩效情况，总得分为95分，项目综合绩效评价为优秀。</w:t>
      </w:r>
    </w:p>
    <w:p w14:paraId="51AA2F99">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17、石财教【2022】52号下达2022年市级非物质文化遗产保护专项资金项目实施单位为藁城区文化广电体育和旅游局，年初预算安排8.1万，到年底按照绩效要求全部支出完成，预算执行率达到100%，补助市级非物质文化遗产传承人9人，严格按照计划时间支付非遗传承人补助。通过非遗宣传活动的举办提高了群众对非遗文化的了解程度。根据项目执行情况和项目绩效情况，总得分为95分，项目综合绩效评价为优秀。</w:t>
      </w:r>
    </w:p>
    <w:p w14:paraId="61610A6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18、石财教【2022】68号关于下达2022年中央补助地方公共文化服务体系建设资金项目实施单位为藁城区文化广电体育和旅游局，年初预算安排56.72万，到年底按照绩效要求全部支出完成，预算执行率达到100%，平均每村电影放映1场，举办形式多样的文化活动，基本公共文化服务水平稳步提升，根据项目执行情况和项目绩效情况，总得分为95分，项目综合绩效评价为优秀。</w:t>
      </w:r>
    </w:p>
    <w:p w14:paraId="1159CCD2">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19、石财教【2022】72号市级公共文化服务体系建设专项资金（文化站免费开放）项目实施单位为藁城区文化广电体育和旅游局，年初预算安排7.5万，到年底按照绩效要求全部支出完成，预算执行率达到100%，15个文化站全年免费开放，每个文化站补助资金0.5万元，文化站免费开放满足群众精神文化需求，为群众提供良好的文化活动场所，受到广大群众的充分认可。根据项目执行情况和项目绩效情况，总得分为95分，项目综合绩效评价为优秀。</w:t>
      </w:r>
    </w:p>
    <w:p w14:paraId="0D33138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石财教【2022】72号市级公共文化服务体系建设专项资金（一般项目）项目实施单位为藁城区文化广电体育和旅游局，年初预算安排7.35万，到年底按照绩效要求全部支出完成，预算执行率达到100%。举办文化下乡活动20场，文化活动安全举办率达100%，活动全部按期举办，举办丰富文化活动有利于吩咐文化生活。根据项目执行情况和项目绩效情况，总得分为95分，项目综合绩效评价为优秀。</w:t>
      </w:r>
    </w:p>
    <w:p w14:paraId="160E276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21、石财教【2022】82号2022年省级文物保护专项资金项目实施单位为藁城区文化广电体育和旅游局，年初预算安排102万，资金年底下达，下达较晚，结转到下年支出。</w:t>
      </w:r>
    </w:p>
    <w:p w14:paraId="13380CB5">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22、四明楼管理经费项目实施单位为藁城区文化广电体育和旅游局，年初预算安排9.999116万，到年底按照绩效要求全部支出完成，预算执行率达到100%，聘用管理清洁人员两人，四明楼未发生安全事故，基础设施管理维护及时，提高了四明楼知名度，吸引了更多文化活动在四明楼举办。根据项目执行情况和项目绩效情况，总得分为95分，项目综合绩效评价为优秀。</w:t>
      </w:r>
    </w:p>
    <w:p w14:paraId="19C25E0B">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23、体育惠民工程项目实施单位为藁城区文化广电体育和旅游局，年初预算安排146.6228万，到年底按照绩效要求全部支出完成，预算执行率达到100%。完成2000米健身步道建设，推动文化体育事业发展，群众满意度达90%，根据项目执行情况和项目绩效情况，总得分为95分，项目综合绩效评价为优秀。</w:t>
      </w:r>
    </w:p>
    <w:p w14:paraId="2D25B00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24、现代食品产业园考古调查和文物影响评估经费项目实施单位为藁城区文化广电体育和旅游局，年初预算安排27.1万，到年底按照绩效要求全部支出完成，预算执行率达到100%。对石家庄市现代食品产业园进行了文物调查和勘探，形成了评估报告。通过文物调查和考古勘探，加大文物保护力度。根据项目执行情况和项目绩效情况，总得分为95分，项目综合绩效评价为优秀。</w:t>
      </w:r>
    </w:p>
    <w:p w14:paraId="585754A4">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25、智慧图书馆建设资金实施单位为藁城区文化广电体育和旅游局，年初预算安排25.021万，到年底按照绩效要求全部支出完成，预算执行率达到100%。完成智慧图书馆建设尾款支付，提供阅读场所，推动全民阅读，提升文化服务水平。根据项目执行情况和项目绩效情况，总得分为95分，项目综合绩效评价为优秀。</w:t>
      </w:r>
    </w:p>
    <w:p w14:paraId="48DA3B7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26、智慧图书馆运营管理费实施单位为藁城区文化广电体育和旅游局，年初预算安排25万，到年底按照绩效要求全部支出完成，预算执行率达到100%。运营管理智慧图书馆5座，及时支付智慧图书馆水电费用，群众借阅率显著提高。根据项目执行情况和项目绩效情况，总得分为95分，项目综合绩效评价为优秀。</w:t>
      </w:r>
    </w:p>
    <w:p w14:paraId="2A2BE6E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27、专项债券付息支出</w:t>
      </w:r>
      <w:r>
        <w:rPr>
          <w:rFonts w:hint="eastAsia" w:ascii="仿宋" w:hAnsi="仿宋" w:eastAsia="仿宋"/>
          <w:sz w:val="32"/>
          <w:szCs w:val="32"/>
          <w:lang w:val="en-US" w:eastAsia="zh-CN"/>
        </w:rPr>
        <w:t>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943.6万，到年底按照绩效要求全部支出完成，预算执行率达到100%。按照债券付息时间要求完成2022年新增债券付息，完成率100%，有利于提高公信力，公众满意度达到95%。</w:t>
      </w:r>
      <w:r>
        <w:rPr>
          <w:rFonts w:hint="eastAsia" w:ascii="仿宋" w:hAnsi="仿宋" w:eastAsia="仿宋" w:cs="仿宋"/>
          <w:sz w:val="32"/>
          <w:szCs w:val="32"/>
          <w:lang w:val="en-US" w:eastAsia="zh-CN"/>
        </w:rPr>
        <w:t>根据项目执行情况和项目绩效情况，总得分为95分，项目综合绩效评价为优秀。</w:t>
      </w:r>
    </w:p>
    <w:p w14:paraId="0631C9D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28、自收自支人员工资、社保费项目实施单位为藁城区文化广电体育和旅游局，年初预算安排4.026万，资金到位4.026万元。到年底按照绩效要求全部支出完成，预算执行率达到100%，项目资金来源为本单位罚没收入和房租收入，发放工资人数1人，发放覆盖率达到100%，能够提高单位自收自支人员的工作积极性，可以长期满足自收自支人员工作和生活需求，根据项目执行情况和项目绩效情况，总得分为95分，项目综合绩效评价为优秀。</w:t>
      </w:r>
    </w:p>
    <w:p w14:paraId="77B2CEA0">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29、综合体育馆项目两案一书报告费</w:t>
      </w:r>
      <w:r>
        <w:rPr>
          <w:rFonts w:hint="eastAsia" w:ascii="仿宋" w:hAnsi="仿宋" w:eastAsia="仿宋"/>
          <w:sz w:val="32"/>
          <w:szCs w:val="32"/>
          <w:lang w:val="en-US" w:eastAsia="zh-CN"/>
        </w:rPr>
        <w:t>项目</w:t>
      </w:r>
      <w:r>
        <w:rPr>
          <w:rFonts w:hint="eastAsia" w:ascii="仿宋" w:hAnsi="仿宋" w:eastAsia="仿宋"/>
          <w:sz w:val="32"/>
          <w:szCs w:val="32"/>
          <w:lang w:eastAsia="zh-CN"/>
        </w:rPr>
        <w:t>实施单位为藁城区文化广电体育和旅游局，年初预算安排</w:t>
      </w:r>
      <w:r>
        <w:rPr>
          <w:rFonts w:hint="eastAsia" w:ascii="仿宋" w:hAnsi="仿宋" w:eastAsia="仿宋"/>
          <w:sz w:val="32"/>
          <w:szCs w:val="32"/>
          <w:lang w:val="en-US" w:eastAsia="zh-CN"/>
        </w:rPr>
        <w:t>10万，到年底按照绩效要求全部支出完成，预算执行率达到100%。完成两案一书报告费用支付，争取债券资金，推动综合体育馆项目。</w:t>
      </w:r>
      <w:r>
        <w:rPr>
          <w:rFonts w:hint="eastAsia" w:ascii="仿宋" w:hAnsi="仿宋" w:eastAsia="仿宋" w:cs="仿宋"/>
          <w:sz w:val="32"/>
          <w:szCs w:val="32"/>
          <w:lang w:val="en-US" w:eastAsia="zh-CN"/>
        </w:rPr>
        <w:t>根据项目执行情况和项目绩效情况，总得分为95分，项目综合绩效评价为优秀。</w:t>
      </w:r>
    </w:p>
    <w:p w14:paraId="24A2918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30、免费开放地方配套资金（图书馆）项目实施单位为藁城区图书馆，资金投入资金6.5万元，到年底按照绩效要求全部支出完成，预算执行率达到100%。公共文化服务项目覆盖的常住人口数达80%，图书馆实行免费开放,通过组织文化活动、讲座等及不断提高图书馆的影响力,为广大读者提供更好的服务。总得分为92分，绩效等级为优秀。</w:t>
      </w:r>
    </w:p>
    <w:p w14:paraId="23EDEB82">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31、石财教[2021]89号关于提前下达2022年中央补助地方美术馆公共图书馆文化馆站免费开放补助资金实施单位为藁城区图书馆，项目投入资金12万元。到年底按照绩效要求全部支出完成，预算执行率达到100%。年度图书馆开放达标率达到90%以上，群众参与较上年增长5%，免费开放水平稳步提升。总得分为93分，绩效等级为优秀。</w:t>
      </w:r>
    </w:p>
    <w:p w14:paraId="322F999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32、石财教【2021】111号关于提前下达2022年省级“三馆一站”免费开放补助资金实施单位为藁城区图书馆，主要用于公共图书馆免费开放后正常运转并提供基本公共文化服务，项目投入资金2万元。到年底按照绩效要求全部支出完成，预算执行率达到100%。图书馆全部免费向社会公众开放，并且开放水平稳步提升，丰富了群众文化生活，总得分为91分，绩效等级为优秀。</w:t>
      </w:r>
    </w:p>
    <w:p w14:paraId="3F92B2C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33、石财教【2022】72号市级图书馆免费开放实施单位为藁城区图书馆，项目投入资金2万元。到年底支出0.8万，剩余资金结转至下年，预算执行率达到40%。全民阅读率达到80%以上，公共文化服务设施覆盖率达到80%以上，文化基本服务水平稳步提升。总得分为85分，绩效等级为优秀。</w:t>
      </w:r>
    </w:p>
    <w:p w14:paraId="7089301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34、图书馆图书购置费实施单位为藁城区图书馆，项目投入资金10万元。到年底按照绩效要求全部支出完成，预算执行率达到100%。按照规定的购得图书2000余册超过要求，满足广大读者的文化需求。对此项目绩效进行了客观、公正的评价,年度绩效指标总分为92分，为优秀。</w:t>
      </w:r>
    </w:p>
    <w:p w14:paraId="08BBC014">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35、图书馆业务管理经费实施单位为藁城区图书馆，主要用于补充办公经费, 改善基层公共文化设条件，满足广大人民群众公共文化服务需求，项目预算资金2.16万，预算执行率达到100%，资金到位及时、财务管理制度健全、资金使用合理。项目质量可控，社会效益明显，读者满意度高。对此项目绩效进行了客观、公正的评价,总得分为91分，绩效等级为优秀。</w:t>
      </w:r>
    </w:p>
    <w:p w14:paraId="4626490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36、2022年藁城区春节晚会经费实施单位为藁城区文化馆，预算金额为10万元，预算执行率达到100%，组织系列文化活动一场，群众活动参与率达到90%，有助于传播藁城文化。绩效得分为95分，绩效等级为优秀。</w:t>
      </w:r>
    </w:p>
    <w:p w14:paraId="59A73FFA">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37、免费开放地方配套资金（文化馆）实施单位为藁城区文化馆，预算金额为6.5万元，预算执行率达到100%，文化演出场次13以上，完成所有开馆服务，基本公共文化服务覆盖人数达到80%，对全区宣传文化事业发展的促进推动作用，绩效得分为91分，绩效等级为优秀。</w:t>
      </w:r>
    </w:p>
    <w:p w14:paraId="2420DBAF">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38、石财教[2021]89号关于提前下达2022年中央补助地方美术馆公共图书馆文化馆站免费开放补助资金实施单位为藁城区文化馆，年初预算金额为12万元，到年底支出9.205302万元，预算执行率达到77%，免费开放时间达到80%以上，切实做到文化为民、文化惠民。绩效指标绩效得分为91分，绩效等级为优秀。</w:t>
      </w:r>
    </w:p>
    <w:p w14:paraId="528061DB">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39、石财教【2021】111号关于提前下达2022年省级“三馆一站”免费开放补助资金实施单位为藁城区文化馆，预算金额为2万元，预算执行率达到100%，基本公共文化覆盖率达到80%以上，群众文化活动参与率达到80%以上，文化活动按期完成，绩效得分为90分，绩效等级为优秀。</w:t>
      </w:r>
    </w:p>
    <w:p w14:paraId="386D339E">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40、石财教【2021】88号关于提前下达2022年中央非物质文化遗产保护资金（传承人传习）实施单位为藁城区文化馆，完成非物质文化遗产管理和保护工作。预算金额为2万元，预算执行率达到100%，补助1位国家级非遗传承人，当年非物质文化遗产保护工作基本完成。绩效指标绩效得分为91分，绩效等级为优秀。</w:t>
      </w:r>
    </w:p>
    <w:p w14:paraId="2A9661DB">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41、石财教【2022】72号市级文化馆免费开放实施单位为藁城区文化馆，年初预算金额为2万元，预算执行率达到100%，用于支持地方提供基本公共文化服务，加强基层公共文化服务人才队伍建设，公共文化服务覆盖率达到80%，群众参与率达到80%，绩效指标绩效得分为92分，绩效等级为优秀。</w:t>
      </w:r>
    </w:p>
    <w:p w14:paraId="5DDFD094">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42、文物保管工作经费主要由藁城区文物保管所实施，财政拨付5万元用于文物保管的发展。预算执行率达到100%。该项目的建设是为了馆藏文物和野外文物的保护、管理和研究，改善文物保护管理与环境。各项目都在规定的时限内完成。文物安全巡查次数实际完成62次，文物保护管理环境提升80%，文物看护费发放率100%，给出总得分为95分，得出综合评价结论和项目综合绩效评价等级为优秀。</w:t>
      </w:r>
    </w:p>
    <w:p w14:paraId="2A4C95C6">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43、2022年省级旅游发展专项资金实施单位为藁城区旅游业管理中心，预算资金5万，预算执行率100%，新建旅游厕所两个，旅游业接待人次4.9万，提升了旅游接待水平和旅游服务质量。指标体系得分94分，绩效评价等级为优秀。</w:t>
      </w:r>
    </w:p>
    <w:p w14:paraId="0A539F9E">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44、2022年省级旅游发展专项资金（文旅行业纾困振兴）实施单位为藁城区旅游业管理中心，预算资金10万，预算执行率100%，文旅行业纾困振兴的数量1个，促进旅游景区发展。指标体系得分90分，绩效评价等级为优秀。</w:t>
      </w:r>
    </w:p>
    <w:p w14:paraId="69DB5013">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45、2022年市级旅游重点项目引导资金由藁城区旅游业管理中心实施，项目资金共计45万元，预算执行率100%。建旅游厕所2座、游客服务中心、交通标识牌等提高了旅游公共服务水平，</w:t>
      </w:r>
      <w:r>
        <w:rPr>
          <w:rFonts w:hint="eastAsia" w:ascii="仿宋_GB2312" w:eastAsia="仿宋_GB2312"/>
          <w:sz w:val="32"/>
          <w:szCs w:val="32"/>
          <w:lang w:val="en-US" w:eastAsia="zh-CN"/>
        </w:rPr>
        <w:t>提升我区</w:t>
      </w:r>
      <w:r>
        <w:rPr>
          <w:rFonts w:hint="eastAsia" w:ascii="仿宋_GB2312" w:eastAsia="仿宋_GB2312"/>
          <w:sz w:val="32"/>
          <w:szCs w:val="32"/>
        </w:rPr>
        <w:t>旅游</w:t>
      </w:r>
      <w:r>
        <w:rPr>
          <w:rFonts w:hint="eastAsia" w:ascii="仿宋_GB2312" w:eastAsia="仿宋_GB2312"/>
          <w:sz w:val="32"/>
          <w:szCs w:val="32"/>
          <w:lang w:val="en-US" w:eastAsia="zh-CN"/>
        </w:rPr>
        <w:t>接待水平，提高我区旅游资源的知名度和美誉度。</w:t>
      </w:r>
      <w:r>
        <w:rPr>
          <w:rFonts w:hint="eastAsia" w:ascii="仿宋" w:hAnsi="仿宋" w:eastAsia="仿宋" w:cs="仿宋"/>
          <w:sz w:val="32"/>
          <w:szCs w:val="32"/>
          <w:lang w:val="en-US" w:eastAsia="zh-CN"/>
        </w:rPr>
        <w:t>给出总得分为96分，综合绩效评价等级为优秀。</w:t>
      </w:r>
    </w:p>
    <w:p w14:paraId="21B97130">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46、办公用房租赁费项目实施单位为藁城区旅游业管理中心，项目资金共计4.5万元，项目完成率年度指标值为100%，资金要全部用于年度租赁费，完成情况为100%。给出总得分为95分，综合绩效评价等级为优秀。</w:t>
      </w:r>
    </w:p>
    <w:p w14:paraId="3B2B97CD">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47、旅游业管理中心劳务费由藁城区旅游业管理中心实施。项目资金共计41.8万元，项目完成率年度指标值为100%，资金全部用于职工工资，完成情况为100%。给出总得分为94分，项目综合绩效评价等级为优秀。</w:t>
      </w:r>
    </w:p>
    <w:p w14:paraId="67B2BFD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48、旅游业管理中心职工养老金主要由藁城区旅游业管理中心实施。财政拨付旅游业管理中心14.208184万元，该项目为了解决职工养老问题，维护社会稳定，调动职工积极性，项目完成率年度指标值为100%。给出总得分为93分，项目综合绩效评价等级为优秀。</w:t>
      </w:r>
    </w:p>
    <w:p w14:paraId="2BC646D0">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6CEFBAAD">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严格按照预算项目绩效自评管理办法，及时开展项目落实，为全年工作的开展提供了保障，但还是存在绩效</w:t>
      </w:r>
      <w:r>
        <w:rPr>
          <w:rFonts w:hint="eastAsia" w:ascii="仿宋" w:hAnsi="仿宋" w:eastAsia="仿宋" w:cs="仿宋"/>
          <w:sz w:val="32"/>
          <w:szCs w:val="32"/>
          <w:lang w:eastAsia="zh-CN"/>
        </w:rPr>
        <w:t>制</w:t>
      </w:r>
      <w:r>
        <w:rPr>
          <w:rFonts w:hint="eastAsia" w:ascii="仿宋" w:hAnsi="仿宋" w:eastAsia="仿宋" w:cs="仿宋"/>
          <w:sz w:val="32"/>
          <w:szCs w:val="32"/>
        </w:rPr>
        <w:t>度不健全、绩效管理质量不高、年初预算偏差过大的问题，以后将从以下几个方面加强绩效管理:</w:t>
      </w:r>
    </w:p>
    <w:p w14:paraId="7F1F77C1">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_GB2312"/>
          <w:sz w:val="32"/>
          <w:szCs w:val="32"/>
          <w:lang w:eastAsia="zh-CN"/>
        </w:rPr>
        <w:t>一是细化预算编制工作。进一步强化单位预算管理意识，严格按照预算编制的相关制度和要求，公用经费根据单位的年度工作重点和项目专项工作规划，本着</w:t>
      </w:r>
      <w:r>
        <w:rPr>
          <w:rFonts w:hint="default" w:ascii="仿宋" w:hAnsi="仿宋" w:eastAsia="仿宋" w:cs="仿宋_GB2312"/>
          <w:sz w:val="32"/>
          <w:szCs w:val="32"/>
          <w:lang w:eastAsia="zh-CN"/>
        </w:rPr>
        <w:t>“勤俭节约、保障运转”的原则进行预算的编制。编制范围尽可能的全面、完整，进一步提高预算编制的科学性、合理性、严谨性和可控性，尽最大可能减少预决算执行差异。</w:t>
      </w:r>
    </w:p>
    <w:p w14:paraId="723D8C7B">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仿宋" w:hAnsi="仿宋" w:eastAsia="仿宋" w:cs="仿宋_GB2312"/>
          <w:sz w:val="32"/>
          <w:szCs w:val="32"/>
          <w:lang w:eastAsia="zh-CN"/>
        </w:rPr>
        <w:t>二是</w:t>
      </w:r>
      <w:r>
        <w:rPr>
          <w:rFonts w:hint="default" w:ascii="仿宋" w:hAnsi="仿宋" w:eastAsia="仿宋" w:cs="仿宋_GB2312"/>
          <w:sz w:val="32"/>
          <w:szCs w:val="32"/>
          <w:lang w:eastAsia="zh-CN"/>
        </w:rPr>
        <w:t>强化绩效管理意识。进一步强化绩效理念，将绩效管理理念贯穿于资金分配到资金使用全过程，加大资金整合力度，强化专项资金管理，把有限的资金用在刀刃上，提高财政资金使用效益。同时，抓好内控制度建设，进一步降低行政成本，确保资金安全。</w:t>
      </w:r>
    </w:p>
    <w:p w14:paraId="4C28DB18">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是加强绩效制度建设。完善绩效管理和评价制度，加强预算编制的前瞻性。编制预算时充分考虑本部门的发展规划，结合上一年度预算执行情况和本年度预算收支变化因素，科学、合理地编制预算草案。</w:t>
      </w:r>
      <w:r>
        <w:rPr>
          <w:rFonts w:hint="eastAsia" w:ascii="仿宋" w:hAnsi="仿宋" w:eastAsia="仿宋" w:cs="仿宋"/>
          <w:sz w:val="32"/>
          <w:szCs w:val="32"/>
          <w:lang w:eastAsia="zh-CN"/>
        </w:rPr>
        <w:t>项目绩效评价指标设置多样化，易于实施评价。</w:t>
      </w:r>
    </w:p>
    <w:p w14:paraId="286513EC">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四</w:t>
      </w:r>
      <w:r>
        <w:rPr>
          <w:rFonts w:hint="eastAsia" w:ascii="仿宋" w:hAnsi="仿宋" w:eastAsia="仿宋" w:cs="仿宋"/>
          <w:sz w:val="32"/>
          <w:szCs w:val="32"/>
        </w:rPr>
        <w:t>是强化绩效目标管理。把绩效目标作为项目实施的前置条件，提高资金使用的合理性和科学性。严格按各项法律、法规、规章制度执行财务核算，尽可能地做到决算与预算相互街接。</w:t>
      </w:r>
    </w:p>
    <w:p w14:paraId="118EFE7B">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b w:val="0"/>
          <w:bCs w:val="0"/>
          <w:sz w:val="32"/>
          <w:szCs w:val="32"/>
        </w:rPr>
      </w:pPr>
      <w:r>
        <w:rPr>
          <w:rFonts w:hint="eastAsia" w:ascii="仿宋" w:hAnsi="仿宋" w:eastAsia="仿宋" w:cs="仿宋"/>
          <w:sz w:val="32"/>
          <w:szCs w:val="32"/>
          <w:lang w:eastAsia="zh-CN"/>
        </w:rPr>
        <w:t>五</w:t>
      </w:r>
      <w:r>
        <w:rPr>
          <w:rFonts w:hint="eastAsia" w:ascii="仿宋" w:hAnsi="仿宋" w:eastAsia="仿宋" w:cs="仿宋"/>
          <w:sz w:val="32"/>
          <w:szCs w:val="32"/>
        </w:rPr>
        <w:t>是加强绩效运行监管。加强重大项目的事前、事中、事后监督管理，</w:t>
      </w:r>
      <w:r>
        <w:rPr>
          <w:rFonts w:hint="eastAsia" w:ascii="仿宋" w:hAnsi="仿宋" w:eastAsia="仿宋" w:cs="仿宋"/>
          <w:sz w:val="32"/>
          <w:szCs w:val="32"/>
          <w:lang w:eastAsia="zh-CN"/>
        </w:rPr>
        <w:t>加强项目实施各部门沟通联系，</w:t>
      </w:r>
      <w:r>
        <w:rPr>
          <w:rFonts w:hint="eastAsia" w:ascii="仿宋" w:hAnsi="仿宋" w:eastAsia="仿宋" w:cs="仿宋"/>
          <w:sz w:val="32"/>
          <w:szCs w:val="32"/>
        </w:rPr>
        <w:t>将资金同项目实施质量挂钩，提升资金的使用效能。</w:t>
      </w:r>
    </w:p>
    <w:p w14:paraId="065C9AA2">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14:paraId="47169805">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史彦伟</w:t>
      </w:r>
      <w:r>
        <w:rPr>
          <w:rFonts w:hint="eastAsia" w:ascii="仿宋" w:hAnsi="仿宋" w:eastAsia="仿宋"/>
          <w:sz w:val="32"/>
          <w:szCs w:val="32"/>
          <w:lang w:val="en-US" w:eastAsia="zh-CN"/>
        </w:rPr>
        <w:t xml:space="preserve">  文广体旅局党组书记</w:t>
      </w:r>
    </w:p>
    <w:p w14:paraId="23E77A16">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李</w:t>
      </w: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冰</w:t>
      </w:r>
      <w:r>
        <w:rPr>
          <w:rFonts w:hint="eastAsia" w:ascii="仿宋" w:hAnsi="仿宋" w:eastAsia="仿宋"/>
          <w:sz w:val="32"/>
          <w:szCs w:val="32"/>
          <w:lang w:val="en-US" w:eastAsia="zh-CN"/>
        </w:rPr>
        <w:t xml:space="preserve">  文广体旅局党组成员、副局长</w:t>
      </w:r>
    </w:p>
    <w:p w14:paraId="53FC6A3C">
      <w:pPr>
        <w:widowControl w:val="0"/>
        <w:wordWrap/>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剧军巧  文广体旅局办公室主任</w:t>
      </w:r>
    </w:p>
    <w:p w14:paraId="712EB5BE">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16EB8">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922A2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E922A2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5AA09">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C2D6578"/>
    <w:rsid w:val="13B61930"/>
    <w:rsid w:val="184C01F9"/>
    <w:rsid w:val="1BAF1154"/>
    <w:rsid w:val="1C655171"/>
    <w:rsid w:val="20276775"/>
    <w:rsid w:val="241E669D"/>
    <w:rsid w:val="3AEF6FE7"/>
    <w:rsid w:val="45A510D5"/>
    <w:rsid w:val="493B718D"/>
    <w:rsid w:val="4BBC0B44"/>
    <w:rsid w:val="53A42ADD"/>
    <w:rsid w:val="59E251D7"/>
    <w:rsid w:val="5C4A315B"/>
    <w:rsid w:val="62A140BE"/>
    <w:rsid w:val="661D3074"/>
    <w:rsid w:val="695A0D08"/>
    <w:rsid w:val="6BDE7164"/>
    <w:rsid w:val="788E307E"/>
    <w:rsid w:val="7FD022E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character" w:customStyle="1" w:styleId="9">
    <w:name w:val="content_text1"/>
    <w:basedOn w:val="6"/>
    <w:qFormat/>
    <w:uiPriority w:val="0"/>
    <w:rPr>
      <w:rFonts w:hint="default" w:ascii="ˎ̥" w:hAnsi="ˎ̥"/>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17</Pages>
  <Words>9406</Words>
  <Characters>10028</Characters>
  <Lines>3</Lines>
  <Paragraphs>1</Paragraphs>
  <TotalTime>1</TotalTime>
  <ScaleCrop>false</ScaleCrop>
  <LinksUpToDate>false</LinksUpToDate>
  <CharactersWithSpaces>10039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2024-09-19T11:08:50Z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39E063486E5949CF8C87601A9498F83F_12</vt:lpwstr>
  </property>
</Properties>
</file>