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color w:val="auto"/>
          <w:kern w:val="0"/>
          <w:sz w:val="44"/>
          <w:szCs w:val="44"/>
          <w:lang w:val="en-US" w:eastAsia="zh-CN"/>
        </w:rPr>
      </w:pPr>
      <w:r>
        <w:rPr>
          <w:rFonts w:hint="eastAsia" w:ascii="方正小标宋简体" w:hAnsi="方正小标宋简体" w:eastAsia="方正小标宋简体" w:cs="方正小标宋简体"/>
          <w:b w:val="0"/>
          <w:bCs w:val="0"/>
          <w:color w:val="auto"/>
          <w:kern w:val="0"/>
          <w:sz w:val="44"/>
          <w:szCs w:val="44"/>
          <w:lang w:val="en-US" w:eastAsia="zh-CN"/>
        </w:rPr>
        <w:t>中共石家庄市藁城区委宣传部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kern w:val="0"/>
          <w:sz w:val="44"/>
          <w:szCs w:val="44"/>
        </w:rPr>
        <w:t>部门年度</w:t>
      </w:r>
      <w:r>
        <w:rPr>
          <w:rFonts w:hint="eastAsia" w:ascii="方正小标宋简体" w:hAnsi="方正小标宋简体" w:eastAsia="方正小标宋简体" w:cs="方正小标宋简体"/>
          <w:b w:val="0"/>
          <w:bCs w:val="0"/>
          <w:color w:val="auto"/>
          <w:kern w:val="0"/>
          <w:sz w:val="44"/>
          <w:szCs w:val="44"/>
          <w:lang w:eastAsia="zh-CN"/>
        </w:rPr>
        <w:t>整体支出</w:t>
      </w:r>
      <w:r>
        <w:rPr>
          <w:rFonts w:hint="eastAsia" w:ascii="方正小标宋简体" w:hAnsi="方正小标宋简体" w:eastAsia="方正小标宋简体" w:cs="方正小标宋简体"/>
          <w:b w:val="0"/>
          <w:bCs w:val="0"/>
          <w:color w:val="auto"/>
          <w:sz w:val="44"/>
          <w:szCs w:val="44"/>
        </w:rPr>
        <w:t>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ascii="仿宋" w:hAnsi="仿宋" w:eastAsia="仿宋" w:cs="仿宋"/>
          <w:b/>
          <w:color w:val="auto"/>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rPr>
        <w:t>一、</w:t>
      </w:r>
      <w:r>
        <w:rPr>
          <w:rFonts w:hint="eastAsia" w:ascii="黑体" w:hAnsi="黑体" w:eastAsia="黑体" w:cs="黑体"/>
          <w:color w:val="auto"/>
          <w:sz w:val="32"/>
          <w:szCs w:val="32"/>
          <w:lang w:eastAsia="zh-CN"/>
        </w:rPr>
        <w:t>部门基本情况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中共石家庄市藁城区委员会宣传部为区委主管意识形态方面工作的职能部门，</w:t>
      </w:r>
      <w:r>
        <w:rPr>
          <w:rFonts w:hint="eastAsia" w:ascii="仿宋_GB2312" w:hAnsi="仿宋_GB2312" w:eastAsia="仿宋_GB2312" w:cs="仿宋_GB2312"/>
          <w:i w:val="0"/>
          <w:iCs w:val="0"/>
          <w:caps w:val="0"/>
          <w:color w:val="auto"/>
          <w:spacing w:val="0"/>
          <w:sz w:val="32"/>
          <w:szCs w:val="32"/>
        </w:rPr>
        <w:t>设有办公室、理论教育股、新闻股、宣传股、外宣股、文明创建股、国防教育办公室等股室，下辖股级事业单位藁城区新时代文明实践指导中心。</w:t>
      </w:r>
      <w:r>
        <w:rPr>
          <w:rFonts w:hint="eastAsia" w:ascii="仿宋_GB2312" w:hAnsi="仿宋_GB2312" w:eastAsia="仿宋_GB2312" w:cs="仿宋_GB2312"/>
          <w:i w:val="0"/>
          <w:iCs w:val="0"/>
          <w:caps w:val="0"/>
          <w:color w:val="auto"/>
          <w:spacing w:val="0"/>
          <w:sz w:val="32"/>
          <w:szCs w:val="32"/>
          <w:lang w:eastAsia="zh-CN"/>
        </w:rPr>
        <w:t>分管事业单位梅花惨案纪念馆。</w:t>
      </w:r>
      <w:r>
        <w:rPr>
          <w:rFonts w:hint="eastAsia" w:ascii="仿宋_GB2312" w:hAnsi="仿宋_GB2312" w:eastAsia="仿宋_GB2312" w:cs="仿宋_GB2312"/>
          <w:color w:val="auto"/>
          <w:sz w:val="32"/>
          <w:szCs w:val="32"/>
          <w:lang w:val="en-US" w:eastAsia="zh-CN"/>
        </w:rPr>
        <w:t>部门收入全部为财政资金，我部门严格按照财政收支管理规定全部支出专项资金。</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rPr>
        <w:t>二、绩效</w:t>
      </w:r>
      <w:r>
        <w:rPr>
          <w:rFonts w:hint="eastAsia" w:ascii="黑体" w:hAnsi="黑体" w:eastAsia="黑体" w:cs="黑体"/>
          <w:color w:val="auto"/>
          <w:sz w:val="32"/>
          <w:szCs w:val="32"/>
          <w:lang w:eastAsia="zh-CN"/>
        </w:rPr>
        <w:t>自评工作开展</w:t>
      </w:r>
      <w:r>
        <w:rPr>
          <w:rFonts w:hint="eastAsia" w:ascii="黑体" w:hAnsi="黑体" w:eastAsia="黑体" w:cs="黑体"/>
          <w:color w:val="auto"/>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藁城区委宣传部成立了由副部长张建岗任组长、副部长赵志斌任副组长，部务会成员为成员的绩效自评工作小组，通过实地查看、核对账务对2022年项目资金的收入、支出、日常财务管理等项目绩效实施情况作了系统、全面的评价。</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部门整体支出绩效目标实现情况及指标分析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202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val="en-US" w:eastAsia="zh-CN"/>
        </w:rPr>
        <w:t>区委宣传部紧扣学习宣传贯彻党的二十大精神工作主线，准确把握意识形态领域的形势任务。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1.发挥好各类宣传思想文化阵地作用，常态化开展理论宣讲工作，</w:t>
      </w:r>
      <w:r>
        <w:rPr>
          <w:rFonts w:hint="eastAsia" w:ascii="仿宋_GB2312" w:hAnsi="仿宋_GB2312" w:eastAsia="仿宋_GB2312" w:cs="仿宋_GB2312"/>
          <w:color w:val="auto"/>
          <w:sz w:val="32"/>
          <w:szCs w:val="32"/>
          <w:highlight w:val="none"/>
        </w:rPr>
        <w:t xml:space="preserve"> 持续深化“六进”工作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持续兴起学习宣传党的二十大精神热潮。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2.不断挖掘各行各业“撸起袖子加油干、风雨无阻向前行”的生动实践，大力开展对上宣传报道，讲好藁城故事，为我区高质量发展营造良好的舆论氛围。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3.以志愿服务为抓手，深化拓展新时代文明实践工作和乡村“复兴少年宫”建设，实现乡村“复兴少年宫”全覆盖，宣传推广藁城经验。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4.全面繁荣文化活动，</w:t>
      </w:r>
      <w:r>
        <w:rPr>
          <w:rFonts w:hint="eastAsia" w:ascii="仿宋_GB2312" w:hAnsi="仿宋_GB2312" w:eastAsia="仿宋_GB2312" w:cs="仿宋_GB2312"/>
          <w:color w:val="auto"/>
          <w:sz w:val="32"/>
          <w:szCs w:val="32"/>
          <w:highlight w:val="none"/>
        </w:rPr>
        <w:t>抓好文艺精品工程，加大重点作品扶持力度，</w:t>
      </w:r>
      <w:r>
        <w:rPr>
          <w:rFonts w:hint="eastAsia" w:ascii="仿宋_GB2312" w:hAnsi="仿宋_GB2312" w:eastAsia="仿宋_GB2312" w:cs="仿宋_GB2312"/>
          <w:color w:val="auto"/>
          <w:sz w:val="32"/>
          <w:szCs w:val="32"/>
          <w:highlight w:val="none"/>
          <w:lang w:val="en-US" w:eastAsia="zh-CN"/>
        </w:rPr>
        <w:t>丰富人民群众精神文化生活,增强群众文化获得感。</w:t>
      </w:r>
      <w:r>
        <w:rPr>
          <w:rFonts w:hint="eastAsia" w:ascii="仿宋_GB2312" w:hAnsi="仿宋_GB2312" w:eastAsia="仿宋_GB2312" w:cs="仿宋_GB2312"/>
          <w:color w:val="auto"/>
          <w:sz w:val="32"/>
          <w:szCs w:val="32"/>
          <w:highlight w:val="none"/>
        </w:rPr>
        <w:t>深入开展“扫黄打非”</w:t>
      </w:r>
      <w:r>
        <w:rPr>
          <w:rFonts w:hint="eastAsia" w:ascii="仿宋_GB2312" w:hAnsi="仿宋_GB2312" w:eastAsia="仿宋_GB2312" w:cs="仿宋_GB2312"/>
          <w:color w:val="auto"/>
          <w:sz w:val="32"/>
          <w:szCs w:val="32"/>
          <w:highlight w:val="none"/>
          <w:lang w:val="en-US" w:eastAsia="zh-CN"/>
        </w:rPr>
        <w:t>工作，</w:t>
      </w:r>
      <w:r>
        <w:rPr>
          <w:rFonts w:hint="eastAsia" w:ascii="仿宋_GB2312" w:hAnsi="仿宋_GB2312" w:eastAsia="仿宋_GB2312" w:cs="仿宋_GB2312"/>
          <w:color w:val="auto"/>
          <w:sz w:val="32"/>
          <w:szCs w:val="32"/>
          <w:highlight w:val="none"/>
        </w:rPr>
        <w:t>确保文化市场健康发展。</w:t>
      </w:r>
    </w:p>
    <w:p>
      <w:pPr>
        <w:pStyle w:val="12"/>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持续巩固提升文明城市创建成果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针对性开展了“文明城市创建常态化十项提升行动”、“五大提升行动”、环境卫生大清理等活动，创新开展了“访千楼万家 创文明城市”大走访、“不文明行为随手拍”、“佩戴头盔  模范先行”环城宣传等活动</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规划</w:t>
      </w:r>
      <w:r>
        <w:rPr>
          <w:rFonts w:hint="eastAsia" w:ascii="仿宋_GB2312" w:hAnsi="仿宋_GB2312" w:eastAsia="仿宋_GB2312" w:cs="仿宋_GB2312"/>
          <w:color w:val="auto"/>
          <w:sz w:val="32"/>
          <w:szCs w:val="32"/>
          <w:highlight w:val="none"/>
          <w:lang w:val="en-US" w:eastAsia="zh-CN"/>
        </w:rPr>
        <w:t>纪念馆</w:t>
      </w:r>
      <w:r>
        <w:rPr>
          <w:rFonts w:hint="eastAsia" w:ascii="仿宋_GB2312" w:hAnsi="仿宋_GB2312" w:eastAsia="仿宋_GB2312" w:cs="仿宋_GB2312"/>
          <w:color w:val="auto"/>
          <w:sz w:val="32"/>
          <w:szCs w:val="32"/>
          <w:highlight w:val="none"/>
        </w:rPr>
        <w:t>参观路线，增加语音自助观展系统，对各参观点位讲解词生成语音二维码，参观者自助扫码观展，减少讲解员、工作人员与参观者的直接接触</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为减少实地参观带来的不便，将往年制作VR网上展馆添加至公众号，多场景、多角度、多方式还原展厅场景，共展示纪念馆内外30多处浏览场景，给网友带来沉浸式视觉体验</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评价结论和评价等级</w:t>
      </w:r>
    </w:p>
    <w:p>
      <w:pPr>
        <w:pStyle w:val="12"/>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通过2022年绩效自评，2022年年初绩效目标设定质量较好，</w:t>
      </w:r>
      <w:r>
        <w:rPr>
          <w:rFonts w:hint="eastAsia" w:ascii="仿宋_GB2312" w:hAnsi="仿宋_GB2312" w:eastAsia="仿宋_GB2312" w:cs="仿宋_GB2312"/>
          <w:color w:val="auto"/>
          <w:sz w:val="32"/>
          <w:szCs w:val="32"/>
        </w:rPr>
        <w:t>绩效目标设定</w:t>
      </w:r>
      <w:r>
        <w:rPr>
          <w:rFonts w:hint="eastAsia" w:ascii="仿宋_GB2312" w:hAnsi="仿宋_GB2312" w:eastAsia="仿宋_GB2312" w:cs="仿宋_GB2312"/>
          <w:color w:val="auto"/>
          <w:sz w:val="32"/>
          <w:szCs w:val="32"/>
          <w:lang w:val="en-US" w:eastAsia="zh-CN"/>
        </w:rPr>
        <w:t>比较</w:t>
      </w:r>
      <w:r>
        <w:rPr>
          <w:rFonts w:hint="eastAsia" w:ascii="仿宋_GB2312" w:hAnsi="仿宋_GB2312" w:eastAsia="仿宋_GB2312" w:cs="仿宋_GB2312"/>
          <w:color w:val="auto"/>
          <w:sz w:val="32"/>
          <w:szCs w:val="32"/>
        </w:rPr>
        <w:t>清晰准确，绩效指标</w:t>
      </w:r>
      <w:r>
        <w:rPr>
          <w:rFonts w:hint="eastAsia" w:ascii="仿宋_GB2312" w:hAnsi="仿宋_GB2312" w:eastAsia="仿宋_GB2312" w:cs="仿宋_GB2312"/>
          <w:color w:val="auto"/>
          <w:sz w:val="32"/>
          <w:szCs w:val="32"/>
          <w:lang w:val="en-US" w:eastAsia="zh-CN"/>
        </w:rPr>
        <w:t>比较</w:t>
      </w:r>
      <w:r>
        <w:rPr>
          <w:rFonts w:hint="eastAsia" w:ascii="仿宋_GB2312" w:hAnsi="仿宋_GB2312" w:eastAsia="仿宋_GB2312" w:cs="仿宋_GB2312"/>
          <w:color w:val="auto"/>
          <w:sz w:val="32"/>
          <w:szCs w:val="32"/>
        </w:rPr>
        <w:t>全面完整、科学合理，绩效标准</w:t>
      </w:r>
      <w:r>
        <w:rPr>
          <w:rFonts w:hint="eastAsia" w:ascii="仿宋_GB2312" w:hAnsi="仿宋_GB2312" w:eastAsia="仿宋_GB2312" w:cs="仿宋_GB2312"/>
          <w:color w:val="auto"/>
          <w:sz w:val="32"/>
          <w:szCs w:val="32"/>
          <w:lang w:val="en-US" w:eastAsia="zh-CN"/>
        </w:rPr>
        <w:t>比较</w:t>
      </w:r>
      <w:r>
        <w:rPr>
          <w:rFonts w:hint="eastAsia" w:ascii="仿宋_GB2312" w:hAnsi="仿宋_GB2312" w:eastAsia="仿宋_GB2312" w:cs="仿宋_GB2312"/>
          <w:color w:val="auto"/>
          <w:sz w:val="32"/>
          <w:szCs w:val="32"/>
        </w:rPr>
        <w:t>恰当适宜、易于评价</w:t>
      </w:r>
      <w:r>
        <w:rPr>
          <w:rFonts w:hint="eastAsia" w:ascii="仿宋_GB2312" w:hAnsi="仿宋_GB2312" w:eastAsia="仿宋_GB2312" w:cs="仿宋_GB2312"/>
          <w:color w:val="auto"/>
          <w:sz w:val="32"/>
          <w:szCs w:val="32"/>
          <w:lang w:eastAsia="zh-CN"/>
        </w:rPr>
        <w:t>。我部门</w:t>
      </w:r>
      <w:r>
        <w:rPr>
          <w:rFonts w:hint="eastAsia" w:ascii="仿宋_GB2312" w:hAnsi="仿宋_GB2312" w:eastAsia="仿宋_GB2312" w:cs="仿宋_GB2312"/>
          <w:color w:val="auto"/>
          <w:sz w:val="32"/>
          <w:szCs w:val="32"/>
        </w:rPr>
        <w:t>专项资金</w:t>
      </w:r>
      <w:r>
        <w:rPr>
          <w:rFonts w:hint="eastAsia" w:ascii="仿宋_GB2312" w:hAnsi="仿宋_GB2312" w:eastAsia="仿宋_GB2312" w:cs="仿宋_GB2312"/>
          <w:color w:val="auto"/>
          <w:sz w:val="32"/>
          <w:szCs w:val="32"/>
          <w:lang w:val="en-US" w:eastAsia="zh-CN"/>
        </w:rPr>
        <w:t>到位率和支出率均达到100%（接上级通知，</w:t>
      </w:r>
      <w:r>
        <w:rPr>
          <w:rFonts w:hint="eastAsia" w:ascii="仿宋_GB2312" w:hAnsi="仿宋_GB2312" w:eastAsia="仿宋_GB2312" w:cs="仿宋_GB2312"/>
          <w:color w:val="auto"/>
          <w:sz w:val="32"/>
          <w:szCs w:val="32"/>
          <w:lang w:val="en-US" w:eastAsia="zh-CN"/>
        </w:rPr>
        <w:t>复兴少年宫建设观摩交流活动</w:t>
      </w:r>
      <w:r>
        <w:rPr>
          <w:rFonts w:hint="eastAsia" w:ascii="仿宋_GB2312" w:hAnsi="仿宋_GB2312" w:eastAsia="仿宋_GB2312" w:cs="仿宋_GB2312"/>
          <w:color w:val="auto"/>
          <w:sz w:val="32"/>
          <w:szCs w:val="32"/>
          <w:lang w:val="en-US" w:eastAsia="zh-CN"/>
        </w:rPr>
        <w:t>未组织开展，财政部门收回项目资金），各</w:t>
      </w:r>
      <w:r>
        <w:rPr>
          <w:rFonts w:hint="eastAsia" w:ascii="仿宋_GB2312" w:hAnsi="仿宋_GB2312" w:eastAsia="仿宋_GB2312" w:cs="仿宋_GB2312"/>
          <w:color w:val="auto"/>
          <w:sz w:val="32"/>
          <w:szCs w:val="32"/>
        </w:rPr>
        <w:t>项目的预期绩效目标完成</w:t>
      </w:r>
      <w:r>
        <w:rPr>
          <w:rFonts w:hint="eastAsia" w:ascii="仿宋_GB2312" w:hAnsi="仿宋_GB2312" w:eastAsia="仿宋_GB2312" w:cs="仿宋_GB2312"/>
          <w:color w:val="auto"/>
          <w:sz w:val="32"/>
          <w:szCs w:val="32"/>
          <w:lang w:val="en-US" w:eastAsia="zh-CN"/>
        </w:rPr>
        <w:t>率在90%以上，评价结果为优秀。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color w:val="auto"/>
          <w:sz w:val="32"/>
          <w:szCs w:val="32"/>
        </w:rPr>
      </w:pPr>
      <w:r>
        <w:rPr>
          <w:rFonts w:hint="eastAsia" w:ascii="黑体" w:hAnsi="黑体" w:eastAsia="黑体" w:cs="黑体"/>
          <w:b w:val="0"/>
          <w:bCs w:val="0"/>
          <w:color w:val="auto"/>
          <w:sz w:val="32"/>
          <w:szCs w:val="32"/>
          <w:lang w:eastAsia="zh-CN"/>
        </w:rPr>
        <w:t>五</w:t>
      </w:r>
      <w:r>
        <w:rPr>
          <w:rFonts w:hint="eastAsia" w:ascii="黑体" w:hAnsi="黑体" w:eastAsia="黑体" w:cs="黑体"/>
          <w:b w:val="0"/>
          <w:bCs w:val="0"/>
          <w:color w:val="auto"/>
          <w:sz w:val="32"/>
          <w:szCs w:val="32"/>
        </w:rPr>
        <w:t>、整改措</w:t>
      </w:r>
      <w:r>
        <w:rPr>
          <w:rFonts w:hint="eastAsia" w:ascii="黑体" w:hAnsi="黑体" w:eastAsia="黑体" w:cs="黑体"/>
          <w:color w:val="auto"/>
          <w:sz w:val="32"/>
          <w:szCs w:val="32"/>
        </w:rPr>
        <w:t>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主要问题：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color w:val="auto"/>
          <w:sz w:val="32"/>
          <w:szCs w:val="32"/>
          <w:lang w:val="en-US" w:eastAsia="zh-CN"/>
        </w:rPr>
        <w:t>1.部分活动开展形式不够丰富，</w:t>
      </w:r>
      <w:r>
        <w:rPr>
          <w:rFonts w:hint="eastAsia" w:ascii="仿宋_GB2312" w:hAnsi="仿宋_GB2312" w:eastAsia="仿宋_GB2312" w:cs="仿宋_GB2312"/>
          <w:color w:val="auto"/>
          <w:sz w:val="32"/>
          <w:szCs w:val="32"/>
          <w:highlight w:val="none"/>
          <w:lang w:eastAsia="zh-CN"/>
        </w:rPr>
        <w:t>形式不够活泼，内容不够生动，</w:t>
      </w:r>
      <w:r>
        <w:rPr>
          <w:rFonts w:hint="eastAsia" w:ascii="仿宋_GB2312" w:hAnsi="仿宋_GB2312" w:eastAsia="仿宋_GB2312" w:cs="仿宋_GB2312"/>
          <w:color w:val="auto"/>
          <w:sz w:val="32"/>
          <w:szCs w:val="32"/>
          <w:highlight w:val="none"/>
          <w:lang w:eastAsia="zh-CN"/>
        </w:rPr>
        <w:t>线上线下活动的融合</w:t>
      </w:r>
      <w:r>
        <w:rPr>
          <w:rFonts w:hint="eastAsia" w:ascii="仿宋_GB2312" w:hAnsi="仿宋_GB2312" w:eastAsia="仿宋_GB2312" w:cs="仿宋_GB2312"/>
          <w:color w:val="auto"/>
          <w:sz w:val="32"/>
          <w:szCs w:val="32"/>
          <w:highlight w:val="none"/>
          <w:lang w:val="en-US" w:eastAsia="zh-CN"/>
        </w:rPr>
        <w:t>度</w:t>
      </w:r>
      <w:r>
        <w:rPr>
          <w:rFonts w:hint="eastAsia" w:ascii="仿宋_GB2312" w:hAnsi="仿宋_GB2312" w:eastAsia="仿宋_GB2312" w:cs="仿宋_GB2312"/>
          <w:color w:val="auto"/>
          <w:sz w:val="32"/>
          <w:szCs w:val="32"/>
          <w:highlight w:val="none"/>
          <w:lang w:eastAsia="zh-CN"/>
        </w:rPr>
        <w:t>还不</w:t>
      </w:r>
      <w:r>
        <w:rPr>
          <w:rFonts w:hint="eastAsia" w:ascii="仿宋_GB2312" w:hAnsi="仿宋_GB2312" w:eastAsia="仿宋_GB2312" w:cs="仿宋_GB2312"/>
          <w:color w:val="auto"/>
          <w:sz w:val="32"/>
          <w:szCs w:val="32"/>
          <w:highlight w:val="none"/>
          <w:lang w:val="en-US" w:eastAsia="zh-CN"/>
        </w:rPr>
        <w:t>到位</w:t>
      </w:r>
      <w:r>
        <w:rPr>
          <w:rFonts w:hint="eastAsia" w:ascii="仿宋_GB2312" w:hAnsi="仿宋_GB2312" w:eastAsia="仿宋_GB2312" w:cs="仿宋_GB2312"/>
          <w:color w:val="auto"/>
          <w:sz w:val="32"/>
          <w:szCs w:val="32"/>
          <w:highlight w:val="none"/>
          <w:lang w:eastAsia="zh-CN"/>
        </w:rPr>
        <w:t>，效果不够理想。</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具体做法：</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highlight w:val="none"/>
          <w:lang w:val="en-US" w:eastAsia="zh-CN"/>
        </w:rPr>
        <w:t>在创新内容、创新形式、创新手段上下功夫，在抓重点，抓工程、抓普及、抓提高上出成效，统筹组织开展各类特色文化活动，用心用力把宣传工作做到群众的心窝里，不断开创宣传群众、动员群众、服务群众的新局面。</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进一步加强预算资金管理，对预算的事前、事中、事后进行全过程控制，加大对预算编制与执行的监督管理力度，提高预算资金使用效率。</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六、评价工作组人员名单及签字</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630" w:leftChars="0" w:right="0" w:rightChars="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主要包括姓名、工作单位、职务等。</w:t>
      </w:r>
    </w:p>
    <w:tbl>
      <w:tblPr>
        <w:tblStyle w:val="8"/>
        <w:tblpPr w:leftFromText="180" w:rightFromText="180" w:vertAnchor="text" w:horzAnchor="page" w:tblpX="2044" w:tblpY="464"/>
        <w:tblOverlap w:val="never"/>
        <w:tblW w:w="88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335"/>
        <w:gridCol w:w="1515"/>
        <w:gridCol w:w="3600"/>
        <w:gridCol w:w="1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序号</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姓名</w:t>
            </w:r>
          </w:p>
        </w:tc>
        <w:tc>
          <w:tcPr>
            <w:tcW w:w="151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工作单位</w:t>
            </w:r>
          </w:p>
        </w:tc>
        <w:tc>
          <w:tcPr>
            <w:tcW w:w="360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职务</w:t>
            </w:r>
          </w:p>
        </w:tc>
        <w:tc>
          <w:tcPr>
            <w:tcW w:w="15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p>
        </w:tc>
        <w:tc>
          <w:tcPr>
            <w:tcW w:w="133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张建岗</w:t>
            </w:r>
          </w:p>
        </w:tc>
        <w:tc>
          <w:tcPr>
            <w:tcW w:w="151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宣传部</w:t>
            </w:r>
          </w:p>
        </w:tc>
        <w:tc>
          <w:tcPr>
            <w:tcW w:w="3600"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副部长、融媒体中心主任</w:t>
            </w:r>
          </w:p>
        </w:tc>
        <w:tc>
          <w:tcPr>
            <w:tcW w:w="1530" w:type="dxa"/>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rPr>
                <w:rFonts w:hint="eastAsia" w:ascii="仿宋_GB2312" w:hAnsi="仿宋_GB2312" w:eastAsia="仿宋_GB2312" w:cs="仿宋_GB2312"/>
                <w:color w:val="auto"/>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p>
        </w:tc>
        <w:tc>
          <w:tcPr>
            <w:tcW w:w="133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赵志斌</w:t>
            </w:r>
          </w:p>
        </w:tc>
        <w:tc>
          <w:tcPr>
            <w:tcW w:w="151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宣传部</w:t>
            </w:r>
          </w:p>
        </w:tc>
        <w:tc>
          <w:tcPr>
            <w:tcW w:w="3600"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副部长</w:t>
            </w:r>
          </w:p>
        </w:tc>
        <w:tc>
          <w:tcPr>
            <w:tcW w:w="1530" w:type="dxa"/>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rPr>
                <w:rFonts w:hint="eastAsia" w:ascii="仿宋_GB2312" w:hAnsi="仿宋_GB2312" w:eastAsia="仿宋_GB2312" w:cs="仿宋_GB2312"/>
                <w:color w:val="auto"/>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w:t>
            </w:r>
          </w:p>
        </w:tc>
        <w:tc>
          <w:tcPr>
            <w:tcW w:w="133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常利波</w:t>
            </w:r>
          </w:p>
        </w:tc>
        <w:tc>
          <w:tcPr>
            <w:tcW w:w="151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宣传部</w:t>
            </w:r>
          </w:p>
        </w:tc>
        <w:tc>
          <w:tcPr>
            <w:tcW w:w="3600"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部务会成员、梅花惨案纪念馆馆长</w:t>
            </w:r>
          </w:p>
        </w:tc>
        <w:tc>
          <w:tcPr>
            <w:tcW w:w="1530" w:type="dxa"/>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rPr>
                <w:rFonts w:hint="eastAsia" w:ascii="仿宋_GB2312" w:hAnsi="仿宋_GB2312" w:eastAsia="仿宋_GB2312" w:cs="仿宋_GB2312"/>
                <w:color w:val="auto"/>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p>
        </w:tc>
        <w:tc>
          <w:tcPr>
            <w:tcW w:w="133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张英杰</w:t>
            </w:r>
          </w:p>
        </w:tc>
        <w:tc>
          <w:tcPr>
            <w:tcW w:w="151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宣传部</w:t>
            </w:r>
          </w:p>
        </w:tc>
        <w:tc>
          <w:tcPr>
            <w:tcW w:w="3600"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部务会成员</w:t>
            </w:r>
          </w:p>
        </w:tc>
        <w:tc>
          <w:tcPr>
            <w:tcW w:w="1530" w:type="dxa"/>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rPr>
                <w:rFonts w:hint="eastAsia" w:ascii="仿宋_GB2312" w:hAnsi="仿宋_GB2312" w:eastAsia="仿宋_GB2312" w:cs="仿宋_GB2312"/>
                <w:color w:val="auto"/>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w:t>
            </w:r>
          </w:p>
        </w:tc>
        <w:tc>
          <w:tcPr>
            <w:tcW w:w="133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王翠敏</w:t>
            </w:r>
          </w:p>
        </w:tc>
        <w:tc>
          <w:tcPr>
            <w:tcW w:w="1515"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宣传部</w:t>
            </w:r>
          </w:p>
        </w:tc>
        <w:tc>
          <w:tcPr>
            <w:tcW w:w="3600" w:type="dxa"/>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部务会成员</w:t>
            </w:r>
          </w:p>
        </w:tc>
        <w:tc>
          <w:tcPr>
            <w:tcW w:w="1530" w:type="dxa"/>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rPr>
                <w:rFonts w:hint="eastAsia" w:ascii="仿宋_GB2312" w:hAnsi="仿宋_GB2312" w:eastAsia="仿宋_GB2312" w:cs="仿宋_GB2312"/>
                <w:color w:val="auto"/>
                <w:sz w:val="32"/>
                <w:szCs w:val="32"/>
                <w:highlight w:val="none"/>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color w:val="auto"/>
          <w:sz w:val="32"/>
          <w:szCs w:val="32"/>
          <w:lang w:eastAsia="zh-CN"/>
        </w:rPr>
      </w:pPr>
      <w:bookmarkStart w:id="0" w:name="_GoBack"/>
      <w:bookmarkEnd w:id="0"/>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zNzViZjk2YmIxMGU0NTkwZThmMjQ4M2Q5OTYxMjU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2753E85"/>
    <w:rsid w:val="051D4810"/>
    <w:rsid w:val="055B525F"/>
    <w:rsid w:val="07833FB5"/>
    <w:rsid w:val="0C38475C"/>
    <w:rsid w:val="133872A9"/>
    <w:rsid w:val="13B61930"/>
    <w:rsid w:val="176C5A7B"/>
    <w:rsid w:val="1BAF1154"/>
    <w:rsid w:val="1C655171"/>
    <w:rsid w:val="20276775"/>
    <w:rsid w:val="202C4079"/>
    <w:rsid w:val="212614BF"/>
    <w:rsid w:val="2A6A3C8B"/>
    <w:rsid w:val="32765F32"/>
    <w:rsid w:val="34C1659E"/>
    <w:rsid w:val="3AEF6FE7"/>
    <w:rsid w:val="3DC81CC9"/>
    <w:rsid w:val="44137A16"/>
    <w:rsid w:val="493B718D"/>
    <w:rsid w:val="50334A8C"/>
    <w:rsid w:val="53A42ADD"/>
    <w:rsid w:val="59975605"/>
    <w:rsid w:val="5BFF72D5"/>
    <w:rsid w:val="5C4A315B"/>
    <w:rsid w:val="6459615C"/>
    <w:rsid w:val="661D3074"/>
    <w:rsid w:val="6BDE7164"/>
    <w:rsid w:val="7C1C7EB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200" w:firstLineChars="200"/>
    </w:pPr>
  </w:style>
  <w:style w:type="paragraph" w:styleId="3">
    <w:name w:val="Body Text Indent"/>
    <w:basedOn w:val="1"/>
    <w:next w:val="4"/>
    <w:qFormat/>
    <w:uiPriority w:val="0"/>
    <w:pPr>
      <w:spacing w:after="120" w:afterLines="0" w:afterAutospacing="0"/>
      <w:ind w:left="420" w:leftChars="200"/>
    </w:pPr>
  </w:style>
  <w:style w:type="paragraph" w:styleId="4">
    <w:name w:val="Subtitle"/>
    <w:basedOn w:val="1"/>
    <w:next w:val="1"/>
    <w:qFormat/>
    <w:uiPriority w:val="11"/>
    <w:pPr>
      <w:wordWrap w:val="0"/>
      <w:spacing w:after="60" w:afterLines="0"/>
      <w:jc w:val="center"/>
    </w:pPr>
    <w:rPr>
      <w:rFonts w:ascii="Calibri" w:hAnsi="Calibri" w:eastAsia="宋体" w:cs="Times New Roman"/>
      <w:sz w:val="24"/>
      <w:szCs w:val="22"/>
      <w:lang w:val="en-US" w:eastAsia="zh-CN" w:bidi="ar-SA"/>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页眉 Char"/>
    <w:basedOn w:val="9"/>
    <w:link w:val="6"/>
    <w:qFormat/>
    <w:uiPriority w:val="99"/>
    <w:rPr>
      <w:sz w:val="18"/>
      <w:szCs w:val="18"/>
    </w:rPr>
  </w:style>
  <w:style w:type="character" w:customStyle="1" w:styleId="11">
    <w:name w:val="页脚 Char"/>
    <w:basedOn w:val="9"/>
    <w:link w:val="5"/>
    <w:qFormat/>
    <w:uiPriority w:val="99"/>
    <w:rPr>
      <w:sz w:val="18"/>
      <w:szCs w:val="18"/>
    </w:rPr>
  </w:style>
  <w:style w:type="paragraph" w:customStyle="1" w:styleId="12">
    <w:name w:val="Body Text First Indent 21"/>
    <w:basedOn w:val="13"/>
    <w:qFormat/>
    <w:uiPriority w:val="0"/>
    <w:pPr>
      <w:ind w:firstLine="420"/>
    </w:pPr>
    <w:rPr>
      <w:rFonts w:ascii="Calibri" w:hAnsi="Calibri" w:eastAsia="宋体" w:cs="Times New Roman"/>
    </w:rPr>
  </w:style>
  <w:style w:type="paragraph" w:customStyle="1" w:styleId="13">
    <w:name w:val="Body Text Indent1"/>
    <w:basedOn w:val="1"/>
    <w:qFormat/>
    <w:uiPriority w:val="0"/>
    <w:pPr>
      <w:spacing w:line="360" w:lineRule="auto"/>
      <w:ind w:firstLine="200" w:firstLineChars="200"/>
      <w:textAlignment w:val="baseline"/>
    </w:pPr>
    <w:rPr>
      <w:rFonts w:ascii="Calibri" w:hAnsi="Calibri" w:eastAsia="宋体" w:cs="Times New Roman"/>
      <w:sz w:val="21"/>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1435</Words>
  <Characters>1464</Characters>
  <Lines>3</Lines>
  <Paragraphs>1</Paragraphs>
  <TotalTime>2</TotalTime>
  <ScaleCrop>false</ScaleCrop>
  <LinksUpToDate>false</LinksUpToDate>
  <CharactersWithSpaces>1470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夜尽天明</cp:lastModifiedBy>
  <cp:lastPrinted>2021-02-24T05:43:00Z</cp:lastPrinted>
  <dcterms:modified xsi:type="dcterms:W3CDTF">2023-07-20T07:15:44Z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8F47CF019BB14D99A33BF71578568911_12</vt:lpwstr>
  </property>
</Properties>
</file>