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C340B2">
      <w:pPr>
        <w:snapToGrid w:val="0"/>
        <w:spacing w:before="312" w:beforeLines="100" w:after="156" w:afterLines="50" w:line="560" w:lineRule="exact"/>
        <w:jc w:val="center"/>
        <w:rPr>
          <w:rFonts w:ascii="宋体" w:hAnsi="宋体" w:cs="宋体"/>
          <w:b/>
          <w:bCs/>
          <w:kern w:val="0"/>
          <w:sz w:val="44"/>
          <w:szCs w:val="44"/>
        </w:rPr>
      </w:pPr>
      <w:r>
        <w:rPr>
          <w:rFonts w:hint="eastAsia" w:ascii="宋体" w:hAnsi="宋体" w:cs="宋体"/>
          <w:b/>
          <w:bCs/>
          <w:kern w:val="0"/>
          <w:sz w:val="44"/>
          <w:szCs w:val="44"/>
        </w:rPr>
        <w:t>藁城区融媒体中心</w:t>
      </w:r>
    </w:p>
    <w:p w14:paraId="6495CC0C">
      <w:pPr>
        <w:snapToGrid w:val="0"/>
        <w:spacing w:after="312" w:afterLines="100" w:line="560" w:lineRule="exact"/>
        <w:jc w:val="center"/>
        <w:rPr>
          <w:rFonts w:ascii="仿宋" w:hAnsi="仿宋" w:eastAsia="仿宋" w:cs="仿宋"/>
          <w:b/>
          <w:sz w:val="32"/>
          <w:szCs w:val="32"/>
        </w:rPr>
      </w:pPr>
      <w:r>
        <w:rPr>
          <w:rFonts w:hint="eastAsia" w:ascii="宋体" w:hAnsi="宋体" w:cs="宋体"/>
          <w:b/>
          <w:bCs/>
          <w:kern w:val="0"/>
          <w:sz w:val="44"/>
          <w:szCs w:val="44"/>
        </w:rPr>
        <w:t>2022年整体支出</w:t>
      </w:r>
      <w:r>
        <w:rPr>
          <w:rFonts w:hint="eastAsia" w:ascii="宋体" w:hAnsi="宋体" w:cs="宋体"/>
          <w:b/>
          <w:bCs/>
          <w:sz w:val="44"/>
          <w:szCs w:val="44"/>
        </w:rPr>
        <w:t>绩效自评工作报告</w:t>
      </w:r>
    </w:p>
    <w:p w14:paraId="61C1CAF7">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14:paraId="62944111">
      <w:pPr>
        <w:numPr>
          <w:ilvl w:val="0"/>
          <w:numId w:val="1"/>
        </w:numPr>
        <w:snapToGrid w:val="0"/>
        <w:spacing w:line="560" w:lineRule="exact"/>
        <w:ind w:firstLine="640"/>
        <w:rPr>
          <w:rFonts w:ascii="仿宋" w:hAnsi="仿宋" w:eastAsia="仿宋" w:cs="仿宋"/>
          <w:sz w:val="32"/>
          <w:szCs w:val="32"/>
        </w:rPr>
      </w:pPr>
      <w:r>
        <w:rPr>
          <w:rFonts w:hint="eastAsia" w:ascii="仿宋" w:hAnsi="仿宋" w:eastAsia="仿宋" w:cs="仿宋"/>
          <w:sz w:val="32"/>
          <w:szCs w:val="32"/>
        </w:rPr>
        <w:t>基本情况</w:t>
      </w:r>
    </w:p>
    <w:p w14:paraId="6C91131F">
      <w:pPr>
        <w:pStyle w:val="2"/>
        <w:tabs>
          <w:tab w:val="left" w:pos="523"/>
        </w:tabs>
        <w:spacing w:line="600" w:lineRule="exact"/>
        <w:ind w:firstLine="640"/>
        <w:rPr>
          <w:rFonts w:ascii="仿宋" w:hAnsi="仿宋" w:eastAsia="仿宋" w:cs="仿宋"/>
          <w:sz w:val="32"/>
          <w:szCs w:val="32"/>
        </w:rPr>
      </w:pPr>
      <w:r>
        <w:rPr>
          <w:rFonts w:hint="eastAsia" w:ascii="仿宋" w:hAnsi="仿宋" w:eastAsia="仿宋" w:cs="仿宋"/>
          <w:sz w:val="32"/>
          <w:szCs w:val="32"/>
        </w:rPr>
        <w:t>2019年，根据中共藁城区委机构编制委员会下发了《关于设立藁城区融媒体中心的通知》（藁编〔2019〕15号）,整合藁城广播电视台与藁城报社两家单位，设立藁城区融媒体中心,为区委直属事业单位，公益二类，规格正科级，经费形式为财政性资金基本保障，核定事业编制49个,编制来源为原藁城区广播电视台全额事业编制36名和原藁城报社全额事业编制13名，设主任1名(正科级),副主任3名(其中一名副主任兼任总编，副科级)，内设新闻采编部、新媒体部、平媒部、专题部、策划运营部、发射播出部、办公室、总编室8个部室。</w:t>
      </w:r>
    </w:p>
    <w:p w14:paraId="14978653">
      <w:pPr>
        <w:numPr>
          <w:ilvl w:val="0"/>
          <w:numId w:val="1"/>
        </w:numPr>
        <w:snapToGrid w:val="0"/>
        <w:spacing w:line="560" w:lineRule="exact"/>
        <w:ind w:firstLine="640"/>
        <w:rPr>
          <w:rFonts w:ascii="仿宋" w:hAnsi="仿宋" w:eastAsia="仿宋" w:cs="仿宋"/>
          <w:sz w:val="32"/>
          <w:szCs w:val="32"/>
        </w:rPr>
      </w:pPr>
      <w:r>
        <w:rPr>
          <w:rFonts w:hint="eastAsia" w:ascii="仿宋" w:hAnsi="仿宋" w:eastAsia="仿宋" w:cs="仿宋"/>
          <w:sz w:val="32"/>
          <w:szCs w:val="32"/>
        </w:rPr>
        <w:t>部门职责</w:t>
      </w:r>
    </w:p>
    <w:p w14:paraId="1408CD96">
      <w:pPr>
        <w:ind w:firstLine="640"/>
        <w:rPr>
          <w:rFonts w:ascii="仿宋" w:hAnsi="仿宋" w:eastAsia="仿宋" w:cs="仿宋"/>
          <w:sz w:val="32"/>
          <w:szCs w:val="32"/>
        </w:rPr>
      </w:pPr>
      <w:r>
        <w:rPr>
          <w:rFonts w:hint="eastAsia" w:ascii="仿宋" w:hAnsi="仿宋" w:eastAsia="仿宋" w:cs="仿宋"/>
          <w:sz w:val="32"/>
          <w:szCs w:val="32"/>
        </w:rPr>
        <w:t xml:space="preserve"> </w:t>
      </w:r>
      <w:r>
        <w:rPr>
          <w:rFonts w:ascii="仿宋" w:hAnsi="仿宋" w:eastAsia="仿宋" w:cs="仿宋"/>
          <w:sz w:val="32"/>
          <w:szCs w:val="32"/>
        </w:rP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14:paraId="30C3A625">
      <w:pPr>
        <w:pStyle w:val="9"/>
        <w:rPr>
          <w:rFonts w:ascii="仿宋" w:hAnsi="仿宋" w:eastAsia="仿宋" w:cs="仿宋"/>
          <w:kern w:val="2"/>
          <w:sz w:val="32"/>
          <w:szCs w:val="32"/>
          <w:lang w:eastAsia="zh-CN"/>
        </w:rPr>
      </w:pPr>
      <w:r>
        <w:rPr>
          <w:rFonts w:ascii="仿宋" w:hAnsi="仿宋" w:eastAsia="仿宋" w:cs="仿宋"/>
          <w:kern w:val="2"/>
          <w:sz w:val="32"/>
          <w:szCs w:val="32"/>
          <w:lang w:eastAsia="zh-CN"/>
        </w:rPr>
        <w:t>（二）加快推进藁城区原有纸媒、广电媒体和新媒体的全面融合。</w:t>
      </w:r>
    </w:p>
    <w:p w14:paraId="5CC9AB30">
      <w:pPr>
        <w:pStyle w:val="9"/>
        <w:rPr>
          <w:rFonts w:ascii="仿宋" w:hAnsi="仿宋" w:eastAsia="仿宋" w:cs="仿宋"/>
          <w:kern w:val="2"/>
          <w:sz w:val="32"/>
          <w:szCs w:val="32"/>
          <w:lang w:eastAsia="zh-CN"/>
        </w:rPr>
      </w:pPr>
      <w:r>
        <w:rPr>
          <w:rFonts w:ascii="仿宋" w:hAnsi="仿宋" w:eastAsia="仿宋" w:cs="仿宋"/>
          <w:kern w:val="2"/>
          <w:sz w:val="32"/>
          <w:szCs w:val="32"/>
          <w:lang w:eastAsia="zh-CN"/>
        </w:rPr>
        <w:t>（三）将融媒体中心打造成“资源通融、内容兼容、宣传互融、利益共融”的新型媒体平台，做大做强主流媒体，从而聚集起海量用户。</w:t>
      </w:r>
    </w:p>
    <w:p w14:paraId="3FB930CC">
      <w:pPr>
        <w:pStyle w:val="9"/>
        <w:rPr>
          <w:rFonts w:ascii="仿宋" w:hAnsi="仿宋" w:eastAsia="仿宋" w:cs="仿宋"/>
          <w:kern w:val="2"/>
          <w:sz w:val="32"/>
          <w:szCs w:val="32"/>
          <w:lang w:eastAsia="zh-CN"/>
        </w:rPr>
      </w:pPr>
      <w:r>
        <w:rPr>
          <w:rFonts w:ascii="仿宋" w:hAnsi="仿宋" w:eastAsia="仿宋" w:cs="仿宋"/>
          <w:kern w:val="2"/>
          <w:sz w:val="32"/>
          <w:szCs w:val="32"/>
          <w:lang w:eastAsia="zh-CN"/>
        </w:rPr>
        <w:t>（四）为现代传播体系的形成打下良好基础，不断提高藁城融媒体中心新闻舆论的传播力、引导力、影响力、公信力；通过讲好藁城故事，进一步提升藁城对外的知名度和美誉度。</w:t>
      </w:r>
    </w:p>
    <w:p w14:paraId="3E91CC37">
      <w:pPr>
        <w:pStyle w:val="9"/>
        <w:rPr>
          <w:rFonts w:ascii="仿宋" w:hAnsi="仿宋" w:eastAsia="仿宋" w:cs="仿宋"/>
          <w:kern w:val="2"/>
          <w:sz w:val="32"/>
          <w:szCs w:val="32"/>
          <w:lang w:eastAsia="zh-CN"/>
        </w:rPr>
      </w:pPr>
      <w:r>
        <w:rPr>
          <w:rFonts w:ascii="仿宋" w:hAnsi="仿宋" w:eastAsia="仿宋" w:cs="仿宋"/>
          <w:kern w:val="2"/>
          <w:sz w:val="32"/>
          <w:szCs w:val="32"/>
          <w:lang w:eastAsia="zh-CN"/>
        </w:rPr>
        <w:t>（五）贯彻落实党的宣传、创作方针政策，加强本区报纸、电视、网络新媒体阵地管理，把握正确的舆论导向和创作导向。</w:t>
      </w:r>
    </w:p>
    <w:p w14:paraId="7A54261B">
      <w:pPr>
        <w:pStyle w:val="9"/>
        <w:rPr>
          <w:rFonts w:ascii="仿宋" w:hAnsi="仿宋" w:eastAsia="仿宋" w:cs="仿宋"/>
          <w:kern w:val="2"/>
          <w:sz w:val="32"/>
          <w:szCs w:val="32"/>
          <w:lang w:eastAsia="zh-CN"/>
        </w:rPr>
      </w:pPr>
      <w:r>
        <w:rPr>
          <w:rFonts w:ascii="仿宋" w:hAnsi="仿宋" w:eastAsia="仿宋" w:cs="仿宋"/>
          <w:kern w:val="2"/>
          <w:sz w:val="32"/>
          <w:szCs w:val="32"/>
          <w:lang w:eastAsia="zh-CN"/>
        </w:rPr>
        <w:t>（六）完成区委、区政府交办的其他任务。</w:t>
      </w:r>
    </w:p>
    <w:p w14:paraId="0946C8A2">
      <w:pPr>
        <w:snapToGrid w:val="0"/>
        <w:spacing w:line="560" w:lineRule="exact"/>
        <w:ind w:left="420" w:leftChars="200"/>
        <w:rPr>
          <w:rFonts w:ascii="仿宋" w:hAnsi="仿宋" w:eastAsia="仿宋" w:cs="仿宋"/>
          <w:sz w:val="32"/>
          <w:szCs w:val="32"/>
        </w:rPr>
      </w:pPr>
      <w:r>
        <w:rPr>
          <w:rFonts w:hint="eastAsia" w:ascii="仿宋" w:hAnsi="仿宋" w:eastAsia="仿宋" w:cs="仿宋"/>
          <w:sz w:val="32"/>
          <w:szCs w:val="32"/>
        </w:rPr>
        <w:t>3、内设股室及人员数量</w:t>
      </w:r>
    </w:p>
    <w:p w14:paraId="7B8B94D6">
      <w:pPr>
        <w:pStyle w:val="9"/>
        <w:rPr>
          <w:rFonts w:ascii="仿宋" w:hAnsi="仿宋" w:eastAsia="仿宋" w:cs="仿宋"/>
          <w:kern w:val="2"/>
          <w:sz w:val="32"/>
          <w:szCs w:val="32"/>
          <w:lang w:eastAsia="zh-CN"/>
        </w:rPr>
      </w:pPr>
      <w:r>
        <w:rPr>
          <w:rFonts w:hint="eastAsia" w:ascii="仿宋" w:hAnsi="仿宋" w:eastAsia="仿宋" w:cs="仿宋"/>
          <w:kern w:val="2"/>
          <w:sz w:val="32"/>
          <w:szCs w:val="32"/>
          <w:lang w:eastAsia="zh-CN"/>
        </w:rPr>
        <w:t>经区委编委会研究，藁城区融媒体中心设有办公室、总编室、新闻采编部、发射播出部、策划运营部、新媒体部、平媒部8个内设股室。</w:t>
      </w:r>
      <w:r>
        <w:rPr>
          <w:rFonts w:hint="eastAsia" w:ascii="仿宋" w:hAnsi="仿宋" w:eastAsia="仿宋" w:cs="仿宋"/>
          <w:kern w:val="2"/>
          <w:sz w:val="32"/>
          <w:szCs w:val="32"/>
          <w:lang w:val="en-US" w:eastAsia="zh-CN"/>
        </w:rPr>
        <w:t>截至</w:t>
      </w:r>
      <w:bookmarkStart w:id="1" w:name="_GoBack"/>
      <w:bookmarkEnd w:id="1"/>
      <w:r>
        <w:rPr>
          <w:rFonts w:hint="eastAsia" w:ascii="仿宋" w:hAnsi="仿宋" w:eastAsia="仿宋" w:cs="仿宋"/>
          <w:kern w:val="2"/>
          <w:sz w:val="32"/>
          <w:szCs w:val="32"/>
          <w:lang w:eastAsia="zh-CN"/>
        </w:rPr>
        <w:t>2</w:t>
      </w:r>
      <w:r>
        <w:rPr>
          <w:rFonts w:ascii="仿宋" w:hAnsi="仿宋" w:eastAsia="仿宋" w:cs="仿宋"/>
          <w:kern w:val="2"/>
          <w:sz w:val="32"/>
          <w:szCs w:val="32"/>
          <w:lang w:eastAsia="zh-CN"/>
        </w:rPr>
        <w:t>02</w:t>
      </w:r>
      <w:r>
        <w:rPr>
          <w:rFonts w:hint="eastAsia" w:ascii="仿宋" w:hAnsi="仿宋" w:eastAsia="仿宋" w:cs="仿宋"/>
          <w:kern w:val="2"/>
          <w:sz w:val="32"/>
          <w:szCs w:val="32"/>
          <w:lang w:eastAsia="zh-CN"/>
        </w:rPr>
        <w:t>2年年底我单位在职人数为3</w:t>
      </w:r>
      <w:r>
        <w:rPr>
          <w:rFonts w:ascii="仿宋" w:hAnsi="仿宋" w:eastAsia="仿宋" w:cs="仿宋"/>
          <w:kern w:val="2"/>
          <w:sz w:val="32"/>
          <w:szCs w:val="32"/>
          <w:lang w:eastAsia="zh-CN"/>
        </w:rPr>
        <w:t>8</w:t>
      </w:r>
      <w:r>
        <w:rPr>
          <w:rFonts w:hint="eastAsia" w:ascii="仿宋" w:hAnsi="仿宋" w:eastAsia="仿宋" w:cs="仿宋"/>
          <w:kern w:val="2"/>
          <w:sz w:val="32"/>
          <w:szCs w:val="32"/>
          <w:lang w:eastAsia="zh-CN"/>
        </w:rPr>
        <w:t>人，其中中层人员9人，劳务派遣人员8人，截止年底临聘人员11名，有线电视台</w:t>
      </w:r>
      <w:r>
        <w:rPr>
          <w:rFonts w:ascii="仿宋" w:hAnsi="仿宋" w:eastAsia="仿宋" w:cs="仿宋"/>
          <w:kern w:val="2"/>
          <w:sz w:val="32"/>
          <w:szCs w:val="32"/>
          <w:lang w:eastAsia="zh-CN"/>
        </w:rPr>
        <w:t>20</w:t>
      </w:r>
      <w:r>
        <w:rPr>
          <w:rFonts w:hint="eastAsia" w:ascii="仿宋" w:hAnsi="仿宋" w:eastAsia="仿宋" w:cs="仿宋"/>
          <w:kern w:val="2"/>
          <w:sz w:val="32"/>
          <w:szCs w:val="32"/>
          <w:lang w:eastAsia="zh-CN"/>
        </w:rPr>
        <w:t>名自收自支人员作为下属单位人员，也挂靠在融媒体中心。</w:t>
      </w:r>
    </w:p>
    <w:p w14:paraId="34D9D978">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4、部门整体支出概况</w:t>
      </w:r>
    </w:p>
    <w:p w14:paraId="247890A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（1）2022年全年收入为13181433.55元，其中：财政拨款收入为13181433.55元，非财政补助收入0元。</w:t>
      </w:r>
    </w:p>
    <w:p w14:paraId="4052627C">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（2）2022年全年支出为13181433.55元，其中：基本支出6594350.79元，项目支出6587082.79元。</w:t>
      </w:r>
    </w:p>
    <w:p w14:paraId="339906A4">
      <w:pPr>
        <w:adjustRightInd w:val="0"/>
        <w:snapToGrid w:val="0"/>
        <w:spacing w:line="560" w:lineRule="exact"/>
        <w:ind w:firstLine="640" w:firstLineChars="200"/>
        <w:rPr>
          <w:rFonts w:ascii="仿宋" w:hAnsi="仿宋" w:eastAsia="仿宋" w:cs="楷体_GB2312"/>
          <w:sz w:val="32"/>
          <w:szCs w:val="32"/>
        </w:rPr>
      </w:pPr>
      <w:r>
        <w:rPr>
          <w:rFonts w:hint="eastAsia" w:ascii="仿宋" w:hAnsi="仿宋" w:eastAsia="仿宋" w:cs="仿宋"/>
          <w:sz w:val="32"/>
          <w:szCs w:val="32"/>
        </w:rPr>
        <w:t>5.</w:t>
      </w:r>
      <w:r>
        <w:rPr>
          <w:rFonts w:hint="eastAsia" w:ascii="仿宋" w:hAnsi="仿宋" w:eastAsia="仿宋" w:cs="楷体_GB2312"/>
          <w:sz w:val="32"/>
          <w:szCs w:val="32"/>
        </w:rPr>
        <w:t>整体支出绩效目标</w:t>
      </w:r>
    </w:p>
    <w:p w14:paraId="10A08205">
      <w:pPr>
        <w:snapToGrid w:val="0"/>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坚持以习近平新时代中国特色社会主义思想为指导，围绕融媒体自身特点，确定“新、智、融、监”职能定位，坚持守正创新，围绕全区工作大局</w:t>
      </w:r>
      <w:r>
        <w:rPr>
          <w:rFonts w:ascii="仿宋" w:hAnsi="仿宋" w:eastAsia="仿宋" w:cs="宋体"/>
          <w:kern w:val="0"/>
          <w:sz w:val="32"/>
          <w:szCs w:val="32"/>
        </w:rPr>
        <w:t>,</w:t>
      </w:r>
      <w:r>
        <w:rPr>
          <w:rFonts w:hint="eastAsia" w:ascii="仿宋" w:hAnsi="仿宋" w:eastAsia="仿宋" w:cs="宋体"/>
          <w:kern w:val="0"/>
          <w:sz w:val="32"/>
          <w:szCs w:val="32"/>
        </w:rPr>
        <w:t>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14:paraId="78A8B562">
      <w:pPr>
        <w:snapToGrid w:val="0"/>
        <w:spacing w:line="560" w:lineRule="exact"/>
        <w:ind w:firstLine="640" w:firstLineChars="200"/>
        <w:rPr>
          <w:rFonts w:ascii="仿宋" w:hAnsi="仿宋" w:eastAsia="仿宋" w:cs="仿宋_GB2312"/>
          <w:sz w:val="32"/>
          <w:szCs w:val="32"/>
        </w:rPr>
      </w:pPr>
      <w:r>
        <w:rPr>
          <w:rFonts w:hint="eastAsia" w:ascii="仿宋" w:hAnsi="仿宋" w:eastAsia="仿宋" w:cs="宋体"/>
          <w:kern w:val="0"/>
          <w:sz w:val="32"/>
          <w:szCs w:val="32"/>
        </w:rPr>
        <w:t>6.</w:t>
      </w:r>
      <w:r>
        <w:rPr>
          <w:rFonts w:hint="eastAsia" w:ascii="仿宋" w:hAnsi="仿宋" w:eastAsia="仿宋" w:cs="仿宋_GB2312"/>
          <w:sz w:val="32"/>
          <w:szCs w:val="32"/>
        </w:rPr>
        <w:t>预决算公开：</w:t>
      </w:r>
    </w:p>
    <w:p w14:paraId="7B4359F3">
      <w:pPr>
        <w:snapToGrid w:val="0"/>
        <w:spacing w:line="560" w:lineRule="exact"/>
        <w:ind w:firstLine="640" w:firstLineChars="200"/>
        <w:rPr>
          <w:rFonts w:ascii="仿宋" w:hAnsi="仿宋" w:eastAsia="仿宋" w:cs="宋体"/>
          <w:kern w:val="0"/>
          <w:sz w:val="32"/>
          <w:szCs w:val="32"/>
        </w:rPr>
      </w:pPr>
      <w:r>
        <w:rPr>
          <w:rFonts w:hint="eastAsia" w:ascii="仿宋" w:hAnsi="仿宋" w:eastAsia="仿宋" w:cs="仿宋_GB2312"/>
          <w:sz w:val="32"/>
          <w:szCs w:val="32"/>
        </w:rPr>
        <w:t>2</w:t>
      </w:r>
      <w:r>
        <w:rPr>
          <w:rFonts w:ascii="仿宋" w:hAnsi="仿宋" w:eastAsia="仿宋" w:cs="仿宋_GB2312"/>
          <w:sz w:val="32"/>
          <w:szCs w:val="32"/>
        </w:rPr>
        <w:t>02</w:t>
      </w:r>
      <w:r>
        <w:rPr>
          <w:rFonts w:hint="eastAsia" w:ascii="仿宋" w:hAnsi="仿宋" w:eastAsia="仿宋" w:cs="仿宋_GB2312"/>
          <w:sz w:val="32"/>
          <w:szCs w:val="32"/>
        </w:rPr>
        <w:t>2年按上级要求我单位在政府网站进行预决算公开。</w:t>
      </w:r>
    </w:p>
    <w:p w14:paraId="61DEA81A">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二、绩效自评工作开展情况</w:t>
      </w:r>
    </w:p>
    <w:p w14:paraId="35E3CBC8">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（一）绩效评价目的</w:t>
      </w:r>
    </w:p>
    <w:p w14:paraId="7F0D856E">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贯彻落实《预算法》，严格执行省、市、区绩效管理工作有关规定，进一步规范财政资金管理，强化财政支出绩效理念，提升部门责任意识，提高资金使用效益，促进</w:t>
      </w:r>
      <w:r>
        <w:rPr>
          <w:rFonts w:hint="eastAsia" w:ascii="仿宋" w:hAnsi="仿宋" w:eastAsia="仿宋"/>
          <w:sz w:val="32"/>
          <w:szCs w:val="32"/>
        </w:rPr>
        <w:t>中心</w:t>
      </w:r>
      <w:r>
        <w:rPr>
          <w:rFonts w:hint="eastAsia" w:ascii="仿宋" w:hAnsi="仿宋" w:eastAsia="仿宋" w:cs="仿宋_GB2312"/>
          <w:sz w:val="32"/>
          <w:szCs w:val="32"/>
        </w:rPr>
        <w:t>发展。</w:t>
      </w:r>
    </w:p>
    <w:p w14:paraId="44C4BBA1">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（二）绩效评价的主要过程</w:t>
      </w:r>
    </w:p>
    <w:p w14:paraId="4A5EF444">
      <w:pPr>
        <w:snapToGrid w:val="0"/>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绩效评价的要求，成立了自评工作领导小组，对照自评方案进行研究布署，党组成员及各股室全程参与，按照自评方案的要求，对照各实施项目的内容逐条逐项自评，及时发现问题，查找原因，纠正偏差，为下一步工作夯实基础。</w:t>
      </w:r>
    </w:p>
    <w:p w14:paraId="37CDBA4F">
      <w:pPr>
        <w:numPr>
          <w:ilvl w:val="0"/>
          <w:numId w:val="2"/>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部门整体支出绩效目标实现情况及指标分析</w:t>
      </w:r>
    </w:p>
    <w:p w14:paraId="6A7127DD">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（一）总体工作开展</w:t>
      </w:r>
    </w:p>
    <w:p w14:paraId="121327D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w:t>
      </w:r>
      <w:r>
        <w:rPr>
          <w:rFonts w:ascii="仿宋" w:hAnsi="仿宋" w:eastAsia="仿宋" w:cs="仿宋"/>
          <w:sz w:val="32"/>
          <w:szCs w:val="32"/>
        </w:rPr>
        <w:t>02</w:t>
      </w:r>
      <w:r>
        <w:rPr>
          <w:rFonts w:hint="eastAsia" w:ascii="仿宋" w:hAnsi="仿宋" w:eastAsia="仿宋" w:cs="仿宋"/>
          <w:sz w:val="32"/>
          <w:szCs w:val="32"/>
        </w:rPr>
        <w:t>2年我单位较高效率的使用了各项资金，基本完成了项目的绩效目标，基本完成了一事一议，会计监督检查、评审中心评审等工作，项目综合评价为优秀。</w:t>
      </w:r>
    </w:p>
    <w:p w14:paraId="03EC6C27">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（二）专项资金和具体预算支出项目的完成情况</w:t>
      </w:r>
    </w:p>
    <w:p w14:paraId="1FFDD01D">
      <w:pPr>
        <w:snapToGrid w:val="0"/>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已支出项目：</w:t>
      </w:r>
    </w:p>
    <w:p w14:paraId="6725A7F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1.补发自收自支人员补充性绩效，2022年该项目预算30.7872万元，预算执行率100%，资金到位率100%</w:t>
      </w:r>
    </w:p>
    <w:p w14:paraId="2AAADC1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2.城中村改造干群风采征集工作专班后续经费，2022年该项目预算9.372万元，预算执行率100%，资金到位率100%。</w:t>
      </w:r>
    </w:p>
    <w:p w14:paraId="77C970B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3.城中村改造干群风采征集工作专班运行启动资金，2022年该项目预算5万元，预算执行率100%，资金到位率100%。</w:t>
      </w:r>
    </w:p>
    <w:p w14:paraId="05F6C01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4.地面数字电视覆盖网建设，2022年该项目预算20万元，预算执行率100%，资金到位率100%。</w:t>
      </w:r>
    </w:p>
    <w:p w14:paraId="66347D2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5.电视台运行费，2022年该项目预算55.884291万元，预算执行率100%，资金到位率100%。</w:t>
      </w:r>
    </w:p>
    <w:p w14:paraId="06B368D1">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6.电视台自收自支人员经费，2022年该项目预算241.5359万元，预算执行率100%，资金到位率100%。</w:t>
      </w:r>
    </w:p>
    <w:p w14:paraId="2BC8CD41">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7.供电线路改造经费，2022年该项目预算30万元，预算执行率100%，资金到位率100%。</w:t>
      </w:r>
    </w:p>
    <w:p w14:paraId="5176FA5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8.购买《美丽河北》慢直播设备资金，2022年该项目预算2.8万元，预算执行率100%，资金到位率100%。</w:t>
      </w:r>
    </w:p>
    <w:p w14:paraId="5C6F09F6">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9.广电中心大楼消防改造启动资金，2022年该项目预算113.37万元，预算执行率100%，资金到位率100%。</w:t>
      </w:r>
    </w:p>
    <w:p w14:paraId="2ADE1635">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10.记录小康工程费用，2022年该项目预算5万元，预算执行率100%，资金到位率100%。</w:t>
      </w:r>
    </w:p>
    <w:p w14:paraId="2506C20D">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11.劳务派遣人员经费，2022年该项目预算39.306888万元，预算执行率100%，资金到位率100%。</w:t>
      </w:r>
    </w:p>
    <w:p w14:paraId="0F4F3B8D">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12.融媒体中心办公经费，2022年该项目预算65万元，预算执行率100%，资金到位率100%。</w:t>
      </w:r>
    </w:p>
    <w:p w14:paraId="6DAC46FE">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13.石财教[2021]107号关于下达2022年省级公共文化服务体系建设补助资金的通知，2022年该项目预算20万元，预算执行率100%，资金到位率100%。</w:t>
      </w:r>
    </w:p>
    <w:p w14:paraId="052C7603">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14.外宣工作专项经费，2022年该项目预算5万元，预算执行率100%，资金到位率100%。</w:t>
      </w:r>
    </w:p>
    <w:p w14:paraId="15B80EC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15.优化营商环境专题教育片制作经费，2022年该项目预算5.5万元，预算执行率100%，资金到位率100%。</w:t>
      </w:r>
    </w:p>
    <w:p w14:paraId="511AEEC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16.增加对外宣传经费，2022年该项目预算2.152万元，预算执行率100%，资金到位率100%。</w:t>
      </w:r>
    </w:p>
    <w:p w14:paraId="114670D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17.长城新媒体开展宣传藁城系列活动经费，2022年该项目预算8万元，预算执行率100%，资金到位率100%。</w:t>
      </w:r>
    </w:p>
    <w:p w14:paraId="56643602">
      <w:pPr>
        <w:numPr>
          <w:ilvl w:val="0"/>
          <w:numId w:val="2"/>
        </w:numPr>
        <w:snapToGrid w:val="0"/>
        <w:spacing w:line="560" w:lineRule="exact"/>
        <w:ind w:firstLine="640"/>
        <w:rPr>
          <w:rFonts w:ascii="黑体" w:hAnsi="黑体" w:eastAsia="黑体" w:cs="黑体"/>
          <w:sz w:val="32"/>
          <w:szCs w:val="32"/>
        </w:rPr>
      </w:pPr>
      <w:r>
        <w:rPr>
          <w:rFonts w:hint="eastAsia" w:ascii="黑体" w:hAnsi="黑体" w:eastAsia="黑体" w:cs="黑体"/>
          <w:sz w:val="32"/>
          <w:szCs w:val="32"/>
        </w:rPr>
        <w:t>评价结论和评价等级</w:t>
      </w:r>
    </w:p>
    <w:p w14:paraId="5D78CA42">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1.补充自收自支人员补充性绩效</w:t>
      </w:r>
    </w:p>
    <w:p w14:paraId="7DF43684">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项目产出指标完成情况：</w:t>
      </w:r>
      <w:r>
        <w:rPr>
          <w:rFonts w:hint="eastAsia" w:ascii="仿宋" w:hAnsi="仿宋" w:eastAsia="仿宋"/>
          <w:sz w:val="32"/>
          <w:szCs w:val="32"/>
        </w:rPr>
        <w:t>补发自收自支人员补充性绩效项目数量指标实际完成补充性绩效发放人数24人，质量指标各项支付工作实际完成率100%，时效指标项目下达后及时发放资金，成本指标补充性绩效工作总额30.7872万元全部支出。根据指标体系评分40分。</w:t>
      </w:r>
    </w:p>
    <w:p w14:paraId="1CDC5F6A">
      <w:pPr>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 xml:space="preserve"> 项目效益指标完成情况：</w:t>
      </w:r>
      <w:r>
        <w:rPr>
          <w:rFonts w:hint="eastAsia" w:ascii="仿宋" w:hAnsi="仿宋" w:eastAsia="仿宋"/>
          <w:sz w:val="32"/>
          <w:szCs w:val="32"/>
        </w:rPr>
        <w:t>补发自收自支人员补充性绩效项目可持续影响指标，实际完成值自收自支人员按照工作要求，按时高质、高效的完成工作，中心工作顺利进行，根据指标体系评分40分。</w:t>
      </w:r>
    </w:p>
    <w:p w14:paraId="4D4529EB">
      <w:pPr>
        <w:snapToGrid w:val="0"/>
        <w:spacing w:line="560" w:lineRule="exact"/>
        <w:ind w:left="420" w:leftChars="200"/>
        <w:rPr>
          <w:rFonts w:ascii="仿宋" w:hAnsi="仿宋" w:eastAsia="仿宋"/>
          <w:sz w:val="32"/>
          <w:szCs w:val="32"/>
        </w:rPr>
      </w:pPr>
      <w:r>
        <w:rPr>
          <w:rFonts w:hint="eastAsia" w:ascii="仿宋" w:hAnsi="仿宋" w:eastAsia="仿宋"/>
          <w:sz w:val="32"/>
          <w:szCs w:val="32"/>
        </w:rPr>
        <w:t>2.城中村改造干群风采征集工作专班后续费用</w:t>
      </w:r>
    </w:p>
    <w:p w14:paraId="7165EFFD">
      <w:pPr>
        <w:snapToGrid w:val="0"/>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项目产出指标完成情况：</w:t>
      </w:r>
      <w:r>
        <w:rPr>
          <w:rFonts w:hint="eastAsia" w:ascii="仿宋" w:hAnsi="仿宋" w:eastAsia="仿宋"/>
          <w:sz w:val="32"/>
          <w:szCs w:val="32"/>
        </w:rPr>
        <w:t>城中村改造干群风采征集工作专班后续资金项目实际完成数量指标制作出版书籍数量1000本，质量指标画册印刷质量无破损，无玷污，时效指标印刷小样在2022.2.28完成，成本指标项目总成本9.372万元，根据指标体系评分标准计算分值40分。</w:t>
      </w:r>
    </w:p>
    <w:p w14:paraId="6EB4B205">
      <w:pPr>
        <w:snapToGrid w:val="0"/>
        <w:spacing w:line="560" w:lineRule="exact"/>
        <w:rPr>
          <w:rFonts w:ascii="仿宋" w:hAnsi="仿宋" w:eastAsia="仿宋"/>
          <w:sz w:val="32"/>
          <w:szCs w:val="32"/>
        </w:rPr>
      </w:pPr>
      <w:r>
        <w:rPr>
          <w:rFonts w:hint="eastAsia" w:ascii="仿宋" w:hAnsi="仿宋" w:eastAsia="仿宋"/>
          <w:sz w:val="32"/>
          <w:szCs w:val="32"/>
        </w:rPr>
        <w:t xml:space="preserve">  项目效益指标完成情况：城中村改造干群风采征集工作专班后续资金项目可持续影响书籍、画册留影涵盖面实际完成值98%，根据指标体系评分标准计算分值38分。</w:t>
      </w:r>
    </w:p>
    <w:p w14:paraId="251E666D">
      <w:pPr>
        <w:numPr>
          <w:ilvl w:val="0"/>
          <w:numId w:val="3"/>
        </w:numPr>
        <w:snapToGrid w:val="0"/>
        <w:spacing w:line="560" w:lineRule="exact"/>
        <w:rPr>
          <w:rFonts w:ascii="仿宋" w:hAnsi="仿宋" w:eastAsia="仿宋"/>
          <w:sz w:val="32"/>
          <w:szCs w:val="32"/>
        </w:rPr>
      </w:pPr>
      <w:r>
        <w:rPr>
          <w:rFonts w:hint="eastAsia" w:ascii="仿宋" w:hAnsi="仿宋" w:eastAsia="仿宋"/>
          <w:sz w:val="32"/>
          <w:szCs w:val="32"/>
        </w:rPr>
        <w:t>改造干群风采征集工作专班运行启动资金</w:t>
      </w:r>
    </w:p>
    <w:p w14:paraId="1A4C19C6">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项目产出指标完成情况：</w:t>
      </w:r>
      <w:r>
        <w:rPr>
          <w:rFonts w:hint="eastAsia" w:ascii="仿宋" w:hAnsi="仿宋" w:eastAsia="仿宋"/>
          <w:sz w:val="32"/>
          <w:szCs w:val="32"/>
        </w:rPr>
        <w:t>城中村改造干群风采征集工作专班运行启动资金项目数量指标实际专业工作人员14人，质量指标出版印刷项目作品质量100%，时效指标在2022年完成项目支出，成本指标完成项目5万元支出，根据指标体系评分40分。</w:t>
      </w:r>
    </w:p>
    <w:p w14:paraId="748580EA">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项目效益指标完成情况：城中村改造干群风采征集工作专班运行启动资金项目可持续影响成书留影，完成对城中村改造干群风采的成书留影，根据指标体系评分标准计算分值10分。</w:t>
      </w:r>
    </w:p>
    <w:p w14:paraId="40AF95DB">
      <w:pPr>
        <w:numPr>
          <w:ilvl w:val="0"/>
          <w:numId w:val="3"/>
        </w:num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地面数字电视覆盖网建设</w:t>
      </w:r>
    </w:p>
    <w:p w14:paraId="2B14CE59">
      <w:pPr>
        <w:snapToGrid w:val="0"/>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项目产出指标完成情况：</w:t>
      </w:r>
      <w:r>
        <w:rPr>
          <w:rFonts w:hint="eastAsia" w:ascii="仿宋" w:hAnsi="仿宋" w:eastAsia="仿宋" w:cs="楷体_GB2312"/>
          <w:sz w:val="32"/>
          <w:szCs w:val="32"/>
        </w:rPr>
        <w:t>地面数字电视覆盖网建设项目，数量指标实际完成值建设项目总数量1个，质量指标验收标准99%，时效指标实际完成值100%，成本指标实际完成总项目资金的38.24%</w:t>
      </w:r>
      <w:r>
        <w:rPr>
          <w:rFonts w:hint="eastAsia" w:ascii="仿宋" w:hAnsi="仿宋" w:eastAsia="仿宋"/>
          <w:sz w:val="32"/>
          <w:szCs w:val="32"/>
        </w:rPr>
        <w:t>，根据指标体系评分标准计算分值35分。</w:t>
      </w:r>
    </w:p>
    <w:p w14:paraId="583CF35D">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w:t>
      </w:r>
      <w:r>
        <w:rPr>
          <w:rFonts w:hint="eastAsia" w:ascii="仿宋" w:hAnsi="仿宋" w:eastAsia="仿宋" w:cs="楷体_GB2312"/>
          <w:sz w:val="32"/>
          <w:szCs w:val="32"/>
        </w:rPr>
        <w:t>地面数字电视覆盖网建设项目可持续影响指标</w:t>
      </w:r>
      <w:r>
        <w:rPr>
          <w:rFonts w:hint="eastAsia" w:ascii="仿宋" w:hAnsi="仿宋" w:eastAsia="仿宋"/>
          <w:sz w:val="32"/>
          <w:szCs w:val="32"/>
        </w:rPr>
        <w:t>根据指标我区广播电视宣传和公共服务显著提高，根据指标体系评分标准计算分值40分。</w:t>
      </w:r>
    </w:p>
    <w:p w14:paraId="3551181E">
      <w:pPr>
        <w:numPr>
          <w:ilvl w:val="0"/>
          <w:numId w:val="3"/>
        </w:num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电视台运行费</w:t>
      </w:r>
    </w:p>
    <w:p w14:paraId="03170EDE">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项目产出指标完成情况：</w:t>
      </w:r>
      <w:r>
        <w:rPr>
          <w:rFonts w:hint="eastAsia" w:ascii="仿宋" w:hAnsi="仿宋" w:eastAsia="仿宋"/>
          <w:sz w:val="32"/>
          <w:szCs w:val="32"/>
        </w:rPr>
        <w:t>电视台运行费项目实际完成数量指标临聘人员数量12人，质量指标临聘人员能够按照各自的工作要求完成工作，时效指标每月按时制作工资表并发放工资，成本指标完成55.884291万元支出，根据指标体系评分标准计算分值40分。</w:t>
      </w:r>
    </w:p>
    <w:p w14:paraId="26A21791">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项目效益指标完成情况：电视台运行费可持续影响指标临聘人员按照工作要求完成工作，中心工作效率显著提高，根据指标体系评分标准计算分值40分。</w:t>
      </w:r>
    </w:p>
    <w:p w14:paraId="336EE301">
      <w:pPr>
        <w:numPr>
          <w:ilvl w:val="0"/>
          <w:numId w:val="3"/>
        </w:num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电视台自收自支人员经费</w:t>
      </w:r>
    </w:p>
    <w:p w14:paraId="4007793A">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产出指标完成情况：电视台自收自支人员经费实际完成数量指标20人，质量指标各项支付工作实际完成率1</w:t>
      </w:r>
      <w:r>
        <w:rPr>
          <w:rFonts w:ascii="仿宋" w:hAnsi="仿宋" w:eastAsia="仿宋"/>
          <w:sz w:val="32"/>
          <w:szCs w:val="32"/>
        </w:rPr>
        <w:t>00</w:t>
      </w:r>
      <w:r>
        <w:rPr>
          <w:rFonts w:hint="eastAsia" w:ascii="仿宋" w:hAnsi="仿宋" w:eastAsia="仿宋"/>
          <w:sz w:val="32"/>
          <w:szCs w:val="32"/>
        </w:rPr>
        <w:t>%，时效指标每月按时发放工资支出及时，成本指标按照年初预算完成项目总支出。根据指标体系评分4</w:t>
      </w:r>
      <w:r>
        <w:rPr>
          <w:rFonts w:ascii="仿宋" w:hAnsi="仿宋" w:eastAsia="仿宋"/>
          <w:sz w:val="32"/>
          <w:szCs w:val="32"/>
        </w:rPr>
        <w:t>0</w:t>
      </w:r>
      <w:r>
        <w:rPr>
          <w:rFonts w:hint="eastAsia" w:ascii="仿宋" w:hAnsi="仿宋" w:eastAsia="仿宋"/>
          <w:sz w:val="32"/>
          <w:szCs w:val="32"/>
        </w:rPr>
        <w:t>分。</w:t>
      </w:r>
    </w:p>
    <w:p w14:paraId="79C27411">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效益指标完成情况：电视台自收自支人员经费可持续影响指标，实际完成值自收自支人员按照工作要求、上级要求，按时高质、高效完成工作，使中心工作顺利进行，根据指标体系评分38分。</w:t>
      </w:r>
    </w:p>
    <w:p w14:paraId="33EBB3C0">
      <w:pPr>
        <w:numPr>
          <w:ilvl w:val="0"/>
          <w:numId w:val="3"/>
        </w:numPr>
        <w:spacing w:line="560" w:lineRule="exact"/>
        <w:ind w:firstLine="640" w:firstLineChars="200"/>
        <w:rPr>
          <w:rFonts w:ascii="仿宋" w:hAnsi="仿宋" w:eastAsia="仿宋"/>
          <w:sz w:val="32"/>
          <w:szCs w:val="32"/>
        </w:rPr>
      </w:pPr>
      <w:r>
        <w:rPr>
          <w:rFonts w:hint="eastAsia" w:ascii="仿宋" w:hAnsi="仿宋" w:eastAsia="仿宋"/>
          <w:sz w:val="32"/>
          <w:szCs w:val="32"/>
        </w:rPr>
        <w:t>供电线路改造经费</w:t>
      </w:r>
    </w:p>
    <w:p w14:paraId="745BA516">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产出指标完成情况：供电线路改造经费项目产出指标数量指标实际完成值工程质量合格率100%,质量指标工程按时完成率100%，时效指标工程完成及时率100%，成本指标支出进度100%，根据指标体系评分标准计算分值40分。</w:t>
      </w:r>
    </w:p>
    <w:p w14:paraId="7AD9431C">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效益指标完成情况：供电线路改造经费项目可持续影响指标实际完成值设备使用效果100%，根据指标体系评分标准计算分值40分。</w:t>
      </w:r>
    </w:p>
    <w:p w14:paraId="7BF08EC4">
      <w:pPr>
        <w:numPr>
          <w:ilvl w:val="0"/>
          <w:numId w:val="3"/>
        </w:numPr>
        <w:spacing w:line="560" w:lineRule="exact"/>
        <w:ind w:firstLine="640" w:firstLineChars="200"/>
        <w:rPr>
          <w:rFonts w:ascii="仿宋" w:hAnsi="仿宋" w:eastAsia="仿宋"/>
          <w:sz w:val="32"/>
          <w:szCs w:val="32"/>
        </w:rPr>
      </w:pPr>
      <w:r>
        <w:rPr>
          <w:rFonts w:hint="eastAsia" w:ascii="仿宋" w:hAnsi="仿宋" w:eastAsia="仿宋"/>
          <w:sz w:val="32"/>
          <w:szCs w:val="32"/>
        </w:rPr>
        <w:t>购买《美丽河北》慢直播设备资金</w:t>
      </w:r>
    </w:p>
    <w:p w14:paraId="56A1F04F">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购买《美丽河北》慢直播设备资金项目数量指标实际完成值直播设备一套，质量指标设备购置、安装完成后验收标准100%，支出时效100%，成本指标项目总成本实际完成值2.8万元，根据指标体系评分标准计算分值共40分。</w:t>
      </w:r>
    </w:p>
    <w:p w14:paraId="1D8CF153">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效益指标完成情况：购买《美丽河北》慢直播设备资金项目可持续影响指标预期指标值设备使用率≥80%，实际完成值95%，根据指标体系评分标准计算分值10分。</w:t>
      </w:r>
    </w:p>
    <w:p w14:paraId="4312C2D6">
      <w:pPr>
        <w:numPr>
          <w:ilvl w:val="0"/>
          <w:numId w:val="3"/>
        </w:numPr>
        <w:spacing w:line="560" w:lineRule="exact"/>
        <w:ind w:firstLine="640" w:firstLineChars="200"/>
        <w:rPr>
          <w:rFonts w:ascii="仿宋" w:hAnsi="仿宋" w:eastAsia="仿宋"/>
          <w:sz w:val="32"/>
          <w:szCs w:val="32"/>
        </w:rPr>
      </w:pPr>
      <w:r>
        <w:rPr>
          <w:rFonts w:hint="eastAsia" w:ascii="仿宋" w:hAnsi="仿宋" w:eastAsia="仿宋"/>
          <w:sz w:val="32"/>
          <w:szCs w:val="32"/>
        </w:rPr>
        <w:t>广电中心大楼消防改造启动资金</w:t>
      </w:r>
    </w:p>
    <w:p w14:paraId="41C962BC">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广电中心大楼消防改造启动资金项目实际完成数量指标完成项目数量1项，质量指标验收质量98%，时效指标项目完成时间100%,成本指标项目总成本113.37万元，根据指标体系评分标准计算分值40分。</w:t>
      </w:r>
    </w:p>
    <w:p w14:paraId="65DD9BB7">
      <w:pPr>
        <w:spacing w:line="560" w:lineRule="exact"/>
        <w:ind w:firstLine="640" w:firstLineChars="200"/>
        <w:rPr>
          <w:rFonts w:ascii="仿宋" w:hAnsi="仿宋" w:eastAsia="仿宋"/>
          <w:sz w:val="32"/>
          <w:szCs w:val="32"/>
        </w:rPr>
      </w:pPr>
      <w:r>
        <w:rPr>
          <w:rFonts w:hint="eastAsia" w:ascii="仿宋" w:hAnsi="仿宋" w:eastAsia="仿宋" w:cs="仿宋"/>
          <w:sz w:val="32"/>
          <w:szCs w:val="32"/>
        </w:rPr>
        <w:t>项目</w:t>
      </w:r>
      <w:r>
        <w:rPr>
          <w:rFonts w:hint="eastAsia" w:ascii="仿宋" w:hAnsi="仿宋" w:eastAsia="仿宋"/>
          <w:sz w:val="32"/>
          <w:szCs w:val="32"/>
        </w:rPr>
        <w:t>效益指标完成情况：广电中心大楼消防改造启动资金项目可持续影响待项目完成后长期使用性，根据指标体系评分标准计算分值40分。</w:t>
      </w:r>
    </w:p>
    <w:p w14:paraId="01AB9805">
      <w:pPr>
        <w:spacing w:line="560" w:lineRule="exact"/>
        <w:ind w:firstLine="640" w:firstLineChars="200"/>
        <w:rPr>
          <w:rFonts w:ascii="仿宋" w:hAnsi="仿宋" w:eastAsia="仿宋"/>
          <w:sz w:val="32"/>
          <w:szCs w:val="32"/>
        </w:rPr>
      </w:pPr>
      <w:r>
        <w:rPr>
          <w:rFonts w:hint="eastAsia" w:ascii="仿宋" w:hAnsi="仿宋" w:eastAsia="仿宋"/>
          <w:sz w:val="32"/>
          <w:szCs w:val="32"/>
        </w:rPr>
        <w:t>10.记录小康工程项目</w:t>
      </w:r>
    </w:p>
    <w:p w14:paraId="2EF3B7CE">
      <w:pPr>
        <w:spacing w:line="560" w:lineRule="exact"/>
        <w:ind w:firstLine="640" w:firstLineChars="200"/>
        <w:rPr>
          <w:rFonts w:ascii="仿宋" w:hAnsi="仿宋" w:eastAsia="仿宋"/>
          <w:sz w:val="32"/>
          <w:szCs w:val="32"/>
        </w:rPr>
      </w:pPr>
      <w:r>
        <w:rPr>
          <w:rFonts w:hint="eastAsia" w:ascii="仿宋" w:hAnsi="仿宋" w:eastAsia="仿宋"/>
          <w:color w:val="000000" w:themeColor="text1"/>
          <w:sz w:val="32"/>
          <w:szCs w:val="32"/>
          <w14:textFill>
            <w14:solidFill>
              <w14:schemeClr w14:val="tx1"/>
            </w14:solidFill>
          </w14:textFill>
        </w:rPr>
        <w:t>项目产出指标完成情况：</w:t>
      </w:r>
      <w:r>
        <w:rPr>
          <w:rFonts w:hint="eastAsia" w:ascii="仿宋" w:hAnsi="仿宋" w:eastAsia="仿宋"/>
          <w:sz w:val="32"/>
          <w:szCs w:val="32"/>
        </w:rPr>
        <w:t>记录小康工程数量指标实际完成值数据库资料整理265条、质量指标差错率＜1%、实效指标数据库信息时效性100%、成本指标完成项目总成本5万元等，根据指标体系评分标准计算分值。</w:t>
      </w:r>
    </w:p>
    <w:p w14:paraId="56DF3852">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项目效益指标完成情况：记录小康工程费用项目社会效益指标数据库使用率实际完成值90%，根据指标体系评分标准计算分值40分。</w:t>
      </w:r>
    </w:p>
    <w:p w14:paraId="4C809481">
      <w:pPr>
        <w:spacing w:line="560" w:lineRule="exact"/>
        <w:ind w:firstLine="640" w:firstLineChars="200"/>
        <w:rPr>
          <w:rFonts w:ascii="仿宋" w:hAnsi="仿宋" w:eastAsia="仿宋"/>
          <w:sz w:val="32"/>
          <w:szCs w:val="32"/>
        </w:rPr>
      </w:pPr>
      <w:r>
        <w:rPr>
          <w:rFonts w:hint="eastAsia" w:ascii="仿宋" w:hAnsi="仿宋" w:eastAsia="仿宋"/>
          <w:sz w:val="32"/>
          <w:szCs w:val="32"/>
        </w:rPr>
        <w:t>11.劳务派遣人员经费</w:t>
      </w:r>
    </w:p>
    <w:p w14:paraId="7BCDF638">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劳务派遣人员经费项目实际完成值数量指标劳务派遣人员8名，质量指标资金支付完成率100%，时效指标每月25号前发放工资，成本指标实际支出小于预期指标值，劳务根据指标体系评分标准计算分值40分。</w:t>
      </w:r>
    </w:p>
    <w:p w14:paraId="276BCEFC">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项目效益指标完成情况：劳务派遣人员经费项目可持续影响劳务派遣人员长期工作完成情况达到考核标准，根据指标体系评分标准计算分值40分。</w:t>
      </w:r>
    </w:p>
    <w:p w14:paraId="6DF07123">
      <w:pPr>
        <w:numPr>
          <w:ilvl w:val="0"/>
          <w:numId w:val="4"/>
        </w:numPr>
        <w:spacing w:line="560" w:lineRule="exact"/>
        <w:ind w:firstLine="640" w:firstLineChars="200"/>
        <w:rPr>
          <w:rFonts w:ascii="仿宋" w:hAnsi="仿宋" w:eastAsia="仿宋"/>
          <w:sz w:val="32"/>
          <w:szCs w:val="32"/>
        </w:rPr>
      </w:pPr>
      <w:r>
        <w:rPr>
          <w:rFonts w:hint="eastAsia" w:ascii="仿宋" w:hAnsi="仿宋" w:eastAsia="仿宋"/>
          <w:sz w:val="32"/>
          <w:szCs w:val="32"/>
        </w:rPr>
        <w:t>融媒体中心办公经费</w:t>
      </w:r>
    </w:p>
    <w:p w14:paraId="3C313284">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项目产出指标完成情况：融媒体中心办公经费项目数量指标实际完成值为每期8278份共95期，全年共786410份、质量指标中心工作运转情况良好、工作顺利进行，时效指标综合事务管理工作完成率1</w:t>
      </w:r>
      <w:r>
        <w:rPr>
          <w:rFonts w:ascii="仿宋" w:hAnsi="仿宋" w:eastAsia="仿宋"/>
          <w:sz w:val="32"/>
          <w:szCs w:val="32"/>
        </w:rPr>
        <w:t>00</w:t>
      </w:r>
      <w:r>
        <w:rPr>
          <w:rFonts w:hint="eastAsia" w:ascii="仿宋" w:hAnsi="仿宋" w:eastAsia="仿宋"/>
          <w:sz w:val="32"/>
          <w:szCs w:val="32"/>
        </w:rPr>
        <w:t>%，成本指标完成项目总成本65万元，根据指标体系评分标准计算分值40分。</w:t>
      </w:r>
    </w:p>
    <w:p w14:paraId="466BD3E2">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项目效益指标完成情况：融媒体中心办公经费可持续影响指标工作效率实际完成值98%，根据指标体系评分标准计算分值40分。</w:t>
      </w:r>
    </w:p>
    <w:p w14:paraId="31AC6E74">
      <w:pPr>
        <w:numPr>
          <w:ilvl w:val="0"/>
          <w:numId w:val="4"/>
        </w:numPr>
        <w:spacing w:line="560" w:lineRule="exact"/>
        <w:ind w:firstLine="640" w:firstLineChars="200"/>
        <w:rPr>
          <w:rFonts w:ascii="仿宋" w:hAnsi="仿宋" w:eastAsia="仿宋"/>
          <w:sz w:val="32"/>
          <w:szCs w:val="32"/>
        </w:rPr>
      </w:pPr>
      <w:r>
        <w:rPr>
          <w:rFonts w:hint="eastAsia" w:ascii="仿宋" w:hAnsi="仿宋" w:eastAsia="仿宋"/>
          <w:sz w:val="32"/>
          <w:szCs w:val="32"/>
        </w:rPr>
        <w:t>石财教[2021]107号关于提前下达2022年省级公共文化服务体系建设补助资金的通知</w:t>
      </w:r>
    </w:p>
    <w:p w14:paraId="3F161A74">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项目产出指标完成情况：石财教[2021]107号关于提前下达2022年省级公共文化服务体系建设补助资金的通知项目数量指标实际完成值维护设备数量一套，质量指标设备维护完成率100%，时效指标综合事务管理工作完成率100%，成本指标项目总成本实际支出20万元，完均完成预期指标值，根据指标体系评分标准计算分值40分。</w:t>
      </w:r>
    </w:p>
    <w:p w14:paraId="4E01A477">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石财教[2021]107号关于提前下达2022年省级公共文化服务体系建设补助资金的通知项目可持续影响指标电视节目正常播出，定期对电视播出设备及系统进行检测、维修维护，根据指标体系评分标准计算分值10分。</w:t>
      </w:r>
    </w:p>
    <w:p w14:paraId="300F3848">
      <w:pPr>
        <w:numPr>
          <w:ilvl w:val="0"/>
          <w:numId w:val="4"/>
        </w:numPr>
        <w:spacing w:line="560" w:lineRule="exact"/>
        <w:ind w:firstLine="640" w:firstLineChars="200"/>
        <w:rPr>
          <w:rFonts w:ascii="仿宋" w:hAnsi="仿宋" w:eastAsia="仿宋"/>
          <w:sz w:val="32"/>
          <w:szCs w:val="32"/>
        </w:rPr>
      </w:pPr>
      <w:r>
        <w:rPr>
          <w:rFonts w:hint="eastAsia" w:ascii="仿宋" w:hAnsi="仿宋" w:eastAsia="仿宋"/>
          <w:sz w:val="32"/>
          <w:szCs w:val="32"/>
        </w:rPr>
        <w:t>外宣工作专项经费</w:t>
      </w:r>
    </w:p>
    <w:p w14:paraId="52EEEDD5">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项目产出指标完成情况：外宣工作专项经费项目的实际完成数量指标稿件数量35条，质量指标优质稿件20条，时效指标支出及时率100%，成本指标完成项目总成本5万元年支出，根据指标体系评分标准计算分值40分。</w:t>
      </w:r>
    </w:p>
    <w:p w14:paraId="3326EFC1">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项目效益指标完成情况：外宣工作专项经费项目社会效益指标2022年上级采用稿件次数达160多次，完成预期指标值，根据指标体系评分标准计算分值40分。</w:t>
      </w:r>
    </w:p>
    <w:p w14:paraId="77C87DC0">
      <w:pPr>
        <w:spacing w:line="560" w:lineRule="exact"/>
        <w:ind w:firstLine="640" w:firstLineChars="200"/>
        <w:rPr>
          <w:rFonts w:ascii="仿宋" w:hAnsi="仿宋" w:eastAsia="仿宋"/>
          <w:sz w:val="32"/>
          <w:szCs w:val="32"/>
        </w:rPr>
      </w:pPr>
      <w:r>
        <w:rPr>
          <w:rFonts w:hint="eastAsia" w:ascii="仿宋" w:hAnsi="仿宋" w:eastAsia="仿宋"/>
          <w:sz w:val="32"/>
          <w:szCs w:val="32"/>
        </w:rPr>
        <w:t>15增加对外宣传经费</w:t>
      </w:r>
    </w:p>
    <w:p w14:paraId="618D2942">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项目产出指标完成情况：外宣工作专项经费项目的实际完成数量指标稿件数量35条，质量指标优质稿件20条，时效指标支出及时率100%，成本指标完成项目总成本5万元年支出，根据指标体系评分标准计算分值40分。</w:t>
      </w:r>
    </w:p>
    <w:p w14:paraId="7F74A236">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项目效益指标完成情况：外宣工作专项经费项目社会效益指标2022年上级采用稿件次数达160多次，完成预期指标值，根据指标体系评分标准计算分值40分。</w:t>
      </w:r>
    </w:p>
    <w:p w14:paraId="387FFEA2">
      <w:pPr>
        <w:spacing w:line="560" w:lineRule="exact"/>
        <w:ind w:firstLine="640" w:firstLineChars="200"/>
        <w:rPr>
          <w:rFonts w:ascii="仿宋" w:hAnsi="仿宋" w:eastAsia="仿宋"/>
          <w:sz w:val="32"/>
          <w:szCs w:val="32"/>
        </w:rPr>
      </w:pPr>
      <w:r>
        <w:rPr>
          <w:rFonts w:hint="eastAsia" w:ascii="仿宋" w:hAnsi="仿宋" w:eastAsia="仿宋"/>
          <w:sz w:val="32"/>
          <w:szCs w:val="32"/>
        </w:rPr>
        <w:t>16.优化营商环境专题教育片制作经费</w:t>
      </w:r>
    </w:p>
    <w:p w14:paraId="21586100">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优化营商环境专题教育片制作经费项目产出指标数量指标实际完成值专题片数量1个，质量指标成片质量达到预期要求，时效指标专题片在第二季度完成，成本指标项目完成预算5.5万元支出，根据指标体系评分标准计算分值10分。</w:t>
      </w:r>
    </w:p>
    <w:p w14:paraId="568DEFCD">
      <w:pPr>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 项目效益指标完成情况：优化营商环境专题教育片制作经费项目可持续影响营商环境影响力通过微信、电视等平台宣传优化藁城营商环境根据指标体系评分标准计算分值40分。</w:t>
      </w:r>
    </w:p>
    <w:p w14:paraId="1E356B29">
      <w:pPr>
        <w:spacing w:line="560" w:lineRule="exact"/>
        <w:ind w:left="420" w:leftChars="200"/>
        <w:rPr>
          <w:rFonts w:ascii="仿宋" w:hAnsi="仿宋" w:eastAsia="仿宋"/>
          <w:sz w:val="32"/>
          <w:szCs w:val="32"/>
        </w:rPr>
      </w:pPr>
      <w:r>
        <w:rPr>
          <w:rFonts w:hint="eastAsia" w:ascii="仿宋" w:hAnsi="仿宋" w:eastAsia="仿宋"/>
          <w:sz w:val="32"/>
          <w:szCs w:val="32"/>
        </w:rPr>
        <w:t>17.长城新媒体开展宣传藁城系列活动经费</w:t>
      </w:r>
    </w:p>
    <w:p w14:paraId="025CB5A7">
      <w:pPr>
        <w:spacing w:line="560" w:lineRule="exact"/>
        <w:ind w:firstLine="640" w:firstLineChars="200"/>
        <w:rPr>
          <w:rFonts w:ascii="仿宋" w:hAnsi="仿宋" w:eastAsia="仿宋"/>
          <w:sz w:val="32"/>
          <w:szCs w:val="32"/>
        </w:rPr>
      </w:pPr>
      <w:r>
        <w:rPr>
          <w:rFonts w:hint="eastAsia" w:ascii="仿宋" w:hAnsi="仿宋" w:eastAsia="仿宋"/>
          <w:sz w:val="32"/>
          <w:szCs w:val="32"/>
        </w:rPr>
        <w:t>项目产出指标完成情况：长城新媒体开展宣传藁城系列活动经费的实际完成数量指标实际完成值宣传稿件≥20条、质量指标稿件指标稿件质量差错率0%，时效指标项目时间为本年俗1-12月、成本指标项目总成本8万元完成支付，根据指标体系评分标准计算分值40分。</w:t>
      </w:r>
    </w:p>
    <w:p w14:paraId="39B16C29">
      <w:pPr>
        <w:spacing w:line="560" w:lineRule="exact"/>
        <w:ind w:firstLine="640" w:firstLineChars="200"/>
        <w:rPr>
          <w:rFonts w:ascii="仿宋" w:hAnsi="仿宋" w:eastAsia="仿宋"/>
          <w:sz w:val="32"/>
          <w:szCs w:val="32"/>
        </w:rPr>
      </w:pPr>
      <w:r>
        <w:rPr>
          <w:rFonts w:hint="eastAsia" w:ascii="仿宋" w:hAnsi="仿宋" w:eastAsia="仿宋"/>
          <w:sz w:val="32"/>
          <w:szCs w:val="32"/>
        </w:rPr>
        <w:t>项目效益指标完成情况：长城新媒体开展宣传藁城系列活动经费社会效益指标扩大藁城区指明度实际完成值95%，根据指标体系评分标准计算分值40分。</w:t>
      </w:r>
    </w:p>
    <w:p w14:paraId="668F25FB">
      <w:pPr>
        <w:spacing w:line="560" w:lineRule="exact"/>
        <w:ind w:firstLine="640" w:firstLineChars="200"/>
        <w:rPr>
          <w:rFonts w:ascii="仿宋" w:hAnsi="仿宋" w:eastAsia="仿宋"/>
          <w:sz w:val="32"/>
          <w:szCs w:val="32"/>
        </w:rPr>
      </w:pPr>
      <w:r>
        <w:rPr>
          <w:rFonts w:hint="eastAsia" w:ascii="仿宋" w:hAnsi="仿宋" w:eastAsia="仿宋"/>
          <w:sz w:val="32"/>
          <w:szCs w:val="32"/>
        </w:rPr>
        <w:t>2022年我单位项目共支出</w:t>
      </w:r>
      <w:r>
        <w:rPr>
          <w:rFonts w:hint="eastAsia" w:ascii="仿宋" w:hAnsi="仿宋" w:eastAsia="仿宋" w:cs="仿宋"/>
          <w:sz w:val="32"/>
          <w:szCs w:val="32"/>
        </w:rPr>
        <w:t>6587082.79元，包括补发自收自支人员补充性绩效工资、城中村改造干群风采征集工作专班后续费用、电视台运行费、电视台自收自支人员经费、劳务派遣人员经费、融媒体中心办公经费等17个项目，2022年绩效自评共17个项目，包含重点项目一项，其中融媒体中心办公、记录小康工程费用两项目产出指标中的数量指标未达到预期指标值，原因为疫情期间影响报纸出版从而影响报纸整体印刷份数，疫情导致业务科室人员未能按预期外出拍摄，活动也未能按时举行，故导致资料整理条数未能达到预期指标值，其中地面数字覆盖网建设项目成本指标未达到预期指标值，原因为该项目建设完成后需在评审中心进行评审，在评审后进行剩余款项支付，该项目剩余款项目前已列入2023年预算，2022年我单位17个项目分值均＞85分，评价等价为优秀。</w:t>
      </w:r>
    </w:p>
    <w:p w14:paraId="1CB0EACC">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五、整改措施及结果应用</w:t>
      </w:r>
    </w:p>
    <w:p w14:paraId="4A2C5B11">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w:t>
      </w:r>
      <w:r>
        <w:rPr>
          <w:rFonts w:ascii="仿宋" w:hAnsi="仿宋" w:eastAsia="仿宋" w:cs="仿宋"/>
          <w:sz w:val="32"/>
          <w:szCs w:val="32"/>
        </w:rPr>
        <w:t>02</w:t>
      </w:r>
      <w:r>
        <w:rPr>
          <w:rFonts w:hint="eastAsia" w:ascii="仿宋" w:hAnsi="仿宋" w:eastAsia="仿宋" w:cs="仿宋"/>
          <w:sz w:val="32"/>
          <w:szCs w:val="32"/>
        </w:rPr>
        <w:t>2年，我单位严格按照预算项目绩效自评管理办法，及时开展项目落实，为全年工作的开展提供了保障，但还是存在绩效制度不健全、绩效管理质量不高的问题，以后将从几个方面加强绩效管理：</w:t>
      </w:r>
    </w:p>
    <w:p w14:paraId="22AE758B">
      <w:pPr>
        <w:numPr>
          <w:ilvl w:val="0"/>
          <w:numId w:val="5"/>
        </w:numPr>
        <w:snapToGrid w:val="0"/>
        <w:spacing w:line="560" w:lineRule="exact"/>
        <w:rPr>
          <w:rFonts w:ascii="仿宋" w:hAnsi="仿宋" w:eastAsia="仿宋" w:cs="仿宋"/>
          <w:sz w:val="32"/>
          <w:szCs w:val="32"/>
        </w:rPr>
      </w:pPr>
      <w:r>
        <w:rPr>
          <w:rFonts w:hint="eastAsia" w:ascii="仿宋" w:hAnsi="仿宋" w:eastAsia="仿宋" w:cs="仿宋"/>
          <w:sz w:val="32"/>
          <w:szCs w:val="32"/>
        </w:rPr>
        <w:t>加强绩效制度建设。完善绩效管理和评价管理，加强预算编制的前瞻性。</w:t>
      </w:r>
    </w:p>
    <w:p w14:paraId="19E00B39">
      <w:pPr>
        <w:numPr>
          <w:ilvl w:val="0"/>
          <w:numId w:val="5"/>
        </w:numPr>
        <w:snapToGrid w:val="0"/>
        <w:spacing w:line="560" w:lineRule="exact"/>
        <w:rPr>
          <w:rFonts w:ascii="仿宋" w:hAnsi="仿宋" w:eastAsia="仿宋" w:cs="仿宋"/>
          <w:sz w:val="32"/>
          <w:szCs w:val="32"/>
        </w:rPr>
      </w:pPr>
      <w:r>
        <w:rPr>
          <w:rFonts w:hint="eastAsia" w:ascii="仿宋" w:hAnsi="仿宋" w:eastAsia="仿宋" w:cs="仿宋"/>
          <w:sz w:val="32"/>
          <w:szCs w:val="32"/>
        </w:rPr>
        <w:t>强化绩效目标管理。</w:t>
      </w:r>
    </w:p>
    <w:p w14:paraId="431B4640">
      <w:pPr>
        <w:numPr>
          <w:ilvl w:val="0"/>
          <w:numId w:val="5"/>
        </w:numPr>
        <w:snapToGrid w:val="0"/>
        <w:spacing w:line="560" w:lineRule="exact"/>
        <w:rPr>
          <w:rFonts w:ascii="仿宋" w:hAnsi="仿宋" w:eastAsia="仿宋" w:cs="仿宋"/>
          <w:sz w:val="32"/>
          <w:szCs w:val="32"/>
        </w:rPr>
      </w:pPr>
      <w:r>
        <w:rPr>
          <w:rFonts w:hint="eastAsia" w:ascii="仿宋" w:hAnsi="仿宋" w:eastAsia="仿宋" w:cs="仿宋"/>
          <w:sz w:val="32"/>
          <w:szCs w:val="32"/>
        </w:rPr>
        <w:t>加强绩效运行监管。</w:t>
      </w:r>
    </w:p>
    <w:p w14:paraId="0862D61A">
      <w:pPr>
        <w:numPr>
          <w:ilvl w:val="0"/>
          <w:numId w:val="5"/>
        </w:numPr>
        <w:snapToGrid w:val="0"/>
        <w:spacing w:line="560" w:lineRule="exact"/>
        <w:rPr>
          <w:rFonts w:ascii="仿宋" w:hAnsi="仿宋" w:eastAsia="仿宋" w:cs="仿宋"/>
          <w:sz w:val="32"/>
          <w:szCs w:val="32"/>
        </w:rPr>
      </w:pPr>
      <w:r>
        <w:rPr>
          <w:rFonts w:hint="eastAsia" w:ascii="仿宋" w:hAnsi="仿宋" w:eastAsia="仿宋" w:cs="仿宋"/>
          <w:sz w:val="32"/>
          <w:szCs w:val="32"/>
        </w:rPr>
        <w:t>根据中心实际情况制定收费项目下年度预算数。</w:t>
      </w:r>
    </w:p>
    <w:p w14:paraId="52BC568C">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_GB2312"/>
          <w:sz w:val="32"/>
          <w:szCs w:val="32"/>
        </w:rPr>
        <w:t>5.精准编制预算，严格按照政策标准，优化支出结构，加快工作进度，提高预算编制的科学化精细化水平，根据中心实际情况严格制定下年度年初预算。</w:t>
      </w:r>
    </w:p>
    <w:p w14:paraId="1E510E0E">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六、评价工作组人员名单及签字</w:t>
      </w:r>
    </w:p>
    <w:tbl>
      <w:tblPr>
        <w:tblStyle w:val="5"/>
        <w:tblpPr w:leftFromText="180" w:rightFromText="180" w:vertAnchor="text" w:horzAnchor="page" w:tblpXSpec="center" w:tblpY="587"/>
        <w:tblOverlap w:val="never"/>
        <w:tblW w:w="87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546"/>
        <w:gridCol w:w="1817"/>
        <w:gridCol w:w="2445"/>
        <w:gridCol w:w="1684"/>
      </w:tblGrid>
      <w:tr w14:paraId="0CE7C2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263" w:type="dxa"/>
            <w:vAlign w:val="center"/>
          </w:tcPr>
          <w:p w14:paraId="2694F6B8">
            <w:pPr>
              <w:rPr>
                <w:rFonts w:ascii="仿宋" w:hAnsi="仿宋" w:eastAsia="仿宋" w:cs="仿宋"/>
                <w:sz w:val="24"/>
              </w:rPr>
            </w:pPr>
            <w:r>
              <w:rPr>
                <w:rFonts w:hint="eastAsia" w:ascii="仿宋" w:hAnsi="仿宋" w:eastAsia="仿宋" w:cs="仿宋"/>
                <w:sz w:val="24"/>
              </w:rPr>
              <w:t xml:space="preserve">   </w:t>
            </w:r>
            <w:bookmarkStart w:id="0" w:name="_Hlk77061131"/>
            <w:r>
              <w:rPr>
                <w:rFonts w:hint="eastAsia" w:ascii="仿宋" w:hAnsi="仿宋" w:eastAsia="仿宋" w:cs="仿宋"/>
                <w:sz w:val="24"/>
              </w:rPr>
              <w:t>序号</w:t>
            </w:r>
          </w:p>
        </w:tc>
        <w:tc>
          <w:tcPr>
            <w:tcW w:w="1546" w:type="dxa"/>
            <w:vAlign w:val="center"/>
          </w:tcPr>
          <w:p w14:paraId="3BC9BD32">
            <w:pPr>
              <w:jc w:val="center"/>
              <w:rPr>
                <w:rFonts w:ascii="仿宋" w:hAnsi="仿宋" w:eastAsia="仿宋" w:cs="仿宋"/>
                <w:sz w:val="24"/>
              </w:rPr>
            </w:pPr>
            <w:r>
              <w:rPr>
                <w:rFonts w:hint="eastAsia" w:ascii="仿宋" w:hAnsi="仿宋" w:eastAsia="仿宋" w:cs="仿宋"/>
                <w:sz w:val="24"/>
              </w:rPr>
              <w:t>姓名</w:t>
            </w:r>
          </w:p>
        </w:tc>
        <w:tc>
          <w:tcPr>
            <w:tcW w:w="1817" w:type="dxa"/>
            <w:vAlign w:val="center"/>
          </w:tcPr>
          <w:p w14:paraId="456C0486">
            <w:pPr>
              <w:jc w:val="center"/>
              <w:rPr>
                <w:rFonts w:ascii="仿宋" w:hAnsi="仿宋" w:eastAsia="仿宋" w:cs="仿宋"/>
                <w:sz w:val="24"/>
              </w:rPr>
            </w:pPr>
            <w:r>
              <w:rPr>
                <w:rFonts w:hint="eastAsia" w:ascii="仿宋" w:hAnsi="仿宋" w:eastAsia="仿宋" w:cs="仿宋"/>
                <w:sz w:val="24"/>
              </w:rPr>
              <w:t>工作单位</w:t>
            </w:r>
          </w:p>
        </w:tc>
        <w:tc>
          <w:tcPr>
            <w:tcW w:w="2445" w:type="dxa"/>
            <w:vAlign w:val="center"/>
          </w:tcPr>
          <w:p w14:paraId="5BF66EF5">
            <w:pPr>
              <w:jc w:val="center"/>
              <w:rPr>
                <w:rFonts w:ascii="仿宋" w:hAnsi="仿宋" w:eastAsia="仿宋" w:cs="仿宋"/>
                <w:sz w:val="24"/>
              </w:rPr>
            </w:pPr>
            <w:r>
              <w:rPr>
                <w:rFonts w:hint="eastAsia" w:ascii="仿宋" w:hAnsi="仿宋" w:eastAsia="仿宋" w:cs="仿宋"/>
                <w:sz w:val="24"/>
              </w:rPr>
              <w:t>职务</w:t>
            </w:r>
          </w:p>
        </w:tc>
        <w:tc>
          <w:tcPr>
            <w:tcW w:w="1684" w:type="dxa"/>
            <w:vAlign w:val="center"/>
          </w:tcPr>
          <w:p w14:paraId="180B8486">
            <w:pPr>
              <w:rPr>
                <w:rFonts w:ascii="仿宋" w:hAnsi="仿宋" w:eastAsia="仿宋" w:cs="仿宋"/>
                <w:sz w:val="24"/>
              </w:rPr>
            </w:pPr>
            <w:r>
              <w:rPr>
                <w:rFonts w:hint="eastAsia" w:ascii="仿宋" w:hAnsi="仿宋" w:eastAsia="仿宋" w:cs="仿宋"/>
                <w:sz w:val="24"/>
              </w:rPr>
              <w:t xml:space="preserve">    签字</w:t>
            </w:r>
          </w:p>
        </w:tc>
      </w:tr>
      <w:tr w14:paraId="4E98F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1263" w:type="dxa"/>
            <w:vAlign w:val="center"/>
          </w:tcPr>
          <w:p w14:paraId="321011DC">
            <w:pPr>
              <w:rPr>
                <w:rFonts w:ascii="仿宋" w:hAnsi="仿宋" w:eastAsia="仿宋" w:cs="仿宋"/>
                <w:sz w:val="24"/>
              </w:rPr>
            </w:pPr>
            <w:r>
              <w:rPr>
                <w:rFonts w:hint="eastAsia" w:ascii="仿宋" w:hAnsi="仿宋" w:eastAsia="仿宋" w:cs="仿宋"/>
                <w:sz w:val="24"/>
              </w:rPr>
              <w:t xml:space="preserve">    1</w:t>
            </w:r>
          </w:p>
        </w:tc>
        <w:tc>
          <w:tcPr>
            <w:tcW w:w="1546" w:type="dxa"/>
            <w:vAlign w:val="center"/>
          </w:tcPr>
          <w:p w14:paraId="2D89E789">
            <w:pPr>
              <w:jc w:val="center"/>
              <w:rPr>
                <w:rFonts w:ascii="仿宋" w:hAnsi="仿宋" w:eastAsia="仿宋" w:cs="仿宋"/>
                <w:sz w:val="24"/>
              </w:rPr>
            </w:pPr>
            <w:r>
              <w:rPr>
                <w:rFonts w:hint="eastAsia" w:ascii="仿宋" w:hAnsi="仿宋" w:eastAsia="仿宋" w:cs="仿宋"/>
                <w:sz w:val="24"/>
              </w:rPr>
              <w:t>张建岗</w:t>
            </w:r>
          </w:p>
        </w:tc>
        <w:tc>
          <w:tcPr>
            <w:tcW w:w="1817" w:type="dxa"/>
            <w:vAlign w:val="center"/>
          </w:tcPr>
          <w:p w14:paraId="1E84389B">
            <w:pPr>
              <w:jc w:val="center"/>
              <w:rPr>
                <w:rFonts w:ascii="仿宋" w:hAnsi="仿宋" w:eastAsia="仿宋" w:cs="仿宋"/>
                <w:sz w:val="24"/>
              </w:rPr>
            </w:pPr>
            <w:r>
              <w:rPr>
                <w:rFonts w:hint="eastAsia" w:ascii="仿宋" w:hAnsi="仿宋" w:eastAsia="仿宋" w:cs="仿宋"/>
                <w:sz w:val="24"/>
              </w:rPr>
              <w:t>区委宣传部、区融媒体中心</w:t>
            </w:r>
          </w:p>
        </w:tc>
        <w:tc>
          <w:tcPr>
            <w:tcW w:w="2445" w:type="dxa"/>
            <w:vAlign w:val="center"/>
          </w:tcPr>
          <w:p w14:paraId="517C50DF">
            <w:pPr>
              <w:jc w:val="center"/>
              <w:rPr>
                <w:rFonts w:ascii="仿宋" w:hAnsi="仿宋" w:eastAsia="仿宋" w:cs="仿宋"/>
                <w:sz w:val="24"/>
              </w:rPr>
            </w:pPr>
            <w:r>
              <w:rPr>
                <w:rFonts w:hint="eastAsia" w:ascii="仿宋" w:hAnsi="仿宋" w:eastAsia="仿宋" w:cs="仿宋"/>
                <w:sz w:val="24"/>
              </w:rPr>
              <w:t>区委宣传部副部长、区融媒体中心主任</w:t>
            </w:r>
          </w:p>
        </w:tc>
        <w:tc>
          <w:tcPr>
            <w:tcW w:w="1684" w:type="dxa"/>
            <w:vAlign w:val="center"/>
          </w:tcPr>
          <w:p w14:paraId="29376E8E">
            <w:pPr>
              <w:jc w:val="center"/>
              <w:rPr>
                <w:rFonts w:ascii="仿宋" w:hAnsi="仿宋" w:eastAsia="仿宋" w:cs="仿宋"/>
                <w:sz w:val="24"/>
              </w:rPr>
            </w:pPr>
          </w:p>
        </w:tc>
      </w:tr>
      <w:tr w14:paraId="1436E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263" w:type="dxa"/>
            <w:vAlign w:val="center"/>
          </w:tcPr>
          <w:p w14:paraId="5CE8FE89">
            <w:pPr>
              <w:rPr>
                <w:rFonts w:ascii="仿宋" w:hAnsi="仿宋" w:eastAsia="仿宋" w:cs="仿宋"/>
                <w:sz w:val="24"/>
              </w:rPr>
            </w:pPr>
            <w:r>
              <w:rPr>
                <w:rFonts w:hint="eastAsia" w:ascii="仿宋" w:hAnsi="仿宋" w:eastAsia="仿宋" w:cs="仿宋"/>
                <w:sz w:val="24"/>
              </w:rPr>
              <w:t xml:space="preserve">    2</w:t>
            </w:r>
          </w:p>
        </w:tc>
        <w:tc>
          <w:tcPr>
            <w:tcW w:w="1546" w:type="dxa"/>
            <w:vAlign w:val="center"/>
          </w:tcPr>
          <w:p w14:paraId="7179A967">
            <w:pPr>
              <w:jc w:val="center"/>
              <w:rPr>
                <w:rFonts w:ascii="仿宋" w:hAnsi="仿宋" w:eastAsia="仿宋" w:cs="仿宋"/>
                <w:sz w:val="24"/>
              </w:rPr>
            </w:pPr>
            <w:r>
              <w:rPr>
                <w:rFonts w:hint="eastAsia" w:ascii="仿宋" w:hAnsi="仿宋" w:eastAsia="仿宋" w:cs="仿宋"/>
                <w:sz w:val="24"/>
              </w:rPr>
              <w:t>岳立新</w:t>
            </w:r>
          </w:p>
        </w:tc>
        <w:tc>
          <w:tcPr>
            <w:tcW w:w="1817" w:type="dxa"/>
            <w:vAlign w:val="center"/>
          </w:tcPr>
          <w:p w14:paraId="6364DA3D">
            <w:pPr>
              <w:jc w:val="center"/>
              <w:rPr>
                <w:rFonts w:ascii="仿宋" w:hAnsi="仿宋" w:eastAsia="仿宋" w:cs="仿宋"/>
                <w:sz w:val="24"/>
              </w:rPr>
            </w:pPr>
            <w:r>
              <w:rPr>
                <w:rFonts w:hint="eastAsia" w:ascii="仿宋" w:hAnsi="仿宋" w:eastAsia="仿宋" w:cs="仿宋"/>
                <w:sz w:val="24"/>
              </w:rPr>
              <w:t>区融媒体中心</w:t>
            </w:r>
          </w:p>
        </w:tc>
        <w:tc>
          <w:tcPr>
            <w:tcW w:w="2445" w:type="dxa"/>
            <w:vAlign w:val="center"/>
          </w:tcPr>
          <w:p w14:paraId="2F153FE3">
            <w:pPr>
              <w:jc w:val="center"/>
              <w:rPr>
                <w:rFonts w:ascii="仿宋" w:hAnsi="仿宋" w:eastAsia="仿宋" w:cs="仿宋"/>
                <w:sz w:val="24"/>
              </w:rPr>
            </w:pPr>
            <w:r>
              <w:rPr>
                <w:rFonts w:hint="eastAsia" w:ascii="仿宋" w:hAnsi="仿宋" w:eastAsia="仿宋" w:cs="仿宋"/>
                <w:sz w:val="24"/>
              </w:rPr>
              <w:t>区融媒体中心副主任</w:t>
            </w:r>
          </w:p>
        </w:tc>
        <w:tc>
          <w:tcPr>
            <w:tcW w:w="1684" w:type="dxa"/>
            <w:vAlign w:val="center"/>
          </w:tcPr>
          <w:p w14:paraId="5D40A641">
            <w:pPr>
              <w:rPr>
                <w:rFonts w:ascii="仿宋" w:hAnsi="仿宋" w:eastAsia="仿宋" w:cs="仿宋"/>
                <w:sz w:val="24"/>
              </w:rPr>
            </w:pPr>
          </w:p>
        </w:tc>
      </w:tr>
      <w:tr w14:paraId="47CC4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263" w:type="dxa"/>
            <w:vAlign w:val="center"/>
          </w:tcPr>
          <w:p w14:paraId="1A499697">
            <w:pPr>
              <w:jc w:val="center"/>
              <w:rPr>
                <w:rFonts w:ascii="仿宋" w:hAnsi="仿宋" w:eastAsia="仿宋" w:cs="仿宋"/>
                <w:sz w:val="24"/>
              </w:rPr>
            </w:pPr>
            <w:r>
              <w:rPr>
                <w:rFonts w:hint="eastAsia" w:ascii="仿宋" w:hAnsi="仿宋" w:eastAsia="仿宋" w:cs="仿宋"/>
                <w:sz w:val="24"/>
              </w:rPr>
              <w:t>3</w:t>
            </w:r>
          </w:p>
        </w:tc>
        <w:tc>
          <w:tcPr>
            <w:tcW w:w="1546" w:type="dxa"/>
            <w:vAlign w:val="center"/>
          </w:tcPr>
          <w:p w14:paraId="1422D8EE">
            <w:pPr>
              <w:jc w:val="center"/>
              <w:rPr>
                <w:rFonts w:ascii="仿宋" w:hAnsi="仿宋" w:eastAsia="仿宋" w:cs="仿宋"/>
                <w:sz w:val="24"/>
              </w:rPr>
            </w:pPr>
            <w:r>
              <w:rPr>
                <w:rFonts w:hint="eastAsia" w:ascii="仿宋" w:hAnsi="仿宋" w:eastAsia="仿宋" w:cs="仿宋"/>
                <w:sz w:val="24"/>
              </w:rPr>
              <w:t>王景</w:t>
            </w:r>
          </w:p>
        </w:tc>
        <w:tc>
          <w:tcPr>
            <w:tcW w:w="1817" w:type="dxa"/>
            <w:vAlign w:val="center"/>
          </w:tcPr>
          <w:p w14:paraId="17E8CD2C">
            <w:pPr>
              <w:jc w:val="center"/>
              <w:rPr>
                <w:rFonts w:ascii="仿宋" w:hAnsi="仿宋" w:eastAsia="仿宋" w:cs="仿宋"/>
                <w:sz w:val="24"/>
              </w:rPr>
            </w:pPr>
            <w:r>
              <w:rPr>
                <w:rFonts w:hint="eastAsia" w:ascii="仿宋" w:hAnsi="仿宋" w:eastAsia="仿宋" w:cs="仿宋"/>
                <w:sz w:val="24"/>
              </w:rPr>
              <w:t>区融媒体中心</w:t>
            </w:r>
          </w:p>
        </w:tc>
        <w:tc>
          <w:tcPr>
            <w:tcW w:w="2445" w:type="dxa"/>
            <w:vAlign w:val="center"/>
          </w:tcPr>
          <w:p w14:paraId="5913D8FD">
            <w:pPr>
              <w:jc w:val="center"/>
              <w:rPr>
                <w:rFonts w:ascii="仿宋" w:hAnsi="仿宋" w:eastAsia="仿宋" w:cs="仿宋"/>
                <w:sz w:val="24"/>
              </w:rPr>
            </w:pPr>
            <w:r>
              <w:rPr>
                <w:rFonts w:hint="eastAsia" w:ascii="仿宋" w:hAnsi="仿宋" w:eastAsia="仿宋" w:cs="仿宋"/>
                <w:sz w:val="24"/>
              </w:rPr>
              <w:t>区融媒体中心办公室、财务室主任</w:t>
            </w:r>
          </w:p>
        </w:tc>
        <w:tc>
          <w:tcPr>
            <w:tcW w:w="1684" w:type="dxa"/>
            <w:vAlign w:val="center"/>
          </w:tcPr>
          <w:p w14:paraId="6978511A">
            <w:pPr>
              <w:jc w:val="center"/>
              <w:rPr>
                <w:rFonts w:ascii="仿宋" w:hAnsi="仿宋" w:eastAsia="仿宋" w:cs="仿宋"/>
                <w:sz w:val="24"/>
              </w:rPr>
            </w:pPr>
          </w:p>
        </w:tc>
      </w:tr>
      <w:bookmarkEnd w:id="0"/>
    </w:tbl>
    <w:p w14:paraId="71C0F1B2">
      <w:pPr>
        <w:snapToGrid w:val="0"/>
        <w:spacing w:line="560" w:lineRule="exact"/>
        <w:rPr>
          <w:rFonts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ABC01F">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F7591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4F7591B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F9303">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2B6944"/>
    <w:multiLevelType w:val="singleLevel"/>
    <w:tmpl w:val="A32B6944"/>
    <w:lvl w:ilvl="0" w:tentative="0">
      <w:start w:val="12"/>
      <w:numFmt w:val="decimal"/>
      <w:lvlText w:val="%1."/>
      <w:lvlJc w:val="left"/>
      <w:pPr>
        <w:tabs>
          <w:tab w:val="left" w:pos="312"/>
        </w:tabs>
      </w:pPr>
    </w:lvl>
  </w:abstractNum>
  <w:abstractNum w:abstractNumId="1">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2">
    <w:nsid w:val="BC2B3ABD"/>
    <w:multiLevelType w:val="singleLevel"/>
    <w:tmpl w:val="BC2B3ABD"/>
    <w:lvl w:ilvl="0" w:tentative="0">
      <w:start w:val="3"/>
      <w:numFmt w:val="decimal"/>
      <w:lvlText w:val="%1."/>
      <w:lvlJc w:val="left"/>
      <w:pPr>
        <w:tabs>
          <w:tab w:val="left" w:pos="312"/>
        </w:tabs>
      </w:pPr>
    </w:lvl>
  </w:abstractNum>
  <w:abstractNum w:abstractNumId="3">
    <w:nsid w:val="0DD7F831"/>
    <w:multiLevelType w:val="singleLevel"/>
    <w:tmpl w:val="0DD7F831"/>
    <w:lvl w:ilvl="0" w:tentative="0">
      <w:start w:val="1"/>
      <w:numFmt w:val="decimal"/>
      <w:suff w:val="nothing"/>
      <w:lvlText w:val="%1、"/>
      <w:lvlJc w:val="left"/>
      <w:pPr>
        <w:ind w:left="-10"/>
      </w:pPr>
    </w:lvl>
  </w:abstractNum>
  <w:abstractNum w:abstractNumId="4">
    <w:nsid w:val="28EB73C1"/>
    <w:multiLevelType w:val="multilevel"/>
    <w:tmpl w:val="28EB73C1"/>
    <w:lvl w:ilvl="0" w:tentative="0">
      <w:start w:val="1"/>
      <w:numFmt w:val="decimal"/>
      <w:lvlText w:val="%1."/>
      <w:lvlJc w:val="left"/>
      <w:pPr>
        <w:ind w:left="1000" w:hanging="3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3E67E5"/>
    <w:rsid w:val="00432709"/>
    <w:rsid w:val="0043554E"/>
    <w:rsid w:val="004919BA"/>
    <w:rsid w:val="00491FCD"/>
    <w:rsid w:val="004E6C05"/>
    <w:rsid w:val="004F6F9F"/>
    <w:rsid w:val="00546BCB"/>
    <w:rsid w:val="005B610E"/>
    <w:rsid w:val="005C236C"/>
    <w:rsid w:val="005E6EC9"/>
    <w:rsid w:val="005F31E6"/>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10D58"/>
    <w:rsid w:val="00DE50A2"/>
    <w:rsid w:val="00DF6FF4"/>
    <w:rsid w:val="00E03726"/>
    <w:rsid w:val="00E17D5D"/>
    <w:rsid w:val="00E61BFC"/>
    <w:rsid w:val="00E841B7"/>
    <w:rsid w:val="00ED5E84"/>
    <w:rsid w:val="00EF16A3"/>
    <w:rsid w:val="00F57E52"/>
    <w:rsid w:val="00FA61F7"/>
    <w:rsid w:val="00FB4297"/>
    <w:rsid w:val="051D4810"/>
    <w:rsid w:val="055B525F"/>
    <w:rsid w:val="068F266B"/>
    <w:rsid w:val="0FBC25C2"/>
    <w:rsid w:val="104D048A"/>
    <w:rsid w:val="13B61930"/>
    <w:rsid w:val="16957893"/>
    <w:rsid w:val="1BAF1154"/>
    <w:rsid w:val="1C655171"/>
    <w:rsid w:val="20276775"/>
    <w:rsid w:val="23734D65"/>
    <w:rsid w:val="259B61E7"/>
    <w:rsid w:val="33643383"/>
    <w:rsid w:val="38551296"/>
    <w:rsid w:val="3AEF6FE7"/>
    <w:rsid w:val="3E050495"/>
    <w:rsid w:val="3EBE01C6"/>
    <w:rsid w:val="40C97F81"/>
    <w:rsid w:val="41410C3A"/>
    <w:rsid w:val="493B718D"/>
    <w:rsid w:val="49C12E18"/>
    <w:rsid w:val="49F109ED"/>
    <w:rsid w:val="4D6D4A2E"/>
    <w:rsid w:val="4E0372EE"/>
    <w:rsid w:val="4F5C4637"/>
    <w:rsid w:val="4FBC5306"/>
    <w:rsid w:val="502814C3"/>
    <w:rsid w:val="526727E7"/>
    <w:rsid w:val="53A42ADD"/>
    <w:rsid w:val="5C4751FD"/>
    <w:rsid w:val="5C4A315B"/>
    <w:rsid w:val="661D3074"/>
    <w:rsid w:val="6BDE7164"/>
    <w:rsid w:val="6CAA632E"/>
    <w:rsid w:val="7B7739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Indent"/>
    <w:basedOn w:val="1"/>
    <w:qFormat/>
    <w:uiPriority w:val="0"/>
    <w:pPr>
      <w:ind w:firstLine="480" w:firstLineChars="200"/>
    </w:pPr>
    <w:rPr>
      <w:sz w:val="24"/>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paragraph" w:customStyle="1" w:styleId="9">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13</Pages>
  <Words>6128</Words>
  <Characters>6714</Characters>
  <Lines>48</Lines>
  <Paragraphs>13</Paragraphs>
  <TotalTime>1</TotalTime>
  <ScaleCrop>false</ScaleCrop>
  <LinksUpToDate>false</LinksUpToDate>
  <CharactersWithSpaces>6741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2024-09-19T11:17:22Z</dcterms:modified>
  <dc:title>附件2：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BFA9283EF3554E9181BFC43005FF53DE_12</vt:lpwstr>
  </property>
</Properties>
</file>