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02152A">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14:paraId="3A33A621">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14:paraId="4BF1C007">
      <w:pPr>
        <w:widowControl w:val="0"/>
        <w:wordWrap/>
        <w:adjustRightInd/>
        <w:snapToGrid w:val="0"/>
        <w:spacing w:line="560" w:lineRule="exact"/>
        <w:ind w:right="0"/>
        <w:textAlignment w:val="auto"/>
        <w:outlineLvl w:val="9"/>
        <w:rPr>
          <w:rFonts w:ascii="仿宋" w:hAnsi="仿宋" w:eastAsia="仿宋" w:cs="仿宋"/>
          <w:b/>
          <w:sz w:val="32"/>
          <w:szCs w:val="32"/>
        </w:rPr>
      </w:pPr>
    </w:p>
    <w:p w14:paraId="638959E8">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7224ECE2">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部门基本职责</w:t>
      </w:r>
    </w:p>
    <w:p w14:paraId="1DD3CD75">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）贯彻落实加强党对统一战线工作集中统一领导的要求，发挥区委在统战工作方面的参谋机构、组织协调机构、具体执行机构、督促检查机构作用，巩固壮大最广泛的统一战线。</w:t>
      </w:r>
    </w:p>
    <w:p w14:paraId="02F9AF81">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）负责联系各民主党派，通报情况、反映意见，贯彻落实中国共产党领导的多党合作和政治协商制度以及对民主党派的方针政策。</w:t>
      </w:r>
    </w:p>
    <w:p w14:paraId="12CCD21A">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统一领导民族宗教工作，贯彻落实党的民族宗教工作方针和政策，维护全区民族宗教领域和谐稳定。</w:t>
      </w:r>
    </w:p>
    <w:p w14:paraId="70FD2067">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5</w:t>
      </w:r>
      <w:r>
        <w:rPr>
          <w:rFonts w:hint="eastAsia" w:ascii="仿宋_GB2312" w:hAnsi="Times New Roman" w:eastAsia="仿宋_GB2312" w:cs="Wingdings"/>
          <w:sz w:val="32"/>
          <w:szCs w:val="32"/>
        </w:rPr>
        <w:t>）负责联系、培养无党派代表人士</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党外知识分子和新的社会阶层人士，开展思想政治工作。</w:t>
      </w:r>
    </w:p>
    <w:p w14:paraId="0CD82A2C">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）参与制定、推动落实鼓励支持引导非公有制经济发展的政策措施，促进非公有制经济健康发展和非公有制经济人士健康成长。</w:t>
      </w:r>
    </w:p>
    <w:p w14:paraId="7C46B08A">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7</w:t>
      </w:r>
      <w:r>
        <w:rPr>
          <w:rFonts w:hint="eastAsia" w:ascii="仿宋_GB2312" w:hAnsi="Times New Roman" w:eastAsia="仿宋_GB2312" w:cs="Wingdings"/>
          <w:sz w:val="32"/>
          <w:szCs w:val="32"/>
        </w:rPr>
        <w:t>）统一领导全区海外统战工作，牵头开展港澳统战工作。</w:t>
      </w:r>
    </w:p>
    <w:p w14:paraId="31762250">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8</w:t>
      </w:r>
      <w:r>
        <w:rPr>
          <w:rFonts w:hint="eastAsia" w:ascii="仿宋_GB2312" w:hAnsi="Times New Roman" w:eastAsia="仿宋_GB2312" w:cs="Wingdings"/>
          <w:sz w:val="32"/>
          <w:szCs w:val="32"/>
        </w:rPr>
        <w:t>）统一管理全区侨务工作。</w:t>
      </w:r>
    </w:p>
    <w:p w14:paraId="2CDB2F7F">
      <w:pPr>
        <w:keepNext w:val="0"/>
        <w:keepLines w:val="0"/>
        <w:pageBreakBefore w:val="0"/>
        <w:widowControl w:val="0"/>
        <w:kinsoku/>
        <w:wordWrap/>
        <w:overflowPunct/>
        <w:topLinePunct w:val="0"/>
        <w:autoSpaceDE/>
        <w:autoSpaceDN/>
        <w:bidi w:val="0"/>
        <w:snapToGrid w:val="0"/>
        <w:spacing w:line="520" w:lineRule="exact"/>
        <w:ind w:firstLine="640" w:firstLineChars="200"/>
        <w:textAlignment w:val="auto"/>
        <w:rPr>
          <w:rFonts w:hint="eastAsia" w:ascii="仿宋" w:hAnsi="仿宋" w:eastAsia="仿宋" w:cs="仿宋"/>
          <w:sz w:val="32"/>
          <w:szCs w:val="32"/>
          <w:lang w:eastAsia="zh-CN"/>
        </w:rPr>
      </w:pP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9</w:t>
      </w:r>
      <w:r>
        <w:rPr>
          <w:rFonts w:hint="eastAsia" w:ascii="仿宋_GB2312" w:hAnsi="Times New Roman" w:eastAsia="仿宋_GB2312" w:cs="Wingdings"/>
          <w:sz w:val="32"/>
          <w:szCs w:val="32"/>
        </w:rPr>
        <w:t>)完成区委交办的其他任务。</w:t>
      </w:r>
    </w:p>
    <w:p w14:paraId="27DD282B">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组织机构</w:t>
      </w:r>
    </w:p>
    <w:p w14:paraId="3F9D4070">
      <w:pPr>
        <w:keepNext w:val="0"/>
        <w:keepLines w:val="0"/>
        <w:pageBreakBefore w:val="0"/>
        <w:widowControl w:val="0"/>
        <w:kinsoku/>
        <w:wordWrap/>
        <w:overflowPunct/>
        <w:topLinePunct w:val="0"/>
        <w:autoSpaceDE/>
        <w:autoSpaceDN/>
        <w:bidi w:val="0"/>
        <w:snapToGrid w:val="0"/>
        <w:spacing w:line="520" w:lineRule="exact"/>
        <w:ind w:firstLine="643" w:firstLineChars="200"/>
        <w:jc w:val="center"/>
        <w:textAlignment w:val="auto"/>
        <w:rPr>
          <w:rFonts w:hint="eastAsia" w:ascii="仿宋_GB2312" w:hAnsi="Times New Roman" w:eastAsia="仿宋_GB2312" w:cs="Wingdings"/>
          <w:b/>
          <w:bCs/>
          <w:sz w:val="32"/>
          <w:szCs w:val="32"/>
        </w:rPr>
      </w:pPr>
    </w:p>
    <w:p w14:paraId="2CD611A3">
      <w:pPr>
        <w:keepNext w:val="0"/>
        <w:keepLines w:val="0"/>
        <w:pageBreakBefore w:val="0"/>
        <w:widowControl w:val="0"/>
        <w:kinsoku/>
        <w:wordWrap/>
        <w:overflowPunct/>
        <w:topLinePunct w:val="0"/>
        <w:autoSpaceDE/>
        <w:autoSpaceDN/>
        <w:bidi w:val="0"/>
        <w:snapToGrid w:val="0"/>
        <w:spacing w:line="520" w:lineRule="exact"/>
        <w:ind w:firstLine="643" w:firstLineChars="200"/>
        <w:jc w:val="center"/>
        <w:textAlignment w:val="auto"/>
        <w:rPr>
          <w:rFonts w:hint="eastAsia" w:ascii="仿宋_GB2312" w:hAnsi="Times New Roman" w:eastAsia="仿宋_GB2312" w:cs="Wingdings"/>
          <w:b/>
          <w:bCs/>
          <w:sz w:val="32"/>
          <w:szCs w:val="32"/>
        </w:rPr>
      </w:pPr>
    </w:p>
    <w:p w14:paraId="60FED0D9">
      <w:pPr>
        <w:keepNext w:val="0"/>
        <w:keepLines w:val="0"/>
        <w:pageBreakBefore w:val="0"/>
        <w:widowControl w:val="0"/>
        <w:kinsoku/>
        <w:wordWrap/>
        <w:overflowPunct/>
        <w:topLinePunct w:val="0"/>
        <w:autoSpaceDE/>
        <w:autoSpaceDN/>
        <w:bidi w:val="0"/>
        <w:snapToGrid w:val="0"/>
        <w:spacing w:line="520" w:lineRule="exact"/>
        <w:ind w:firstLine="643" w:firstLineChars="200"/>
        <w:jc w:val="center"/>
        <w:textAlignment w:val="auto"/>
        <w:rPr>
          <w:rFonts w:hint="eastAsia" w:ascii="仿宋_GB2312" w:hAnsi="Times New Roman" w:eastAsia="仿宋_GB2312" w:cs="Wingdings"/>
          <w:b/>
          <w:bCs/>
          <w:sz w:val="32"/>
          <w:szCs w:val="32"/>
        </w:rPr>
      </w:pPr>
      <w:r>
        <w:rPr>
          <w:rFonts w:hint="eastAsia" w:ascii="仿宋_GB2312" w:hAnsi="Times New Roman" w:eastAsia="仿宋_GB2312" w:cs="Wingdings"/>
          <w:b/>
          <w:bCs/>
          <w:sz w:val="32"/>
          <w:szCs w:val="32"/>
        </w:rPr>
        <w:t>部门机构设置情况</w:t>
      </w:r>
    </w:p>
    <w:tbl>
      <w:tblPr>
        <w:tblStyle w:val="4"/>
        <w:tblW w:w="930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31"/>
        <w:gridCol w:w="1590"/>
        <w:gridCol w:w="1575"/>
        <w:gridCol w:w="2207"/>
      </w:tblGrid>
      <w:tr w14:paraId="3C590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3931" w:type="dxa"/>
            <w:vMerge w:val="restart"/>
            <w:vAlign w:val="center"/>
          </w:tcPr>
          <w:p w14:paraId="170BE9AC">
            <w:pPr>
              <w:keepNext w:val="0"/>
              <w:keepLines w:val="0"/>
              <w:pageBreakBefore w:val="0"/>
              <w:widowControl w:val="0"/>
              <w:kinsoku/>
              <w:wordWrap/>
              <w:overflowPunct/>
              <w:topLinePunct w:val="0"/>
              <w:autoSpaceDE/>
              <w:autoSpaceDN/>
              <w:bidi w:val="0"/>
              <w:snapToGrid w:val="0"/>
              <w:spacing w:line="520" w:lineRule="exact"/>
              <w:ind w:firstLine="640" w:firstLineChars="200"/>
              <w:jc w:val="center"/>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单位名称</w:t>
            </w:r>
          </w:p>
        </w:tc>
        <w:tc>
          <w:tcPr>
            <w:tcW w:w="1590" w:type="dxa"/>
            <w:vMerge w:val="restart"/>
            <w:vAlign w:val="center"/>
          </w:tcPr>
          <w:p w14:paraId="516DFD9E">
            <w:pPr>
              <w:keepNext w:val="0"/>
              <w:keepLines w:val="0"/>
              <w:pageBreakBefore w:val="0"/>
              <w:widowControl w:val="0"/>
              <w:kinsoku/>
              <w:wordWrap/>
              <w:overflowPunct/>
              <w:topLinePunct w:val="0"/>
              <w:autoSpaceDE/>
              <w:autoSpaceDN/>
              <w:bidi w:val="0"/>
              <w:snapToGrid w:val="0"/>
              <w:spacing w:line="520" w:lineRule="exact"/>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单位性质</w:t>
            </w:r>
          </w:p>
        </w:tc>
        <w:tc>
          <w:tcPr>
            <w:tcW w:w="1575" w:type="dxa"/>
            <w:vMerge w:val="restart"/>
            <w:vAlign w:val="center"/>
          </w:tcPr>
          <w:p w14:paraId="5A214FD5">
            <w:pPr>
              <w:keepNext w:val="0"/>
              <w:keepLines w:val="0"/>
              <w:pageBreakBefore w:val="0"/>
              <w:widowControl w:val="0"/>
              <w:kinsoku/>
              <w:wordWrap/>
              <w:overflowPunct/>
              <w:topLinePunct w:val="0"/>
              <w:autoSpaceDE/>
              <w:autoSpaceDN/>
              <w:bidi w:val="0"/>
              <w:snapToGrid w:val="0"/>
              <w:spacing w:line="520" w:lineRule="exact"/>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单位规格</w:t>
            </w:r>
          </w:p>
        </w:tc>
        <w:tc>
          <w:tcPr>
            <w:tcW w:w="2207" w:type="dxa"/>
            <w:vMerge w:val="restart"/>
            <w:vAlign w:val="center"/>
          </w:tcPr>
          <w:p w14:paraId="787DA2DC">
            <w:pPr>
              <w:keepNext w:val="0"/>
              <w:keepLines w:val="0"/>
              <w:pageBreakBefore w:val="0"/>
              <w:widowControl w:val="0"/>
              <w:kinsoku/>
              <w:wordWrap/>
              <w:overflowPunct/>
              <w:topLinePunct w:val="0"/>
              <w:autoSpaceDE/>
              <w:autoSpaceDN/>
              <w:bidi w:val="0"/>
              <w:snapToGrid w:val="0"/>
              <w:spacing w:line="520" w:lineRule="exact"/>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经费保障形式</w:t>
            </w:r>
          </w:p>
        </w:tc>
      </w:tr>
      <w:tr w14:paraId="16C3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3931" w:type="dxa"/>
            <w:vMerge w:val="continue"/>
            <w:vAlign w:val="center"/>
          </w:tcPr>
          <w:p w14:paraId="3ADF46C0">
            <w:pPr>
              <w:keepNext w:val="0"/>
              <w:keepLines w:val="0"/>
              <w:pageBreakBefore w:val="0"/>
              <w:widowControl w:val="0"/>
              <w:kinsoku/>
              <w:wordWrap/>
              <w:overflowPunct/>
              <w:topLinePunct w:val="0"/>
              <w:autoSpaceDE/>
              <w:autoSpaceDN/>
              <w:bidi w:val="0"/>
              <w:snapToGrid w:val="0"/>
              <w:spacing w:line="520" w:lineRule="exact"/>
              <w:ind w:firstLine="640" w:firstLineChars="200"/>
              <w:textAlignment w:val="auto"/>
              <w:rPr>
                <w:rFonts w:hint="eastAsia" w:ascii="仿宋_GB2312" w:hAnsi="Times New Roman" w:eastAsia="仿宋_GB2312" w:cs="Wingdings"/>
                <w:sz w:val="32"/>
                <w:szCs w:val="32"/>
              </w:rPr>
            </w:pPr>
          </w:p>
        </w:tc>
        <w:tc>
          <w:tcPr>
            <w:tcW w:w="1590" w:type="dxa"/>
            <w:vMerge w:val="continue"/>
            <w:vAlign w:val="center"/>
          </w:tcPr>
          <w:p w14:paraId="4B1DB882">
            <w:pPr>
              <w:keepNext w:val="0"/>
              <w:keepLines w:val="0"/>
              <w:pageBreakBefore w:val="0"/>
              <w:widowControl w:val="0"/>
              <w:kinsoku/>
              <w:wordWrap/>
              <w:overflowPunct/>
              <w:topLinePunct w:val="0"/>
              <w:autoSpaceDE/>
              <w:autoSpaceDN/>
              <w:bidi w:val="0"/>
              <w:snapToGrid w:val="0"/>
              <w:spacing w:line="520" w:lineRule="exact"/>
              <w:ind w:firstLine="640" w:firstLineChars="200"/>
              <w:textAlignment w:val="auto"/>
              <w:rPr>
                <w:rFonts w:hint="eastAsia" w:ascii="仿宋_GB2312" w:hAnsi="Times New Roman" w:eastAsia="仿宋_GB2312" w:cs="Wingdings"/>
                <w:sz w:val="32"/>
                <w:szCs w:val="32"/>
              </w:rPr>
            </w:pPr>
          </w:p>
        </w:tc>
        <w:tc>
          <w:tcPr>
            <w:tcW w:w="1575" w:type="dxa"/>
            <w:vMerge w:val="continue"/>
            <w:vAlign w:val="center"/>
          </w:tcPr>
          <w:p w14:paraId="622BB3C0">
            <w:pPr>
              <w:keepNext w:val="0"/>
              <w:keepLines w:val="0"/>
              <w:pageBreakBefore w:val="0"/>
              <w:widowControl w:val="0"/>
              <w:kinsoku/>
              <w:wordWrap/>
              <w:overflowPunct/>
              <w:topLinePunct w:val="0"/>
              <w:autoSpaceDE/>
              <w:autoSpaceDN/>
              <w:bidi w:val="0"/>
              <w:snapToGrid w:val="0"/>
              <w:spacing w:line="520" w:lineRule="exact"/>
              <w:ind w:firstLine="640" w:firstLineChars="200"/>
              <w:textAlignment w:val="auto"/>
              <w:rPr>
                <w:rFonts w:hint="eastAsia" w:ascii="仿宋_GB2312" w:hAnsi="Times New Roman" w:eastAsia="仿宋_GB2312" w:cs="Wingdings"/>
                <w:sz w:val="32"/>
                <w:szCs w:val="32"/>
              </w:rPr>
            </w:pPr>
          </w:p>
        </w:tc>
        <w:tc>
          <w:tcPr>
            <w:tcW w:w="2207" w:type="dxa"/>
            <w:vMerge w:val="continue"/>
            <w:vAlign w:val="center"/>
          </w:tcPr>
          <w:p w14:paraId="19AE1186">
            <w:pPr>
              <w:keepNext w:val="0"/>
              <w:keepLines w:val="0"/>
              <w:pageBreakBefore w:val="0"/>
              <w:widowControl w:val="0"/>
              <w:kinsoku/>
              <w:wordWrap/>
              <w:overflowPunct/>
              <w:topLinePunct w:val="0"/>
              <w:autoSpaceDE/>
              <w:autoSpaceDN/>
              <w:bidi w:val="0"/>
              <w:snapToGrid w:val="0"/>
              <w:spacing w:line="520" w:lineRule="exact"/>
              <w:ind w:firstLine="640" w:firstLineChars="200"/>
              <w:textAlignment w:val="auto"/>
              <w:rPr>
                <w:rFonts w:hint="eastAsia" w:ascii="仿宋_GB2312" w:hAnsi="Times New Roman" w:eastAsia="仿宋_GB2312" w:cs="Wingdings"/>
                <w:sz w:val="32"/>
                <w:szCs w:val="32"/>
              </w:rPr>
            </w:pPr>
          </w:p>
        </w:tc>
      </w:tr>
      <w:tr w14:paraId="17F1D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931" w:type="dxa"/>
            <w:vAlign w:val="center"/>
          </w:tcPr>
          <w:p w14:paraId="777C6A5A">
            <w:pPr>
              <w:keepNext w:val="0"/>
              <w:keepLines w:val="0"/>
              <w:pageBreakBefore w:val="0"/>
              <w:widowControl w:val="0"/>
              <w:kinsoku/>
              <w:wordWrap/>
              <w:overflowPunct/>
              <w:topLinePunct w:val="0"/>
              <w:autoSpaceDE/>
              <w:autoSpaceDN/>
              <w:bidi w:val="0"/>
              <w:snapToGrid w:val="0"/>
              <w:spacing w:line="520" w:lineRule="exact"/>
              <w:textAlignment w:val="auto"/>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中国共产党石家庄市藁城区委员会</w:t>
            </w:r>
            <w:r>
              <w:rPr>
                <w:rFonts w:hint="eastAsia" w:ascii="仿宋_GB2312" w:hAnsi="Times New Roman" w:eastAsia="仿宋_GB2312" w:cs="Wingdings"/>
                <w:sz w:val="32"/>
                <w:szCs w:val="32"/>
                <w:lang w:eastAsia="zh-CN"/>
              </w:rPr>
              <w:t>统战部</w:t>
            </w:r>
          </w:p>
        </w:tc>
        <w:tc>
          <w:tcPr>
            <w:tcW w:w="1590" w:type="dxa"/>
            <w:vAlign w:val="center"/>
          </w:tcPr>
          <w:p w14:paraId="6079F8B3">
            <w:pPr>
              <w:keepNext w:val="0"/>
              <w:keepLines w:val="0"/>
              <w:pageBreakBefore w:val="0"/>
              <w:widowControl w:val="0"/>
              <w:kinsoku/>
              <w:wordWrap/>
              <w:overflowPunct/>
              <w:topLinePunct w:val="0"/>
              <w:autoSpaceDE/>
              <w:autoSpaceDN/>
              <w:bidi w:val="0"/>
              <w:snapToGrid w:val="0"/>
              <w:spacing w:line="520" w:lineRule="exact"/>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行政</w:t>
            </w:r>
          </w:p>
        </w:tc>
        <w:tc>
          <w:tcPr>
            <w:tcW w:w="1575" w:type="dxa"/>
            <w:vAlign w:val="center"/>
          </w:tcPr>
          <w:p w14:paraId="540D5DAA">
            <w:pPr>
              <w:keepNext w:val="0"/>
              <w:keepLines w:val="0"/>
              <w:pageBreakBefore w:val="0"/>
              <w:widowControl w:val="0"/>
              <w:kinsoku/>
              <w:wordWrap/>
              <w:overflowPunct/>
              <w:topLinePunct w:val="0"/>
              <w:autoSpaceDE/>
              <w:autoSpaceDN/>
              <w:bidi w:val="0"/>
              <w:snapToGrid w:val="0"/>
              <w:spacing w:line="520" w:lineRule="exact"/>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正科级</w:t>
            </w:r>
          </w:p>
        </w:tc>
        <w:tc>
          <w:tcPr>
            <w:tcW w:w="2207" w:type="dxa"/>
            <w:vAlign w:val="center"/>
          </w:tcPr>
          <w:p w14:paraId="271CF657">
            <w:pPr>
              <w:keepNext w:val="0"/>
              <w:keepLines w:val="0"/>
              <w:pageBreakBefore w:val="0"/>
              <w:widowControl w:val="0"/>
              <w:kinsoku/>
              <w:wordWrap/>
              <w:overflowPunct/>
              <w:topLinePunct w:val="0"/>
              <w:autoSpaceDE/>
              <w:autoSpaceDN/>
              <w:bidi w:val="0"/>
              <w:snapToGrid w:val="0"/>
              <w:spacing w:line="520" w:lineRule="exact"/>
              <w:ind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财政拨款</w:t>
            </w:r>
          </w:p>
        </w:tc>
      </w:tr>
      <w:tr w14:paraId="0124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0" w:hRule="atLeast"/>
          <w:jc w:val="center"/>
        </w:trPr>
        <w:tc>
          <w:tcPr>
            <w:tcW w:w="3931" w:type="dxa"/>
            <w:vAlign w:val="center"/>
          </w:tcPr>
          <w:p w14:paraId="22858387">
            <w:pPr>
              <w:keepNext w:val="0"/>
              <w:keepLines w:val="0"/>
              <w:pageBreakBefore w:val="0"/>
              <w:widowControl w:val="0"/>
              <w:kinsoku/>
              <w:wordWrap/>
              <w:overflowPunct/>
              <w:topLinePunct w:val="0"/>
              <w:autoSpaceDE/>
              <w:autoSpaceDN/>
              <w:bidi w:val="0"/>
              <w:snapToGrid w:val="0"/>
              <w:spacing w:line="520" w:lineRule="exact"/>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藁城区统战事务服务中心</w:t>
            </w:r>
          </w:p>
        </w:tc>
        <w:tc>
          <w:tcPr>
            <w:tcW w:w="1590" w:type="dxa"/>
            <w:vAlign w:val="center"/>
          </w:tcPr>
          <w:p w14:paraId="4482F7AC">
            <w:pPr>
              <w:keepNext w:val="0"/>
              <w:keepLines w:val="0"/>
              <w:pageBreakBefore w:val="0"/>
              <w:widowControl w:val="0"/>
              <w:kinsoku/>
              <w:wordWrap/>
              <w:overflowPunct/>
              <w:topLinePunct w:val="0"/>
              <w:autoSpaceDE/>
              <w:autoSpaceDN/>
              <w:bidi w:val="0"/>
              <w:snapToGrid w:val="0"/>
              <w:spacing w:line="520" w:lineRule="exact"/>
              <w:textAlignment w:val="auto"/>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t>事业</w:t>
            </w:r>
          </w:p>
        </w:tc>
        <w:tc>
          <w:tcPr>
            <w:tcW w:w="1575" w:type="dxa"/>
            <w:vAlign w:val="center"/>
          </w:tcPr>
          <w:p w14:paraId="449FB81E">
            <w:pPr>
              <w:keepNext w:val="0"/>
              <w:keepLines w:val="0"/>
              <w:pageBreakBefore w:val="0"/>
              <w:widowControl w:val="0"/>
              <w:kinsoku/>
              <w:wordWrap/>
              <w:overflowPunct/>
              <w:topLinePunct w:val="0"/>
              <w:autoSpaceDE/>
              <w:autoSpaceDN/>
              <w:bidi w:val="0"/>
              <w:snapToGrid w:val="0"/>
              <w:spacing w:line="520" w:lineRule="exact"/>
              <w:textAlignment w:val="auto"/>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t>股级</w:t>
            </w:r>
          </w:p>
        </w:tc>
        <w:tc>
          <w:tcPr>
            <w:tcW w:w="2207" w:type="dxa"/>
            <w:vAlign w:val="center"/>
          </w:tcPr>
          <w:p w14:paraId="76092DE9">
            <w:pPr>
              <w:keepNext w:val="0"/>
              <w:keepLines w:val="0"/>
              <w:pageBreakBefore w:val="0"/>
              <w:widowControl w:val="0"/>
              <w:kinsoku/>
              <w:wordWrap/>
              <w:overflowPunct/>
              <w:topLinePunct w:val="0"/>
              <w:autoSpaceDE/>
              <w:autoSpaceDN/>
              <w:bidi w:val="0"/>
              <w:snapToGrid w:val="0"/>
              <w:spacing w:line="520" w:lineRule="exact"/>
              <w:ind w:firstLine="640" w:firstLineChars="200"/>
              <w:textAlignment w:val="auto"/>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t>全额事业</w:t>
            </w:r>
          </w:p>
        </w:tc>
      </w:tr>
    </w:tbl>
    <w:p w14:paraId="7C6F0644">
      <w:pPr>
        <w:keepNext w:val="0"/>
        <w:keepLines w:val="0"/>
        <w:pageBreakBefore w:val="0"/>
        <w:widowControl w:val="0"/>
        <w:kinsoku/>
        <w:wordWrap/>
        <w:overflowPunct/>
        <w:topLinePunct w:val="0"/>
        <w:autoSpaceDE/>
        <w:autoSpaceDN/>
        <w:bidi w:val="0"/>
        <w:adjustRightInd/>
        <w:snapToGrid w:val="0"/>
        <w:spacing w:line="520" w:lineRule="exact"/>
        <w:ind w:right="0" w:firstLine="640" w:firstLineChars="200"/>
        <w:textAlignment w:val="auto"/>
        <w:outlineLvl w:val="9"/>
        <w:rPr>
          <w:rFonts w:hint="eastAsia" w:ascii="仿宋" w:hAnsi="仿宋" w:eastAsia="仿宋" w:cs="仿宋"/>
          <w:sz w:val="32"/>
          <w:szCs w:val="32"/>
          <w:lang w:eastAsia="zh-CN"/>
        </w:rPr>
      </w:pPr>
    </w:p>
    <w:p w14:paraId="250ADD51">
      <w:pPr>
        <w:keepNext w:val="0"/>
        <w:keepLines w:val="0"/>
        <w:pageBreakBefore w:val="0"/>
        <w:widowControl w:val="0"/>
        <w:kinsoku/>
        <w:wordWrap/>
        <w:overflowPunct/>
        <w:topLinePunct w:val="0"/>
        <w:autoSpaceDE/>
        <w:autoSpaceDN/>
        <w:bidi w:val="0"/>
        <w:adjustRightInd/>
        <w:snapToGrid w:val="0"/>
        <w:spacing w:line="52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部门收支预决算</w:t>
      </w:r>
    </w:p>
    <w:p w14:paraId="57503346">
      <w:pPr>
        <w:keepNext w:val="0"/>
        <w:keepLines w:val="0"/>
        <w:pageBreakBefore w:val="0"/>
        <w:widowControl w:val="0"/>
        <w:kinsoku/>
        <w:wordWrap/>
        <w:overflowPunct/>
        <w:topLinePunct w:val="0"/>
        <w:autoSpaceDE/>
        <w:autoSpaceDN/>
        <w:bidi w:val="0"/>
        <w:snapToGrid w:val="0"/>
        <w:spacing w:line="520" w:lineRule="exact"/>
        <w:ind w:firstLine="640" w:firstLineChars="200"/>
        <w:textAlignment w:val="auto"/>
        <w:rPr>
          <w:rFonts w:hint="eastAsia" w:ascii="仿宋" w:hAnsi="仿宋" w:eastAsia="仿宋" w:cs="仿宋"/>
          <w:sz w:val="32"/>
          <w:szCs w:val="32"/>
          <w:lang w:eastAsia="zh-CN"/>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年本单位总收入</w:t>
      </w:r>
      <w:r>
        <w:rPr>
          <w:rFonts w:hint="eastAsia" w:ascii="仿宋_GB2312" w:hAnsi="仿宋_GB2312" w:eastAsia="仿宋_GB2312" w:cs="仿宋_GB2312"/>
          <w:sz w:val="32"/>
          <w:szCs w:val="32"/>
          <w:lang w:val="en-US" w:eastAsia="zh-CN"/>
        </w:rPr>
        <w:t>229.27</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总支出</w:t>
      </w:r>
      <w:r>
        <w:rPr>
          <w:rFonts w:hint="eastAsia" w:ascii="仿宋_GB2312" w:hAnsi="仿宋_GB2312" w:eastAsia="仿宋_GB2312" w:cs="仿宋_GB2312"/>
          <w:sz w:val="32"/>
          <w:szCs w:val="32"/>
          <w:lang w:val="en-US" w:eastAsia="zh-CN"/>
        </w:rPr>
        <w:t>229.27万元。比预算增加46.26万元，原因是今年新增事业单位1个，新增人员3人，人员经费增加。</w:t>
      </w:r>
    </w:p>
    <w:p w14:paraId="14EFFDD1">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部门整体支出绩效目标指标</w:t>
      </w:r>
    </w:p>
    <w:p w14:paraId="11797FFC">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坚持以习近平总书记关于加强和改进统一战线工作的重要思想为指导，以坚持大统战工作格局为牵引，在创新统战工作体制机制和解决统一战线领域突出问题上力争有所突破，为建设经济强区、品质藁城汇聚广泛的力量支持。</w:t>
      </w:r>
    </w:p>
    <w:p w14:paraId="0DDB9AF7">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新动能的培育、参与企业的转型升级，促进非公有制经济健康发展和非公有制经济人士健康成长；创新港澳台海外统战工作，服务全区对外开放。</w:t>
      </w:r>
    </w:p>
    <w:p w14:paraId="67531E55">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29BB6C5A">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1、成立预算绩效评价小组。为保证绩效评价工作顺利开展，</w:t>
      </w:r>
      <w:r>
        <w:rPr>
          <w:rFonts w:hint="eastAsia" w:ascii="仿宋_GB2312" w:hAnsi="仿宋" w:eastAsia="仿宋_GB2312"/>
          <w:sz w:val="32"/>
          <w:szCs w:val="32"/>
          <w:lang w:eastAsia="zh-CN"/>
        </w:rPr>
        <w:t>中共藁城区委统战部</w:t>
      </w:r>
      <w:r>
        <w:rPr>
          <w:rFonts w:hint="eastAsia" w:ascii="仿宋_GB2312" w:hAnsi="仿宋" w:eastAsia="仿宋_GB2312"/>
          <w:sz w:val="32"/>
          <w:szCs w:val="32"/>
        </w:rPr>
        <w:t>成立了绩效评价小组，负责绩效评价的组织管理等工作。</w:t>
      </w:r>
    </w:p>
    <w:p w14:paraId="0B49D571">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2、组织开展自评。</w:t>
      </w:r>
      <w:r>
        <w:rPr>
          <w:rFonts w:hint="eastAsia" w:ascii="仿宋_GB2312" w:hAnsi="仿宋" w:eastAsia="仿宋_GB2312"/>
          <w:sz w:val="32"/>
          <w:szCs w:val="32"/>
          <w:lang w:eastAsia="zh-CN"/>
        </w:rPr>
        <w:t>中共藁城区委统战部</w:t>
      </w:r>
      <w:r>
        <w:rPr>
          <w:rFonts w:hint="eastAsia" w:ascii="仿宋_GB2312" w:hAnsi="仿宋" w:eastAsia="仿宋_GB2312"/>
          <w:sz w:val="32"/>
          <w:szCs w:val="32"/>
        </w:rPr>
        <w:t>按照要求整理相关数据和资料，对部门综合绩效情况进行自我评价，由绩效评价领导小组牵头，对20</w:t>
      </w:r>
      <w:r>
        <w:rPr>
          <w:rFonts w:hint="eastAsia" w:ascii="仿宋_GB2312" w:hAnsi="仿宋" w:eastAsia="仿宋_GB2312"/>
          <w:sz w:val="32"/>
          <w:szCs w:val="32"/>
          <w:lang w:val="en-US" w:eastAsia="zh-CN"/>
        </w:rPr>
        <w:t>22</w:t>
      </w:r>
      <w:r>
        <w:rPr>
          <w:rFonts w:hint="eastAsia" w:ascii="仿宋_GB2312" w:hAnsi="仿宋" w:eastAsia="仿宋_GB2312"/>
          <w:sz w:val="32"/>
          <w:szCs w:val="32"/>
        </w:rPr>
        <w:t>年财政支出项目开展了自评，逐个项目填报了《预算项目自评表》，并撰写《20</w:t>
      </w:r>
      <w:r>
        <w:rPr>
          <w:rFonts w:hint="eastAsia" w:ascii="仿宋_GB2312" w:hAnsi="仿宋" w:eastAsia="仿宋_GB2312"/>
          <w:sz w:val="32"/>
          <w:szCs w:val="32"/>
          <w:lang w:val="en-US" w:eastAsia="zh-CN"/>
        </w:rPr>
        <w:t>22</w:t>
      </w:r>
      <w:r>
        <w:rPr>
          <w:rFonts w:hint="eastAsia" w:ascii="仿宋_GB2312" w:hAnsi="仿宋" w:eastAsia="仿宋_GB2312"/>
          <w:sz w:val="32"/>
          <w:szCs w:val="32"/>
        </w:rPr>
        <w:t>年度</w:t>
      </w:r>
      <w:r>
        <w:rPr>
          <w:rFonts w:hint="eastAsia" w:ascii="仿宋_GB2312" w:hAnsi="仿宋" w:eastAsia="仿宋_GB2312"/>
          <w:sz w:val="32"/>
          <w:szCs w:val="32"/>
          <w:lang w:eastAsia="zh-CN"/>
        </w:rPr>
        <w:t>部门整体</w:t>
      </w:r>
      <w:r>
        <w:rPr>
          <w:rFonts w:hint="eastAsia" w:ascii="仿宋_GB2312" w:hAnsi="仿宋" w:eastAsia="仿宋_GB2312"/>
          <w:sz w:val="32"/>
          <w:szCs w:val="32"/>
        </w:rPr>
        <w:t>绩效自评工作报告》。</w:t>
      </w:r>
    </w:p>
    <w:p w14:paraId="078AD48D">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z w:val="32"/>
          <w:szCs w:val="32"/>
          <w:lang w:eastAsia="zh-CN"/>
        </w:rPr>
        <w:t>中共藁城区委统战部</w:t>
      </w:r>
      <w:r>
        <w:rPr>
          <w:rFonts w:hint="eastAsia" w:ascii="仿宋_GB2312" w:hAnsi="仿宋" w:eastAsia="仿宋_GB2312"/>
          <w:sz w:val="32"/>
          <w:szCs w:val="32"/>
        </w:rPr>
        <w:t>执行</w:t>
      </w:r>
      <w:r>
        <w:rPr>
          <w:rFonts w:hint="eastAsia" w:ascii="仿宋_GB2312" w:hAnsi="仿宋" w:eastAsia="仿宋_GB2312"/>
          <w:sz w:val="32"/>
          <w:szCs w:val="32"/>
          <w:lang w:eastAsia="zh-CN"/>
        </w:rPr>
        <w:t>财务</w:t>
      </w:r>
      <w:r>
        <w:rPr>
          <w:rFonts w:hint="eastAsia" w:ascii="仿宋_GB2312" w:hAnsi="仿宋" w:eastAsia="仿宋_GB2312"/>
          <w:sz w:val="32"/>
          <w:szCs w:val="32"/>
        </w:rPr>
        <w:t>制度和管理规定，按时完成预算执行进度，严格控制、合理利用各项经费，按要求进行预算管理。</w:t>
      </w:r>
    </w:p>
    <w:p w14:paraId="56B2CCB4">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00250E53">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、总体绩效目标。</w:t>
      </w:r>
    </w:p>
    <w:p w14:paraId="7A25C27B">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坚持以习近平总书记关于加强和改进统一战线工作的重要思想为指导，以坚持大统战工作格局为牵引，在创新统战工作体制机制和解决统一战线领域突出问题上力争有所突破，为建设经济强区、品质藁城汇聚广泛的力量支持。</w:t>
      </w:r>
    </w:p>
    <w:p w14:paraId="5F5D0661">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新动能的培育、参与企业的转型升级，促进非公有制经济健康发展和非公有制经济人士健康成长；创新港澳台海外统战工作，服务全区对外开放。</w:t>
      </w:r>
    </w:p>
    <w:p w14:paraId="3619453E">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2、分项绩效目标实现情况</w:t>
      </w:r>
    </w:p>
    <w:p w14:paraId="0E6CFD3A">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归国华侨退休职工生活补贴经费</w:t>
      </w:r>
    </w:p>
    <w:p w14:paraId="0F73B548">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绩效目标：根据《河北省实施中华人民共和国归侨侨眷权益保护法办法》第十五条规定，对我省国家机关、事业单位和企业符合条件的归侨职工退休后发放生活补贴。</w:t>
      </w:r>
    </w:p>
    <w:p w14:paraId="383D91C5">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绩效指标：我区符合条件的归侨有2人，每人每月发放退休生活补贴100元。</w:t>
      </w:r>
    </w:p>
    <w:p w14:paraId="19E5E6B9">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rPr>
        <w:t>宗教领域</w:t>
      </w:r>
      <w:r>
        <w:rPr>
          <w:rFonts w:hint="eastAsia" w:ascii="仿宋_GB2312" w:hAnsi="仿宋_GB2312" w:eastAsia="仿宋_GB2312" w:cs="仿宋_GB2312"/>
          <w:sz w:val="32"/>
          <w:szCs w:val="32"/>
          <w:lang w:eastAsia="zh-CN"/>
        </w:rPr>
        <w:t>社会稳定</w:t>
      </w:r>
      <w:r>
        <w:rPr>
          <w:rFonts w:hint="eastAsia" w:ascii="仿宋_GB2312" w:hAnsi="仿宋_GB2312" w:eastAsia="仿宋_GB2312" w:cs="仿宋_GB2312"/>
          <w:sz w:val="32"/>
          <w:szCs w:val="32"/>
        </w:rPr>
        <w:t>专项经费</w:t>
      </w:r>
    </w:p>
    <w:p w14:paraId="0EFB71A7">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绩效目标：进一步做好维护民族宗教领域的稳定工作，抵御境外反动势力的入侵。</w:t>
      </w:r>
    </w:p>
    <w:p w14:paraId="74F03B16">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指标：负责研究落实有关民族和宗教工作的重大方针、政策问题；教育团结少数民族和宗教界代表人物；4次以上民族宗教界代表人士座谈会、培训会;宗教场所安全隐患大排查活动；走访慰问民族宗教界人士；组织开展3次爱国主义主题教育</w:t>
      </w:r>
      <w:bookmarkStart w:id="0" w:name="_GoBack"/>
      <w:bookmarkEnd w:id="0"/>
      <w:r>
        <w:rPr>
          <w:rFonts w:hint="eastAsia" w:ascii="仿宋" w:hAnsi="仿宋" w:eastAsia="仿宋" w:cs="仿宋"/>
          <w:sz w:val="32"/>
          <w:szCs w:val="32"/>
          <w:lang w:eastAsia="zh-CN"/>
        </w:rPr>
        <w:t>；开展宗教场所国旗飘活动。</w:t>
      </w:r>
    </w:p>
    <w:p w14:paraId="5B11000C">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民营经济统战工作经费</w:t>
      </w:r>
    </w:p>
    <w:p w14:paraId="548AA8C9">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目标：通过调查研究，帮助解决民营经济人士实际困难，进一步优化营商环境，提升企业生产经营和管理水平，为全区经济社会高质量发展作出贡献。通过教育培训和思想引领，提升民营经济人士思想政治水平。</w:t>
      </w:r>
    </w:p>
    <w:p w14:paraId="4DAA5909">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绩效指标：组织开展爱国主义教育活动，引导民营经济人士增强爱党爱国情怀。走访慰问民营企业，开展座谈会，进行调研三次以上。组织民营企业开展公益慈善活动。</w:t>
      </w:r>
    </w:p>
    <w:p w14:paraId="31DFB694">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 w:hAnsi="仿宋" w:eastAsia="仿宋" w:cs="仿宋"/>
          <w:sz w:val="32"/>
          <w:szCs w:val="32"/>
          <w:lang w:val="en-US" w:eastAsia="zh-CN"/>
        </w:rPr>
      </w:pPr>
      <w:r>
        <w:rPr>
          <w:rFonts w:hint="eastAsia" w:ascii="仿宋" w:hAnsi="仿宋" w:eastAsia="仿宋" w:cs="仿宋"/>
          <w:sz w:val="32"/>
          <w:szCs w:val="32"/>
          <w:lang w:eastAsia="zh-CN"/>
        </w:rPr>
        <w:t>（四）</w:t>
      </w:r>
      <w:r>
        <w:rPr>
          <w:rFonts w:hint="eastAsia" w:ascii="仿宋_GB2312" w:hAnsi="仿宋_GB2312" w:eastAsia="仿宋_GB2312" w:cs="仿宋_GB2312"/>
          <w:sz w:val="32"/>
          <w:szCs w:val="32"/>
          <w:lang w:val="en-US" w:eastAsia="zh-CN"/>
        </w:rPr>
        <w:t>民主党派工作经费</w:t>
      </w:r>
    </w:p>
    <w:p w14:paraId="46BD71D0">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绩效目标：联系各民主党派和无党派代表人士，及时通报情况，了解和反映他们的意见和建议；协助区委组织部做好区委管理的党外干部的推荐工作；支持、帮助各民主党派加强自身建设，履行参政议政职能。</w:t>
      </w:r>
    </w:p>
    <w:p w14:paraId="223AB2C0">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指标：组织开展调研，向区委、政协提交大会发言和集体提案，反映社情民意，参政议政方面提案，反映完成社情民意。组织学习培训等活动不少于4次，社会服务群众满意率90%以上。开展政治理论和时事政策的学习教育活动，组织后备干部培养和干部培训、基层建设工作。</w:t>
      </w:r>
    </w:p>
    <w:p w14:paraId="507CCCC8">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（五）新的社会阶层人士统战工作经费</w:t>
      </w:r>
    </w:p>
    <w:p w14:paraId="25633459">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绩效目标：加强政治引领，提升思想政治水平。引导新的社会阶层人士关注民主、服务社会，建言献策，服务社会。</w:t>
      </w:r>
    </w:p>
    <w:p w14:paraId="393B0E60">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绩效指标：组织开展培训学习、服务社会活动4次以上，引导新的社会阶层人士关注民主、服务社会。走访慰问新的社会阶层人士不少于三次，开展座谈会，进行调研。</w:t>
      </w:r>
    </w:p>
    <w:p w14:paraId="0CED1FC0">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（六）知识分子联谊会活动经费</w:t>
      </w:r>
    </w:p>
    <w:p w14:paraId="2C40AA2E">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绩效目标：调查研究党外知识分子的情况，反映意见，协调关系；联系并培养党外知识分子和出国、归国留学人员的代表人士。凝聚共识，弘扬正能量，发挥人才智力优势，服务经济社会发展。</w:t>
      </w:r>
    </w:p>
    <w:p w14:paraId="62F1B13F">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绩效指标：组织开展爱国主义教育活动、知识分子联谊活动4次以上。</w:t>
      </w:r>
    </w:p>
    <w:p w14:paraId="3DD5ABA7">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（七）藁城宫灯参展经费</w:t>
      </w:r>
    </w:p>
    <w:p w14:paraId="0135E740">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 w:hAnsi="仿宋" w:eastAsia="仿宋" w:cs="仿宋"/>
          <w:sz w:val="32"/>
          <w:szCs w:val="32"/>
          <w:lang w:eastAsia="zh-CN"/>
        </w:rPr>
        <w:t>绩效目标：</w:t>
      </w:r>
      <w:r>
        <w:rPr>
          <w:rFonts w:hint="eastAsia" w:ascii="仿宋_GB2312" w:hAnsi="仿宋_GB2312" w:eastAsia="仿宋_GB2312" w:cs="仿宋_GB2312"/>
          <w:sz w:val="32"/>
          <w:szCs w:val="32"/>
          <w:lang w:val="en-US" w:eastAsia="zh-CN"/>
        </w:rPr>
        <w:t>提高藁城宫灯知名度，宣传藁城宫文化。</w:t>
      </w:r>
    </w:p>
    <w:p w14:paraId="60A5D3FE">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绩效指标：藁城宫灯顺利参展，并完成宣传推介藁城特色的专题片</w:t>
      </w:r>
    </w:p>
    <w:p w14:paraId="7164AB0F">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 w:hAnsi="仿宋" w:eastAsia="仿宋" w:cs="仿宋"/>
          <w:sz w:val="32"/>
          <w:szCs w:val="32"/>
          <w:lang w:eastAsia="zh-CN"/>
        </w:rPr>
        <w:t>（八）</w:t>
      </w:r>
      <w:r>
        <w:rPr>
          <w:rFonts w:hint="eastAsia" w:ascii="仿宋_GB2312" w:hAnsi="仿宋_GB2312" w:eastAsia="仿宋_GB2312" w:cs="仿宋_GB2312"/>
          <w:sz w:val="32"/>
          <w:szCs w:val="32"/>
          <w:lang w:val="en-US" w:eastAsia="zh-CN"/>
        </w:rPr>
        <w:t>藁城区第一次归侨侨眷代表大会经费</w:t>
      </w:r>
    </w:p>
    <w:p w14:paraId="40136E1B">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绩效目标：召开藁城区第一次归侨侨眷代表大会，成立侨联组织</w:t>
      </w:r>
    </w:p>
    <w:p w14:paraId="39A6D535">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黑体" w:hAnsi="黑体" w:eastAsia="黑体" w:cs="黑体"/>
          <w:sz w:val="32"/>
          <w:szCs w:val="32"/>
          <w:lang w:eastAsia="zh-CN"/>
        </w:rPr>
      </w:pPr>
      <w:r>
        <w:rPr>
          <w:rFonts w:hint="eastAsia" w:ascii="仿宋" w:hAnsi="仿宋" w:eastAsia="仿宋" w:cs="仿宋"/>
          <w:sz w:val="32"/>
          <w:szCs w:val="32"/>
          <w:lang w:eastAsia="zh-CN"/>
        </w:rPr>
        <w:t>绩效指标：成立藁城区侨联组织</w:t>
      </w:r>
    </w:p>
    <w:p w14:paraId="1E2BB6C6">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left="630"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3526374B">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归国华侨退休职工生活补贴经费</w:t>
      </w:r>
    </w:p>
    <w:p w14:paraId="31D33E98">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一</w:t>
      </w:r>
      <w:r>
        <w:rPr>
          <w:rFonts w:hint="eastAsia" w:ascii="仿宋" w:hAnsi="仿宋" w:eastAsia="仿宋"/>
          <w:sz w:val="32"/>
          <w:szCs w:val="32"/>
        </w:rPr>
        <w:t>）项目产出</w:t>
      </w:r>
    </w:p>
    <w:p w14:paraId="604BDC7B">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项目实际完成率</w:t>
      </w:r>
      <w:r>
        <w:rPr>
          <w:rFonts w:hint="eastAsia" w:ascii="仿宋" w:hAnsi="仿宋" w:eastAsia="仿宋"/>
          <w:sz w:val="32"/>
          <w:szCs w:val="32"/>
          <w:lang w:val="en-US" w:eastAsia="zh-CN"/>
        </w:rPr>
        <w:t>100%</w:t>
      </w:r>
      <w:r>
        <w:rPr>
          <w:rFonts w:hint="eastAsia" w:ascii="仿宋" w:hAnsi="仿宋" w:eastAsia="仿宋"/>
          <w:sz w:val="32"/>
          <w:szCs w:val="32"/>
        </w:rPr>
        <w:t>、完成及时率</w:t>
      </w:r>
      <w:r>
        <w:rPr>
          <w:rFonts w:hint="eastAsia" w:ascii="仿宋" w:hAnsi="仿宋" w:eastAsia="仿宋"/>
          <w:sz w:val="32"/>
          <w:szCs w:val="32"/>
          <w:lang w:val="en-US" w:eastAsia="zh-CN"/>
        </w:rPr>
        <w:t>100%</w:t>
      </w:r>
      <w:r>
        <w:rPr>
          <w:rFonts w:hint="eastAsia" w:ascii="仿宋" w:hAnsi="仿宋" w:eastAsia="仿宋"/>
          <w:sz w:val="32"/>
          <w:szCs w:val="32"/>
        </w:rPr>
        <w:t>、质量达标率</w:t>
      </w:r>
      <w:r>
        <w:rPr>
          <w:rFonts w:hint="eastAsia" w:ascii="仿宋" w:hAnsi="仿宋" w:eastAsia="仿宋"/>
          <w:sz w:val="32"/>
          <w:szCs w:val="32"/>
          <w:lang w:val="en-US" w:eastAsia="zh-CN"/>
        </w:rPr>
        <w:t>100%</w:t>
      </w:r>
      <w:r>
        <w:rPr>
          <w:rFonts w:hint="eastAsia" w:ascii="仿宋" w:hAnsi="仿宋" w:eastAsia="仿宋"/>
          <w:sz w:val="32"/>
          <w:szCs w:val="32"/>
        </w:rPr>
        <w:t>、成本节约率</w:t>
      </w:r>
      <w:r>
        <w:rPr>
          <w:rFonts w:hint="eastAsia" w:ascii="仿宋" w:hAnsi="仿宋" w:eastAsia="仿宋"/>
          <w:sz w:val="32"/>
          <w:szCs w:val="32"/>
          <w:lang w:val="en-US" w:eastAsia="zh-CN"/>
        </w:rPr>
        <w:t>100%</w:t>
      </w:r>
      <w:r>
        <w:rPr>
          <w:rFonts w:hint="eastAsia" w:ascii="仿宋" w:hAnsi="仿宋" w:eastAsia="仿宋"/>
          <w:sz w:val="32"/>
          <w:szCs w:val="32"/>
          <w:lang w:eastAsia="zh-CN"/>
        </w:rPr>
        <w:t>，</w:t>
      </w:r>
      <w:r>
        <w:rPr>
          <w:rFonts w:hint="eastAsia" w:ascii="仿宋" w:hAnsi="仿宋" w:eastAsia="仿宋"/>
          <w:sz w:val="32"/>
          <w:szCs w:val="32"/>
          <w:lang w:val="en-US" w:eastAsia="zh-CN"/>
        </w:rPr>
        <w:t>达到预算绩效目标。</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得分40分</w:t>
      </w:r>
      <w:r>
        <w:rPr>
          <w:rFonts w:hint="eastAsia" w:ascii="仿宋" w:hAnsi="仿宋" w:eastAsia="仿宋"/>
          <w:sz w:val="32"/>
          <w:szCs w:val="32"/>
        </w:rPr>
        <w:t>。</w:t>
      </w:r>
    </w:p>
    <w:p w14:paraId="34D815A6">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二</w:t>
      </w:r>
      <w:r>
        <w:rPr>
          <w:rFonts w:hint="eastAsia" w:ascii="仿宋" w:hAnsi="仿宋" w:eastAsia="仿宋"/>
          <w:sz w:val="32"/>
          <w:szCs w:val="32"/>
        </w:rPr>
        <w:t>）项目效果</w:t>
      </w:r>
    </w:p>
    <w:p w14:paraId="64A57E36">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sz w:val="32"/>
          <w:szCs w:val="32"/>
          <w:lang w:val="en-US" w:eastAsia="zh-CN"/>
        </w:rPr>
        <w:t>使用人员</w:t>
      </w:r>
      <w:r>
        <w:rPr>
          <w:rFonts w:hint="eastAsia" w:ascii="仿宋" w:hAnsi="仿宋" w:eastAsia="仿宋"/>
          <w:sz w:val="32"/>
          <w:szCs w:val="32"/>
        </w:rPr>
        <w:t>满意度</w:t>
      </w:r>
      <w:r>
        <w:rPr>
          <w:rFonts w:hint="eastAsia" w:ascii="仿宋" w:hAnsi="仿宋" w:eastAsia="仿宋"/>
          <w:sz w:val="32"/>
          <w:szCs w:val="32"/>
          <w:lang w:val="en-US" w:eastAsia="zh-CN"/>
        </w:rPr>
        <w:t>≥95%</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得分10分</w:t>
      </w:r>
      <w:r>
        <w:rPr>
          <w:rFonts w:hint="eastAsia" w:ascii="仿宋" w:hAnsi="仿宋" w:eastAsia="仿宋"/>
          <w:sz w:val="32"/>
          <w:szCs w:val="32"/>
        </w:rPr>
        <w:t>。</w:t>
      </w:r>
    </w:p>
    <w:p w14:paraId="7B1686EF">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宗教领域</w:t>
      </w:r>
      <w:r>
        <w:rPr>
          <w:rFonts w:hint="eastAsia" w:ascii="仿宋_GB2312" w:hAnsi="仿宋_GB2312" w:eastAsia="仿宋_GB2312" w:cs="仿宋_GB2312"/>
          <w:sz w:val="32"/>
          <w:szCs w:val="32"/>
          <w:lang w:eastAsia="zh-CN"/>
        </w:rPr>
        <w:t>社会稳定</w:t>
      </w:r>
      <w:r>
        <w:rPr>
          <w:rFonts w:hint="eastAsia" w:ascii="仿宋_GB2312" w:hAnsi="仿宋_GB2312" w:eastAsia="仿宋_GB2312" w:cs="仿宋_GB2312"/>
          <w:sz w:val="32"/>
          <w:szCs w:val="32"/>
        </w:rPr>
        <w:t>专项经费</w:t>
      </w:r>
    </w:p>
    <w:p w14:paraId="340E2355">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一</w:t>
      </w:r>
      <w:r>
        <w:rPr>
          <w:rFonts w:hint="eastAsia" w:ascii="仿宋" w:hAnsi="仿宋" w:eastAsia="仿宋"/>
          <w:sz w:val="32"/>
          <w:szCs w:val="32"/>
        </w:rPr>
        <w:t>）项目产出</w:t>
      </w:r>
    </w:p>
    <w:p w14:paraId="4648DE3E">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项目实际完成率</w:t>
      </w:r>
      <w:r>
        <w:rPr>
          <w:rFonts w:hint="eastAsia" w:ascii="仿宋" w:hAnsi="仿宋" w:eastAsia="仿宋"/>
          <w:sz w:val="32"/>
          <w:szCs w:val="32"/>
          <w:lang w:val="en-US" w:eastAsia="zh-CN"/>
        </w:rPr>
        <w:t>100%</w:t>
      </w:r>
      <w:r>
        <w:rPr>
          <w:rFonts w:hint="eastAsia" w:ascii="仿宋" w:hAnsi="仿宋" w:eastAsia="仿宋"/>
          <w:sz w:val="32"/>
          <w:szCs w:val="32"/>
        </w:rPr>
        <w:t>、完成及时率</w:t>
      </w:r>
      <w:r>
        <w:rPr>
          <w:rFonts w:hint="eastAsia" w:ascii="仿宋" w:hAnsi="仿宋" w:eastAsia="仿宋"/>
          <w:sz w:val="32"/>
          <w:szCs w:val="32"/>
          <w:lang w:val="en-US" w:eastAsia="zh-CN"/>
        </w:rPr>
        <w:t>100%</w:t>
      </w:r>
      <w:r>
        <w:rPr>
          <w:rFonts w:hint="eastAsia" w:ascii="仿宋" w:hAnsi="仿宋" w:eastAsia="仿宋"/>
          <w:sz w:val="32"/>
          <w:szCs w:val="32"/>
        </w:rPr>
        <w:t>、质量达标率</w:t>
      </w:r>
      <w:r>
        <w:rPr>
          <w:rFonts w:hint="eastAsia" w:ascii="仿宋" w:hAnsi="仿宋" w:eastAsia="仿宋"/>
          <w:sz w:val="32"/>
          <w:szCs w:val="32"/>
          <w:lang w:val="en-US" w:eastAsia="zh-CN"/>
        </w:rPr>
        <w:t>100%</w:t>
      </w:r>
      <w:r>
        <w:rPr>
          <w:rFonts w:hint="eastAsia" w:ascii="仿宋" w:hAnsi="仿宋" w:eastAsia="仿宋"/>
          <w:sz w:val="32"/>
          <w:szCs w:val="32"/>
        </w:rPr>
        <w:t>、成本节约率</w:t>
      </w:r>
      <w:r>
        <w:rPr>
          <w:rFonts w:hint="eastAsia" w:ascii="仿宋" w:hAnsi="仿宋" w:eastAsia="仿宋"/>
          <w:sz w:val="32"/>
          <w:szCs w:val="32"/>
          <w:lang w:val="en-US" w:eastAsia="zh-CN"/>
        </w:rPr>
        <w:t>100%</w:t>
      </w:r>
      <w:r>
        <w:rPr>
          <w:rFonts w:hint="eastAsia" w:ascii="仿宋" w:hAnsi="仿宋" w:eastAsia="仿宋"/>
          <w:sz w:val="32"/>
          <w:szCs w:val="32"/>
          <w:lang w:eastAsia="zh-CN"/>
        </w:rPr>
        <w:t>，</w:t>
      </w:r>
      <w:r>
        <w:rPr>
          <w:rFonts w:hint="eastAsia" w:ascii="仿宋" w:hAnsi="仿宋" w:eastAsia="仿宋"/>
          <w:sz w:val="32"/>
          <w:szCs w:val="32"/>
          <w:lang w:val="en-US" w:eastAsia="zh-CN"/>
        </w:rPr>
        <w:t>达到预算绩效目标。</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得分40分</w:t>
      </w:r>
      <w:r>
        <w:rPr>
          <w:rFonts w:hint="eastAsia" w:ascii="仿宋" w:hAnsi="仿宋" w:eastAsia="仿宋"/>
          <w:sz w:val="32"/>
          <w:szCs w:val="32"/>
        </w:rPr>
        <w:t>。</w:t>
      </w:r>
    </w:p>
    <w:p w14:paraId="679E8EE9">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二</w:t>
      </w:r>
      <w:r>
        <w:rPr>
          <w:rFonts w:hint="eastAsia" w:ascii="仿宋" w:hAnsi="仿宋" w:eastAsia="仿宋"/>
          <w:sz w:val="32"/>
          <w:szCs w:val="32"/>
        </w:rPr>
        <w:t>）项目效果</w:t>
      </w:r>
    </w:p>
    <w:p w14:paraId="4737F1C3">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sz w:val="32"/>
          <w:szCs w:val="32"/>
          <w:lang w:val="en-US" w:eastAsia="zh-CN"/>
        </w:rPr>
        <w:t>使用人员</w:t>
      </w:r>
      <w:r>
        <w:rPr>
          <w:rFonts w:hint="eastAsia" w:ascii="仿宋" w:hAnsi="仿宋" w:eastAsia="仿宋"/>
          <w:sz w:val="32"/>
          <w:szCs w:val="32"/>
        </w:rPr>
        <w:t>满意度</w:t>
      </w:r>
      <w:r>
        <w:rPr>
          <w:rFonts w:hint="eastAsia" w:ascii="仿宋" w:hAnsi="仿宋" w:eastAsia="仿宋"/>
          <w:sz w:val="32"/>
          <w:szCs w:val="32"/>
          <w:lang w:val="en-US" w:eastAsia="zh-CN"/>
        </w:rPr>
        <w:t>≥95%</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得分10分</w:t>
      </w:r>
      <w:r>
        <w:rPr>
          <w:rFonts w:hint="eastAsia" w:ascii="仿宋" w:hAnsi="仿宋" w:eastAsia="仿宋"/>
          <w:sz w:val="32"/>
          <w:szCs w:val="32"/>
        </w:rPr>
        <w:t>。</w:t>
      </w:r>
    </w:p>
    <w:p w14:paraId="566EE239">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民营经济统战工作经费</w:t>
      </w:r>
    </w:p>
    <w:p w14:paraId="36BE6368">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一</w:t>
      </w:r>
      <w:r>
        <w:rPr>
          <w:rFonts w:hint="eastAsia" w:ascii="仿宋" w:hAnsi="仿宋" w:eastAsia="仿宋"/>
          <w:sz w:val="32"/>
          <w:szCs w:val="32"/>
        </w:rPr>
        <w:t>）项目产出</w:t>
      </w:r>
    </w:p>
    <w:p w14:paraId="4013E740">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项目实际完成率</w:t>
      </w:r>
      <w:r>
        <w:rPr>
          <w:rFonts w:hint="eastAsia" w:ascii="仿宋" w:hAnsi="仿宋" w:eastAsia="仿宋"/>
          <w:sz w:val="32"/>
          <w:szCs w:val="32"/>
          <w:lang w:val="en-US" w:eastAsia="zh-CN"/>
        </w:rPr>
        <w:t>100%</w:t>
      </w:r>
      <w:r>
        <w:rPr>
          <w:rFonts w:hint="eastAsia" w:ascii="仿宋" w:hAnsi="仿宋" w:eastAsia="仿宋"/>
          <w:sz w:val="32"/>
          <w:szCs w:val="32"/>
        </w:rPr>
        <w:t>、完成及时率</w:t>
      </w:r>
      <w:r>
        <w:rPr>
          <w:rFonts w:hint="eastAsia" w:ascii="仿宋" w:hAnsi="仿宋" w:eastAsia="仿宋"/>
          <w:sz w:val="32"/>
          <w:szCs w:val="32"/>
          <w:lang w:val="en-US" w:eastAsia="zh-CN"/>
        </w:rPr>
        <w:t>100%</w:t>
      </w:r>
      <w:r>
        <w:rPr>
          <w:rFonts w:hint="eastAsia" w:ascii="仿宋" w:hAnsi="仿宋" w:eastAsia="仿宋"/>
          <w:sz w:val="32"/>
          <w:szCs w:val="32"/>
        </w:rPr>
        <w:t>、质量达标率</w:t>
      </w:r>
      <w:r>
        <w:rPr>
          <w:rFonts w:hint="eastAsia" w:ascii="仿宋" w:hAnsi="仿宋" w:eastAsia="仿宋"/>
          <w:sz w:val="32"/>
          <w:szCs w:val="32"/>
          <w:lang w:val="en-US" w:eastAsia="zh-CN"/>
        </w:rPr>
        <w:t>100%</w:t>
      </w:r>
      <w:r>
        <w:rPr>
          <w:rFonts w:hint="eastAsia" w:ascii="仿宋" w:hAnsi="仿宋" w:eastAsia="仿宋"/>
          <w:sz w:val="32"/>
          <w:szCs w:val="32"/>
        </w:rPr>
        <w:t>、成本节约率</w:t>
      </w:r>
      <w:r>
        <w:rPr>
          <w:rFonts w:hint="eastAsia" w:ascii="仿宋" w:hAnsi="仿宋" w:eastAsia="仿宋"/>
          <w:sz w:val="32"/>
          <w:szCs w:val="32"/>
          <w:lang w:val="en-US" w:eastAsia="zh-CN"/>
        </w:rPr>
        <w:t>100%</w:t>
      </w:r>
      <w:r>
        <w:rPr>
          <w:rFonts w:hint="eastAsia" w:ascii="仿宋" w:hAnsi="仿宋" w:eastAsia="仿宋"/>
          <w:sz w:val="32"/>
          <w:szCs w:val="32"/>
          <w:lang w:eastAsia="zh-CN"/>
        </w:rPr>
        <w:t>，</w:t>
      </w:r>
      <w:r>
        <w:rPr>
          <w:rFonts w:hint="eastAsia" w:ascii="仿宋" w:hAnsi="仿宋" w:eastAsia="仿宋"/>
          <w:sz w:val="32"/>
          <w:szCs w:val="32"/>
          <w:lang w:val="en-US" w:eastAsia="zh-CN"/>
        </w:rPr>
        <w:t>达到预算绩效目标。</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得分40分</w:t>
      </w:r>
      <w:r>
        <w:rPr>
          <w:rFonts w:hint="eastAsia" w:ascii="仿宋" w:hAnsi="仿宋" w:eastAsia="仿宋"/>
          <w:sz w:val="32"/>
          <w:szCs w:val="32"/>
        </w:rPr>
        <w:t>。</w:t>
      </w:r>
    </w:p>
    <w:p w14:paraId="300D60DA">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二</w:t>
      </w:r>
      <w:r>
        <w:rPr>
          <w:rFonts w:hint="eastAsia" w:ascii="仿宋" w:hAnsi="仿宋" w:eastAsia="仿宋"/>
          <w:sz w:val="32"/>
          <w:szCs w:val="32"/>
        </w:rPr>
        <w:t>）项目效果</w:t>
      </w:r>
    </w:p>
    <w:p w14:paraId="53CD190B">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sz w:val="32"/>
          <w:szCs w:val="32"/>
          <w:lang w:val="en-US" w:eastAsia="zh-CN"/>
        </w:rPr>
        <w:t>使用人员</w:t>
      </w:r>
      <w:r>
        <w:rPr>
          <w:rFonts w:hint="eastAsia" w:ascii="仿宋" w:hAnsi="仿宋" w:eastAsia="仿宋"/>
          <w:sz w:val="32"/>
          <w:szCs w:val="32"/>
        </w:rPr>
        <w:t>满意度</w:t>
      </w:r>
      <w:r>
        <w:rPr>
          <w:rFonts w:hint="eastAsia" w:ascii="仿宋" w:hAnsi="仿宋" w:eastAsia="仿宋"/>
          <w:sz w:val="32"/>
          <w:szCs w:val="32"/>
          <w:lang w:val="en-US" w:eastAsia="zh-CN"/>
        </w:rPr>
        <w:t>≥95%</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得分10分</w:t>
      </w:r>
      <w:r>
        <w:rPr>
          <w:rFonts w:hint="eastAsia" w:ascii="仿宋" w:hAnsi="仿宋" w:eastAsia="仿宋"/>
          <w:sz w:val="32"/>
          <w:szCs w:val="32"/>
        </w:rPr>
        <w:t>。</w:t>
      </w:r>
    </w:p>
    <w:p w14:paraId="36F90E11">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4、民主党派工作经费</w:t>
      </w:r>
    </w:p>
    <w:p w14:paraId="38129F99">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一</w:t>
      </w:r>
      <w:r>
        <w:rPr>
          <w:rFonts w:hint="eastAsia" w:ascii="仿宋" w:hAnsi="仿宋" w:eastAsia="仿宋"/>
          <w:sz w:val="32"/>
          <w:szCs w:val="32"/>
        </w:rPr>
        <w:t>）项目产出</w:t>
      </w:r>
    </w:p>
    <w:p w14:paraId="2B732EE4">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项目实际完成率</w:t>
      </w:r>
      <w:r>
        <w:rPr>
          <w:rFonts w:hint="eastAsia" w:ascii="仿宋" w:hAnsi="仿宋" w:eastAsia="仿宋"/>
          <w:sz w:val="32"/>
          <w:szCs w:val="32"/>
          <w:lang w:val="en-US" w:eastAsia="zh-CN"/>
        </w:rPr>
        <w:t>100%</w:t>
      </w:r>
      <w:r>
        <w:rPr>
          <w:rFonts w:hint="eastAsia" w:ascii="仿宋" w:hAnsi="仿宋" w:eastAsia="仿宋"/>
          <w:sz w:val="32"/>
          <w:szCs w:val="32"/>
        </w:rPr>
        <w:t>、完成及时率</w:t>
      </w:r>
      <w:r>
        <w:rPr>
          <w:rFonts w:hint="eastAsia" w:ascii="仿宋" w:hAnsi="仿宋" w:eastAsia="仿宋"/>
          <w:sz w:val="32"/>
          <w:szCs w:val="32"/>
          <w:lang w:val="en-US" w:eastAsia="zh-CN"/>
        </w:rPr>
        <w:t>100%</w:t>
      </w:r>
      <w:r>
        <w:rPr>
          <w:rFonts w:hint="eastAsia" w:ascii="仿宋" w:hAnsi="仿宋" w:eastAsia="仿宋"/>
          <w:sz w:val="32"/>
          <w:szCs w:val="32"/>
        </w:rPr>
        <w:t>、质量达标率</w:t>
      </w:r>
      <w:r>
        <w:rPr>
          <w:rFonts w:hint="eastAsia" w:ascii="仿宋" w:hAnsi="仿宋" w:eastAsia="仿宋"/>
          <w:sz w:val="32"/>
          <w:szCs w:val="32"/>
          <w:lang w:val="en-US" w:eastAsia="zh-CN"/>
        </w:rPr>
        <w:t>100%</w:t>
      </w:r>
      <w:r>
        <w:rPr>
          <w:rFonts w:hint="eastAsia" w:ascii="仿宋" w:hAnsi="仿宋" w:eastAsia="仿宋"/>
          <w:sz w:val="32"/>
          <w:szCs w:val="32"/>
        </w:rPr>
        <w:t>、成本节约率</w:t>
      </w:r>
      <w:r>
        <w:rPr>
          <w:rFonts w:hint="eastAsia" w:ascii="仿宋" w:hAnsi="仿宋" w:eastAsia="仿宋"/>
          <w:sz w:val="32"/>
          <w:szCs w:val="32"/>
          <w:lang w:val="en-US" w:eastAsia="zh-CN"/>
        </w:rPr>
        <w:t>100%</w:t>
      </w:r>
      <w:r>
        <w:rPr>
          <w:rFonts w:hint="eastAsia" w:ascii="仿宋" w:hAnsi="仿宋" w:eastAsia="仿宋"/>
          <w:sz w:val="32"/>
          <w:szCs w:val="32"/>
          <w:lang w:eastAsia="zh-CN"/>
        </w:rPr>
        <w:t>，</w:t>
      </w:r>
      <w:r>
        <w:rPr>
          <w:rFonts w:hint="eastAsia" w:ascii="仿宋" w:hAnsi="仿宋" w:eastAsia="仿宋"/>
          <w:sz w:val="32"/>
          <w:szCs w:val="32"/>
          <w:lang w:val="en-US" w:eastAsia="zh-CN"/>
        </w:rPr>
        <w:t>达到预算绩效目标。</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得分40分</w:t>
      </w:r>
      <w:r>
        <w:rPr>
          <w:rFonts w:hint="eastAsia" w:ascii="仿宋" w:hAnsi="仿宋" w:eastAsia="仿宋"/>
          <w:sz w:val="32"/>
          <w:szCs w:val="32"/>
        </w:rPr>
        <w:t>。</w:t>
      </w:r>
    </w:p>
    <w:p w14:paraId="21FE3BB1">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二</w:t>
      </w:r>
      <w:r>
        <w:rPr>
          <w:rFonts w:hint="eastAsia" w:ascii="仿宋" w:hAnsi="仿宋" w:eastAsia="仿宋"/>
          <w:sz w:val="32"/>
          <w:szCs w:val="32"/>
        </w:rPr>
        <w:t>）项目效果</w:t>
      </w:r>
    </w:p>
    <w:p w14:paraId="33E15D0C">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 w:hAnsi="仿宋" w:eastAsia="仿宋"/>
          <w:sz w:val="32"/>
          <w:szCs w:val="32"/>
          <w:lang w:val="en-US" w:eastAsia="zh-CN"/>
        </w:rPr>
        <w:t>使用人员</w:t>
      </w:r>
      <w:r>
        <w:rPr>
          <w:rFonts w:hint="eastAsia" w:ascii="仿宋" w:hAnsi="仿宋" w:eastAsia="仿宋"/>
          <w:sz w:val="32"/>
          <w:szCs w:val="32"/>
        </w:rPr>
        <w:t>满意度</w:t>
      </w:r>
      <w:r>
        <w:rPr>
          <w:rFonts w:hint="eastAsia" w:ascii="仿宋" w:hAnsi="仿宋" w:eastAsia="仿宋"/>
          <w:sz w:val="32"/>
          <w:szCs w:val="32"/>
          <w:lang w:val="en-US" w:eastAsia="zh-CN"/>
        </w:rPr>
        <w:t>≥95%</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得分10分</w:t>
      </w:r>
      <w:r>
        <w:rPr>
          <w:rFonts w:hint="eastAsia" w:ascii="仿宋" w:hAnsi="仿宋" w:eastAsia="仿宋"/>
          <w:sz w:val="32"/>
          <w:szCs w:val="32"/>
        </w:rPr>
        <w:t>。</w:t>
      </w:r>
    </w:p>
    <w:p w14:paraId="208BF4E3">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5、新的社会阶层人士统战工作经费</w:t>
      </w:r>
    </w:p>
    <w:p w14:paraId="7749C6BC">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一</w:t>
      </w:r>
      <w:r>
        <w:rPr>
          <w:rFonts w:hint="eastAsia" w:ascii="仿宋" w:hAnsi="仿宋" w:eastAsia="仿宋"/>
          <w:sz w:val="32"/>
          <w:szCs w:val="32"/>
        </w:rPr>
        <w:t>）项目产出</w:t>
      </w:r>
    </w:p>
    <w:p w14:paraId="590D53C2">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项目实际完成率</w:t>
      </w:r>
      <w:r>
        <w:rPr>
          <w:rFonts w:hint="eastAsia" w:ascii="仿宋" w:hAnsi="仿宋" w:eastAsia="仿宋"/>
          <w:sz w:val="32"/>
          <w:szCs w:val="32"/>
          <w:lang w:val="en-US" w:eastAsia="zh-CN"/>
        </w:rPr>
        <w:t>100%</w:t>
      </w:r>
      <w:r>
        <w:rPr>
          <w:rFonts w:hint="eastAsia" w:ascii="仿宋" w:hAnsi="仿宋" w:eastAsia="仿宋"/>
          <w:sz w:val="32"/>
          <w:szCs w:val="32"/>
        </w:rPr>
        <w:t>、完成及时率</w:t>
      </w:r>
      <w:r>
        <w:rPr>
          <w:rFonts w:hint="eastAsia" w:ascii="仿宋" w:hAnsi="仿宋" w:eastAsia="仿宋"/>
          <w:sz w:val="32"/>
          <w:szCs w:val="32"/>
          <w:lang w:val="en-US" w:eastAsia="zh-CN"/>
        </w:rPr>
        <w:t>100%</w:t>
      </w:r>
      <w:r>
        <w:rPr>
          <w:rFonts w:hint="eastAsia" w:ascii="仿宋" w:hAnsi="仿宋" w:eastAsia="仿宋"/>
          <w:sz w:val="32"/>
          <w:szCs w:val="32"/>
        </w:rPr>
        <w:t>、质量达标率</w:t>
      </w:r>
      <w:r>
        <w:rPr>
          <w:rFonts w:hint="eastAsia" w:ascii="仿宋" w:hAnsi="仿宋" w:eastAsia="仿宋"/>
          <w:sz w:val="32"/>
          <w:szCs w:val="32"/>
          <w:lang w:val="en-US" w:eastAsia="zh-CN"/>
        </w:rPr>
        <w:t>100%</w:t>
      </w:r>
      <w:r>
        <w:rPr>
          <w:rFonts w:hint="eastAsia" w:ascii="仿宋" w:hAnsi="仿宋" w:eastAsia="仿宋"/>
          <w:sz w:val="32"/>
          <w:szCs w:val="32"/>
        </w:rPr>
        <w:t>、成本节约率</w:t>
      </w:r>
      <w:r>
        <w:rPr>
          <w:rFonts w:hint="eastAsia" w:ascii="仿宋" w:hAnsi="仿宋" w:eastAsia="仿宋"/>
          <w:sz w:val="32"/>
          <w:szCs w:val="32"/>
          <w:lang w:val="en-US" w:eastAsia="zh-CN"/>
        </w:rPr>
        <w:t>100%</w:t>
      </w:r>
      <w:r>
        <w:rPr>
          <w:rFonts w:hint="eastAsia" w:ascii="仿宋" w:hAnsi="仿宋" w:eastAsia="仿宋"/>
          <w:sz w:val="32"/>
          <w:szCs w:val="32"/>
          <w:lang w:eastAsia="zh-CN"/>
        </w:rPr>
        <w:t>，</w:t>
      </w:r>
      <w:r>
        <w:rPr>
          <w:rFonts w:hint="eastAsia" w:ascii="仿宋" w:hAnsi="仿宋" w:eastAsia="仿宋"/>
          <w:sz w:val="32"/>
          <w:szCs w:val="32"/>
          <w:lang w:val="en-US" w:eastAsia="zh-CN"/>
        </w:rPr>
        <w:t>达到预算绩效目标。</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得分40分</w:t>
      </w:r>
      <w:r>
        <w:rPr>
          <w:rFonts w:hint="eastAsia" w:ascii="仿宋" w:hAnsi="仿宋" w:eastAsia="仿宋"/>
          <w:sz w:val="32"/>
          <w:szCs w:val="32"/>
        </w:rPr>
        <w:t>。</w:t>
      </w:r>
    </w:p>
    <w:p w14:paraId="3555DA3A">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二</w:t>
      </w:r>
      <w:r>
        <w:rPr>
          <w:rFonts w:hint="eastAsia" w:ascii="仿宋" w:hAnsi="仿宋" w:eastAsia="仿宋"/>
          <w:sz w:val="32"/>
          <w:szCs w:val="32"/>
        </w:rPr>
        <w:t>）项目效果</w:t>
      </w:r>
    </w:p>
    <w:p w14:paraId="04768EF2">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sz w:val="32"/>
          <w:szCs w:val="32"/>
          <w:lang w:val="en-US" w:eastAsia="zh-CN"/>
        </w:rPr>
        <w:t>使用人员</w:t>
      </w:r>
      <w:r>
        <w:rPr>
          <w:rFonts w:hint="eastAsia" w:ascii="仿宋" w:hAnsi="仿宋" w:eastAsia="仿宋"/>
          <w:sz w:val="32"/>
          <w:szCs w:val="32"/>
        </w:rPr>
        <w:t>满意度</w:t>
      </w:r>
      <w:r>
        <w:rPr>
          <w:rFonts w:hint="eastAsia" w:ascii="仿宋" w:hAnsi="仿宋" w:eastAsia="仿宋"/>
          <w:sz w:val="32"/>
          <w:szCs w:val="32"/>
          <w:lang w:val="en-US" w:eastAsia="zh-CN"/>
        </w:rPr>
        <w:t>≥95%</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得分10分</w:t>
      </w:r>
      <w:r>
        <w:rPr>
          <w:rFonts w:hint="eastAsia" w:ascii="仿宋" w:hAnsi="仿宋" w:eastAsia="仿宋"/>
          <w:sz w:val="32"/>
          <w:szCs w:val="32"/>
        </w:rPr>
        <w:t>。</w:t>
      </w:r>
    </w:p>
    <w:p w14:paraId="0AD35193">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_GB2312" w:hAnsi="仿宋_GB2312" w:eastAsia="仿宋_GB2312" w:cs="仿宋_GB2312"/>
          <w:sz w:val="32"/>
          <w:szCs w:val="32"/>
          <w:lang w:val="en-US" w:eastAsia="zh-CN"/>
        </w:rPr>
        <w:t>6、知识分子联谊会活动经费</w:t>
      </w:r>
      <w:r>
        <w:rPr>
          <w:rFonts w:hint="eastAsia" w:ascii="仿宋" w:hAnsi="仿宋" w:eastAsia="仿宋"/>
          <w:sz w:val="32"/>
          <w:szCs w:val="32"/>
        </w:rPr>
        <w:t>（</w:t>
      </w:r>
      <w:r>
        <w:rPr>
          <w:rFonts w:hint="eastAsia" w:ascii="仿宋" w:hAnsi="仿宋" w:eastAsia="仿宋"/>
          <w:sz w:val="32"/>
          <w:szCs w:val="32"/>
          <w:lang w:eastAsia="zh-CN"/>
        </w:rPr>
        <w:t>一</w:t>
      </w:r>
      <w:r>
        <w:rPr>
          <w:rFonts w:hint="eastAsia" w:ascii="仿宋" w:hAnsi="仿宋" w:eastAsia="仿宋"/>
          <w:sz w:val="32"/>
          <w:szCs w:val="32"/>
        </w:rPr>
        <w:t>）项目产出</w:t>
      </w:r>
    </w:p>
    <w:p w14:paraId="0BEFB6E5">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项目实际完成率</w:t>
      </w:r>
      <w:r>
        <w:rPr>
          <w:rFonts w:hint="eastAsia" w:ascii="仿宋" w:hAnsi="仿宋" w:eastAsia="仿宋"/>
          <w:sz w:val="32"/>
          <w:szCs w:val="32"/>
          <w:lang w:val="en-US" w:eastAsia="zh-CN"/>
        </w:rPr>
        <w:t>100%</w:t>
      </w:r>
      <w:r>
        <w:rPr>
          <w:rFonts w:hint="eastAsia" w:ascii="仿宋" w:hAnsi="仿宋" w:eastAsia="仿宋"/>
          <w:sz w:val="32"/>
          <w:szCs w:val="32"/>
        </w:rPr>
        <w:t>、完成及时率</w:t>
      </w:r>
      <w:r>
        <w:rPr>
          <w:rFonts w:hint="eastAsia" w:ascii="仿宋" w:hAnsi="仿宋" w:eastAsia="仿宋"/>
          <w:sz w:val="32"/>
          <w:szCs w:val="32"/>
          <w:lang w:val="en-US" w:eastAsia="zh-CN"/>
        </w:rPr>
        <w:t>100%</w:t>
      </w:r>
      <w:r>
        <w:rPr>
          <w:rFonts w:hint="eastAsia" w:ascii="仿宋" w:hAnsi="仿宋" w:eastAsia="仿宋"/>
          <w:sz w:val="32"/>
          <w:szCs w:val="32"/>
        </w:rPr>
        <w:t>、质量达标率</w:t>
      </w:r>
      <w:r>
        <w:rPr>
          <w:rFonts w:hint="eastAsia" w:ascii="仿宋" w:hAnsi="仿宋" w:eastAsia="仿宋"/>
          <w:sz w:val="32"/>
          <w:szCs w:val="32"/>
          <w:lang w:val="en-US" w:eastAsia="zh-CN"/>
        </w:rPr>
        <w:t>100%</w:t>
      </w:r>
      <w:r>
        <w:rPr>
          <w:rFonts w:hint="eastAsia" w:ascii="仿宋" w:hAnsi="仿宋" w:eastAsia="仿宋"/>
          <w:sz w:val="32"/>
          <w:szCs w:val="32"/>
        </w:rPr>
        <w:t>、成本节约率</w:t>
      </w:r>
      <w:r>
        <w:rPr>
          <w:rFonts w:hint="eastAsia" w:ascii="仿宋" w:hAnsi="仿宋" w:eastAsia="仿宋"/>
          <w:sz w:val="32"/>
          <w:szCs w:val="32"/>
          <w:lang w:val="en-US" w:eastAsia="zh-CN"/>
        </w:rPr>
        <w:t>100%</w:t>
      </w:r>
      <w:r>
        <w:rPr>
          <w:rFonts w:hint="eastAsia" w:ascii="仿宋" w:hAnsi="仿宋" w:eastAsia="仿宋"/>
          <w:sz w:val="32"/>
          <w:szCs w:val="32"/>
          <w:lang w:eastAsia="zh-CN"/>
        </w:rPr>
        <w:t>，</w:t>
      </w:r>
      <w:r>
        <w:rPr>
          <w:rFonts w:hint="eastAsia" w:ascii="仿宋" w:hAnsi="仿宋" w:eastAsia="仿宋"/>
          <w:sz w:val="32"/>
          <w:szCs w:val="32"/>
          <w:lang w:val="en-US" w:eastAsia="zh-CN"/>
        </w:rPr>
        <w:t>达到预算绩效目标。</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得分40分</w:t>
      </w:r>
      <w:r>
        <w:rPr>
          <w:rFonts w:hint="eastAsia" w:ascii="仿宋" w:hAnsi="仿宋" w:eastAsia="仿宋"/>
          <w:sz w:val="32"/>
          <w:szCs w:val="32"/>
        </w:rPr>
        <w:t>。</w:t>
      </w:r>
    </w:p>
    <w:p w14:paraId="0848249F">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二</w:t>
      </w:r>
      <w:r>
        <w:rPr>
          <w:rFonts w:hint="eastAsia" w:ascii="仿宋" w:hAnsi="仿宋" w:eastAsia="仿宋"/>
          <w:sz w:val="32"/>
          <w:szCs w:val="32"/>
        </w:rPr>
        <w:t>）项目效果</w:t>
      </w:r>
    </w:p>
    <w:p w14:paraId="00726240">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sz w:val="32"/>
          <w:szCs w:val="32"/>
          <w:lang w:val="en-US" w:eastAsia="zh-CN"/>
        </w:rPr>
        <w:t>使用人员</w:t>
      </w:r>
      <w:r>
        <w:rPr>
          <w:rFonts w:hint="eastAsia" w:ascii="仿宋" w:hAnsi="仿宋" w:eastAsia="仿宋"/>
          <w:sz w:val="32"/>
          <w:szCs w:val="32"/>
        </w:rPr>
        <w:t>满意度</w:t>
      </w:r>
      <w:r>
        <w:rPr>
          <w:rFonts w:hint="eastAsia" w:ascii="仿宋" w:hAnsi="仿宋" w:eastAsia="仿宋"/>
          <w:sz w:val="32"/>
          <w:szCs w:val="32"/>
          <w:lang w:val="en-US" w:eastAsia="zh-CN"/>
        </w:rPr>
        <w:t>≥95%</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得分10分</w:t>
      </w:r>
      <w:r>
        <w:rPr>
          <w:rFonts w:hint="eastAsia" w:ascii="仿宋" w:hAnsi="仿宋" w:eastAsia="仿宋"/>
          <w:sz w:val="32"/>
          <w:szCs w:val="32"/>
        </w:rPr>
        <w:t>。</w:t>
      </w:r>
    </w:p>
    <w:p w14:paraId="2F5BBE7B">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7、藁城宫灯参展经费</w:t>
      </w:r>
    </w:p>
    <w:p w14:paraId="22B6F7E6">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一</w:t>
      </w:r>
      <w:r>
        <w:rPr>
          <w:rFonts w:hint="eastAsia" w:ascii="仿宋" w:hAnsi="仿宋" w:eastAsia="仿宋"/>
          <w:sz w:val="32"/>
          <w:szCs w:val="32"/>
        </w:rPr>
        <w:t>）项目产出</w:t>
      </w:r>
    </w:p>
    <w:p w14:paraId="704BB486">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项目实际完成率</w:t>
      </w:r>
      <w:r>
        <w:rPr>
          <w:rFonts w:hint="eastAsia" w:ascii="仿宋" w:hAnsi="仿宋" w:eastAsia="仿宋"/>
          <w:sz w:val="32"/>
          <w:szCs w:val="32"/>
          <w:lang w:val="en-US" w:eastAsia="zh-CN"/>
        </w:rPr>
        <w:t>100%</w:t>
      </w:r>
      <w:r>
        <w:rPr>
          <w:rFonts w:hint="eastAsia" w:ascii="仿宋" w:hAnsi="仿宋" w:eastAsia="仿宋"/>
          <w:sz w:val="32"/>
          <w:szCs w:val="32"/>
        </w:rPr>
        <w:t>、完成及时率</w:t>
      </w:r>
      <w:r>
        <w:rPr>
          <w:rFonts w:hint="eastAsia" w:ascii="仿宋" w:hAnsi="仿宋" w:eastAsia="仿宋"/>
          <w:sz w:val="32"/>
          <w:szCs w:val="32"/>
          <w:lang w:val="en-US" w:eastAsia="zh-CN"/>
        </w:rPr>
        <w:t>100%</w:t>
      </w:r>
      <w:r>
        <w:rPr>
          <w:rFonts w:hint="eastAsia" w:ascii="仿宋" w:hAnsi="仿宋" w:eastAsia="仿宋"/>
          <w:sz w:val="32"/>
          <w:szCs w:val="32"/>
        </w:rPr>
        <w:t>、质量达标率</w:t>
      </w:r>
      <w:r>
        <w:rPr>
          <w:rFonts w:hint="eastAsia" w:ascii="仿宋" w:hAnsi="仿宋" w:eastAsia="仿宋"/>
          <w:sz w:val="32"/>
          <w:szCs w:val="32"/>
          <w:lang w:val="en-US" w:eastAsia="zh-CN"/>
        </w:rPr>
        <w:t>100%</w:t>
      </w:r>
      <w:r>
        <w:rPr>
          <w:rFonts w:hint="eastAsia" w:ascii="仿宋" w:hAnsi="仿宋" w:eastAsia="仿宋"/>
          <w:sz w:val="32"/>
          <w:szCs w:val="32"/>
        </w:rPr>
        <w:t>、成本节约率</w:t>
      </w:r>
      <w:r>
        <w:rPr>
          <w:rFonts w:hint="eastAsia" w:ascii="仿宋" w:hAnsi="仿宋" w:eastAsia="仿宋"/>
          <w:sz w:val="32"/>
          <w:szCs w:val="32"/>
          <w:lang w:val="en-US" w:eastAsia="zh-CN"/>
        </w:rPr>
        <w:t>100%</w:t>
      </w:r>
      <w:r>
        <w:rPr>
          <w:rFonts w:hint="eastAsia" w:ascii="仿宋" w:hAnsi="仿宋" w:eastAsia="仿宋"/>
          <w:sz w:val="32"/>
          <w:szCs w:val="32"/>
          <w:lang w:eastAsia="zh-CN"/>
        </w:rPr>
        <w:t>，</w:t>
      </w:r>
      <w:r>
        <w:rPr>
          <w:rFonts w:hint="eastAsia" w:ascii="仿宋" w:hAnsi="仿宋" w:eastAsia="仿宋"/>
          <w:sz w:val="32"/>
          <w:szCs w:val="32"/>
          <w:lang w:val="en-US" w:eastAsia="zh-CN"/>
        </w:rPr>
        <w:t>达到预算绩效目标。</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得分40分</w:t>
      </w:r>
      <w:r>
        <w:rPr>
          <w:rFonts w:hint="eastAsia" w:ascii="仿宋" w:hAnsi="仿宋" w:eastAsia="仿宋"/>
          <w:sz w:val="32"/>
          <w:szCs w:val="32"/>
        </w:rPr>
        <w:t>。</w:t>
      </w:r>
    </w:p>
    <w:p w14:paraId="288DC273">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二</w:t>
      </w:r>
      <w:r>
        <w:rPr>
          <w:rFonts w:hint="eastAsia" w:ascii="仿宋" w:hAnsi="仿宋" w:eastAsia="仿宋"/>
          <w:sz w:val="32"/>
          <w:szCs w:val="32"/>
        </w:rPr>
        <w:t>）项目效果</w:t>
      </w:r>
    </w:p>
    <w:p w14:paraId="13FB70FE">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sz w:val="32"/>
          <w:szCs w:val="32"/>
          <w:lang w:val="en-US" w:eastAsia="zh-CN"/>
        </w:rPr>
        <w:t>使用人员</w:t>
      </w:r>
      <w:r>
        <w:rPr>
          <w:rFonts w:hint="eastAsia" w:ascii="仿宋" w:hAnsi="仿宋" w:eastAsia="仿宋"/>
          <w:sz w:val="32"/>
          <w:szCs w:val="32"/>
        </w:rPr>
        <w:t>满意度</w:t>
      </w:r>
      <w:r>
        <w:rPr>
          <w:rFonts w:hint="eastAsia" w:ascii="仿宋" w:hAnsi="仿宋" w:eastAsia="仿宋"/>
          <w:sz w:val="32"/>
          <w:szCs w:val="32"/>
          <w:lang w:val="en-US" w:eastAsia="zh-CN"/>
        </w:rPr>
        <w:t>≥95%</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得分10分</w:t>
      </w:r>
      <w:r>
        <w:rPr>
          <w:rFonts w:hint="eastAsia" w:ascii="仿宋" w:hAnsi="仿宋" w:eastAsia="仿宋"/>
          <w:sz w:val="32"/>
          <w:szCs w:val="32"/>
        </w:rPr>
        <w:t>。</w:t>
      </w:r>
    </w:p>
    <w:p w14:paraId="1EE22308">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8、藁城区第一次归侨侨眷代表大会经费</w:t>
      </w:r>
    </w:p>
    <w:p w14:paraId="7D4E818E">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一</w:t>
      </w:r>
      <w:r>
        <w:rPr>
          <w:rFonts w:hint="eastAsia" w:ascii="仿宋" w:hAnsi="仿宋" w:eastAsia="仿宋"/>
          <w:sz w:val="32"/>
          <w:szCs w:val="32"/>
        </w:rPr>
        <w:t>）项目产出</w:t>
      </w:r>
    </w:p>
    <w:p w14:paraId="4956747B">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项目实际完成率</w:t>
      </w:r>
      <w:r>
        <w:rPr>
          <w:rFonts w:hint="eastAsia" w:ascii="仿宋" w:hAnsi="仿宋" w:eastAsia="仿宋"/>
          <w:sz w:val="32"/>
          <w:szCs w:val="32"/>
          <w:lang w:val="en-US" w:eastAsia="zh-CN"/>
        </w:rPr>
        <w:t>100%</w:t>
      </w:r>
      <w:r>
        <w:rPr>
          <w:rFonts w:hint="eastAsia" w:ascii="仿宋" w:hAnsi="仿宋" w:eastAsia="仿宋"/>
          <w:sz w:val="32"/>
          <w:szCs w:val="32"/>
        </w:rPr>
        <w:t>、完成及时率</w:t>
      </w:r>
      <w:r>
        <w:rPr>
          <w:rFonts w:hint="eastAsia" w:ascii="仿宋" w:hAnsi="仿宋" w:eastAsia="仿宋"/>
          <w:sz w:val="32"/>
          <w:szCs w:val="32"/>
          <w:lang w:val="en-US" w:eastAsia="zh-CN"/>
        </w:rPr>
        <w:t>100%</w:t>
      </w:r>
      <w:r>
        <w:rPr>
          <w:rFonts w:hint="eastAsia" w:ascii="仿宋" w:hAnsi="仿宋" w:eastAsia="仿宋"/>
          <w:sz w:val="32"/>
          <w:szCs w:val="32"/>
        </w:rPr>
        <w:t>、质量达标率</w:t>
      </w:r>
      <w:r>
        <w:rPr>
          <w:rFonts w:hint="eastAsia" w:ascii="仿宋" w:hAnsi="仿宋" w:eastAsia="仿宋"/>
          <w:sz w:val="32"/>
          <w:szCs w:val="32"/>
          <w:lang w:val="en-US" w:eastAsia="zh-CN"/>
        </w:rPr>
        <w:t>100%</w:t>
      </w:r>
      <w:r>
        <w:rPr>
          <w:rFonts w:hint="eastAsia" w:ascii="仿宋" w:hAnsi="仿宋" w:eastAsia="仿宋"/>
          <w:sz w:val="32"/>
          <w:szCs w:val="32"/>
        </w:rPr>
        <w:t>、成本节约率</w:t>
      </w:r>
      <w:r>
        <w:rPr>
          <w:rFonts w:hint="eastAsia" w:ascii="仿宋" w:hAnsi="仿宋" w:eastAsia="仿宋"/>
          <w:sz w:val="32"/>
          <w:szCs w:val="32"/>
          <w:lang w:val="en-US" w:eastAsia="zh-CN"/>
        </w:rPr>
        <w:t>100%</w:t>
      </w:r>
      <w:r>
        <w:rPr>
          <w:rFonts w:hint="eastAsia" w:ascii="仿宋" w:hAnsi="仿宋" w:eastAsia="仿宋"/>
          <w:sz w:val="32"/>
          <w:szCs w:val="32"/>
          <w:lang w:eastAsia="zh-CN"/>
        </w:rPr>
        <w:t>，</w:t>
      </w:r>
      <w:r>
        <w:rPr>
          <w:rFonts w:hint="eastAsia" w:ascii="仿宋" w:hAnsi="仿宋" w:eastAsia="仿宋"/>
          <w:sz w:val="32"/>
          <w:szCs w:val="32"/>
          <w:lang w:val="en-US" w:eastAsia="zh-CN"/>
        </w:rPr>
        <w:t>达到预算绩效目标。</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得分40分</w:t>
      </w:r>
      <w:r>
        <w:rPr>
          <w:rFonts w:hint="eastAsia" w:ascii="仿宋" w:hAnsi="仿宋" w:eastAsia="仿宋"/>
          <w:sz w:val="32"/>
          <w:szCs w:val="32"/>
        </w:rPr>
        <w:t>。</w:t>
      </w:r>
    </w:p>
    <w:p w14:paraId="343D5891">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eastAsia="zh-CN"/>
        </w:rPr>
        <w:t>二</w:t>
      </w:r>
      <w:r>
        <w:rPr>
          <w:rFonts w:hint="eastAsia" w:ascii="仿宋" w:hAnsi="仿宋" w:eastAsia="仿宋"/>
          <w:sz w:val="32"/>
          <w:szCs w:val="32"/>
        </w:rPr>
        <w:t>）项目效果</w:t>
      </w:r>
    </w:p>
    <w:p w14:paraId="784898BA">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 w:hAnsi="仿宋" w:eastAsia="仿宋"/>
          <w:sz w:val="32"/>
          <w:szCs w:val="32"/>
          <w:lang w:val="en-US" w:eastAsia="zh-CN"/>
        </w:rPr>
        <w:t>使用人员</w:t>
      </w:r>
      <w:r>
        <w:rPr>
          <w:rFonts w:hint="eastAsia" w:ascii="仿宋" w:hAnsi="仿宋" w:eastAsia="仿宋"/>
          <w:sz w:val="32"/>
          <w:szCs w:val="32"/>
        </w:rPr>
        <w:t>满意度</w:t>
      </w:r>
      <w:r>
        <w:rPr>
          <w:rFonts w:hint="eastAsia" w:ascii="仿宋" w:hAnsi="仿宋" w:eastAsia="仿宋"/>
          <w:sz w:val="32"/>
          <w:szCs w:val="32"/>
          <w:lang w:val="en-US" w:eastAsia="zh-CN"/>
        </w:rPr>
        <w:t>≥95%</w:t>
      </w:r>
      <w:r>
        <w:rPr>
          <w:rFonts w:hint="eastAsia" w:ascii="仿宋" w:hAnsi="仿宋" w:eastAsia="仿宋"/>
          <w:sz w:val="32"/>
          <w:szCs w:val="32"/>
        </w:rPr>
        <w:t>，根据指标体系评分标准</w:t>
      </w:r>
      <w:r>
        <w:rPr>
          <w:rFonts w:hint="eastAsia" w:ascii="仿宋" w:hAnsi="仿宋" w:eastAsia="仿宋"/>
          <w:sz w:val="32"/>
          <w:szCs w:val="32"/>
          <w:lang w:val="en-US" w:eastAsia="zh-CN"/>
        </w:rPr>
        <w:t>得分10分</w:t>
      </w:r>
      <w:r>
        <w:rPr>
          <w:rFonts w:hint="eastAsia" w:ascii="仿宋" w:hAnsi="仿宋" w:eastAsia="仿宋"/>
          <w:sz w:val="32"/>
          <w:szCs w:val="32"/>
        </w:rPr>
        <w:t>。</w:t>
      </w:r>
    </w:p>
    <w:p w14:paraId="3D04D0BC">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rPr>
        <w:t>通过</w:t>
      </w:r>
      <w:r>
        <w:rPr>
          <w:rFonts w:hint="eastAsia" w:ascii="仿宋" w:hAnsi="仿宋" w:eastAsia="仿宋" w:cs="仿宋"/>
          <w:sz w:val="32"/>
          <w:szCs w:val="32"/>
          <w:lang w:eastAsia="zh-CN"/>
        </w:rPr>
        <w:t>对</w:t>
      </w:r>
      <w:r>
        <w:rPr>
          <w:rFonts w:hint="eastAsia" w:ascii="仿宋" w:hAnsi="仿宋" w:eastAsia="仿宋" w:cs="仿宋"/>
          <w:sz w:val="32"/>
          <w:szCs w:val="32"/>
          <w:lang w:val="en-US" w:eastAsia="zh-CN"/>
        </w:rPr>
        <w:t>全年项目进行绩效评价，整体得分</w:t>
      </w:r>
      <w:r>
        <w:rPr>
          <w:rFonts w:hint="default" w:ascii="Arial" w:hAnsi="Arial" w:eastAsia="仿宋" w:cs="Arial"/>
          <w:sz w:val="32"/>
          <w:szCs w:val="32"/>
          <w:lang w:val="en-US" w:eastAsia="zh-CN"/>
        </w:rPr>
        <w:t>≥</w:t>
      </w:r>
      <w:r>
        <w:rPr>
          <w:rFonts w:hint="eastAsia" w:ascii="仿宋" w:hAnsi="仿宋" w:eastAsia="仿宋" w:cs="仿宋"/>
          <w:sz w:val="32"/>
          <w:szCs w:val="32"/>
          <w:lang w:val="en-US" w:eastAsia="zh-CN"/>
        </w:rPr>
        <w:t>85分，评价等级为优秀。</w:t>
      </w:r>
    </w:p>
    <w:p w14:paraId="0F1997B7">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7461D439">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（一）项目存在的主要问题</w:t>
      </w:r>
    </w:p>
    <w:p w14:paraId="467B278D">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预算的计划性不</w:t>
      </w:r>
      <w:r>
        <w:rPr>
          <w:rFonts w:hint="eastAsia" w:ascii="仿宋" w:hAnsi="仿宋" w:eastAsia="仿宋"/>
          <w:sz w:val="32"/>
          <w:szCs w:val="32"/>
          <w:lang w:val="en-US" w:eastAsia="zh-CN"/>
        </w:rPr>
        <w:t>够</w:t>
      </w:r>
      <w:r>
        <w:rPr>
          <w:rFonts w:hint="eastAsia" w:ascii="仿宋" w:hAnsi="仿宋" w:eastAsia="仿宋"/>
          <w:sz w:val="32"/>
          <w:szCs w:val="32"/>
        </w:rPr>
        <w:t>强、科学性不</w:t>
      </w:r>
      <w:r>
        <w:rPr>
          <w:rFonts w:hint="eastAsia" w:ascii="仿宋" w:hAnsi="仿宋" w:eastAsia="仿宋"/>
          <w:sz w:val="32"/>
          <w:szCs w:val="32"/>
          <w:lang w:val="en-US" w:eastAsia="zh-CN"/>
        </w:rPr>
        <w:t>够</w:t>
      </w:r>
      <w:r>
        <w:rPr>
          <w:rFonts w:hint="eastAsia" w:ascii="仿宋" w:hAnsi="仿宋" w:eastAsia="仿宋"/>
          <w:sz w:val="32"/>
          <w:szCs w:val="32"/>
        </w:rPr>
        <w:t>强。</w:t>
      </w:r>
    </w:p>
    <w:p w14:paraId="7D01A7F5">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二</w:t>
      </w:r>
      <w:r>
        <w:rPr>
          <w:rFonts w:hint="eastAsia" w:ascii="仿宋" w:hAnsi="仿宋" w:eastAsia="仿宋"/>
          <w:sz w:val="32"/>
          <w:szCs w:val="32"/>
          <w:lang w:eastAsia="zh-CN"/>
        </w:rPr>
        <w:t>）</w:t>
      </w:r>
      <w:r>
        <w:rPr>
          <w:rFonts w:hint="eastAsia" w:ascii="仿宋" w:hAnsi="仿宋" w:eastAsia="仿宋"/>
          <w:sz w:val="32"/>
          <w:szCs w:val="32"/>
        </w:rPr>
        <w:t>针对问题提出具体的改进措施或建议</w:t>
      </w:r>
    </w:p>
    <w:p w14:paraId="17176CD2">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认真做好前期预算执行准备工作，加强项目跟踪及项目支出执行管理，提高预算资金使用效率。</w:t>
      </w:r>
    </w:p>
    <w:p w14:paraId="29524025">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4"/>
        <w:tblpPr w:leftFromText="180" w:rightFromText="180" w:vertAnchor="text" w:horzAnchor="page" w:tblpX="2208" w:tblpY="178"/>
        <w:tblOverlap w:val="never"/>
        <w:tblW w:w="8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546"/>
        <w:gridCol w:w="1701"/>
        <w:gridCol w:w="2295"/>
        <w:gridCol w:w="1389"/>
      </w:tblGrid>
      <w:tr w14:paraId="3648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14:paraId="52147677">
            <w:pPr>
              <w:rPr>
                <w:rFonts w:hint="eastAsia"/>
              </w:rPr>
            </w:pPr>
            <w:r>
              <w:rPr>
                <w:rFonts w:hint="eastAsia"/>
              </w:rPr>
              <w:t xml:space="preserve">   序号</w:t>
            </w:r>
          </w:p>
        </w:tc>
        <w:tc>
          <w:tcPr>
            <w:tcW w:w="1546" w:type="dxa"/>
            <w:noWrap w:val="0"/>
            <w:vAlign w:val="center"/>
          </w:tcPr>
          <w:p w14:paraId="3857F7C0">
            <w:pPr>
              <w:rPr>
                <w:rFonts w:hint="eastAsia"/>
              </w:rPr>
            </w:pPr>
            <w:r>
              <w:rPr>
                <w:rFonts w:hint="eastAsia"/>
              </w:rPr>
              <w:t xml:space="preserve">   姓名</w:t>
            </w:r>
          </w:p>
        </w:tc>
        <w:tc>
          <w:tcPr>
            <w:tcW w:w="1701" w:type="dxa"/>
            <w:noWrap w:val="0"/>
            <w:vAlign w:val="center"/>
          </w:tcPr>
          <w:p w14:paraId="6E140D9B">
            <w:pPr>
              <w:jc w:val="center"/>
              <w:rPr>
                <w:rFonts w:hint="eastAsia"/>
              </w:rPr>
            </w:pPr>
            <w:r>
              <w:rPr>
                <w:rFonts w:hint="eastAsia"/>
              </w:rPr>
              <w:t>工作单位</w:t>
            </w:r>
          </w:p>
        </w:tc>
        <w:tc>
          <w:tcPr>
            <w:tcW w:w="2295" w:type="dxa"/>
            <w:noWrap w:val="0"/>
            <w:vAlign w:val="center"/>
          </w:tcPr>
          <w:p w14:paraId="69728D41">
            <w:pPr>
              <w:jc w:val="center"/>
              <w:rPr>
                <w:rFonts w:hint="eastAsia"/>
              </w:rPr>
            </w:pPr>
            <w:r>
              <w:rPr>
                <w:rFonts w:hint="eastAsia"/>
              </w:rPr>
              <w:t>职务</w:t>
            </w:r>
          </w:p>
        </w:tc>
        <w:tc>
          <w:tcPr>
            <w:tcW w:w="1389" w:type="dxa"/>
            <w:noWrap w:val="0"/>
            <w:vAlign w:val="center"/>
          </w:tcPr>
          <w:p w14:paraId="09F02249">
            <w:pPr>
              <w:rPr>
                <w:rFonts w:hint="eastAsia"/>
              </w:rPr>
            </w:pPr>
            <w:r>
              <w:rPr>
                <w:rFonts w:hint="eastAsia"/>
              </w:rPr>
              <w:t xml:space="preserve">    签字</w:t>
            </w:r>
          </w:p>
        </w:tc>
      </w:tr>
      <w:tr w14:paraId="3EDFA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14:paraId="091942EC">
            <w:pPr>
              <w:rPr>
                <w:rFonts w:hint="eastAsia"/>
              </w:rPr>
            </w:pPr>
            <w:r>
              <w:rPr>
                <w:rFonts w:hint="eastAsia"/>
              </w:rPr>
              <w:t xml:space="preserve">    1</w:t>
            </w:r>
          </w:p>
        </w:tc>
        <w:tc>
          <w:tcPr>
            <w:tcW w:w="1546" w:type="dxa"/>
            <w:noWrap w:val="0"/>
            <w:vAlign w:val="center"/>
          </w:tcPr>
          <w:p w14:paraId="6FA35D41">
            <w:pPr>
              <w:rPr>
                <w:rFonts w:hint="eastAsia" w:eastAsia="宋体"/>
                <w:lang w:eastAsia="zh-CN"/>
              </w:rPr>
            </w:pPr>
            <w:r>
              <w:rPr>
                <w:rFonts w:hint="eastAsia"/>
              </w:rPr>
              <w:t xml:space="preserve">  </w:t>
            </w:r>
            <w:r>
              <w:rPr>
                <w:rFonts w:hint="eastAsia"/>
                <w:lang w:eastAsia="zh-CN"/>
              </w:rPr>
              <w:t>张超</w:t>
            </w:r>
          </w:p>
        </w:tc>
        <w:tc>
          <w:tcPr>
            <w:tcW w:w="1701" w:type="dxa"/>
            <w:noWrap w:val="0"/>
            <w:vAlign w:val="center"/>
          </w:tcPr>
          <w:p w14:paraId="136D46B7">
            <w:pPr>
              <w:jc w:val="center"/>
              <w:rPr>
                <w:rFonts w:hint="eastAsia" w:eastAsia="宋体"/>
                <w:lang w:eastAsia="zh-CN"/>
              </w:rPr>
            </w:pPr>
            <w:r>
              <w:rPr>
                <w:rFonts w:hint="eastAsia"/>
                <w:lang w:eastAsia="zh-CN"/>
              </w:rPr>
              <w:t>区委统战部</w:t>
            </w:r>
          </w:p>
        </w:tc>
        <w:tc>
          <w:tcPr>
            <w:tcW w:w="2295" w:type="dxa"/>
            <w:noWrap w:val="0"/>
            <w:vAlign w:val="center"/>
          </w:tcPr>
          <w:p w14:paraId="29714DE8">
            <w:pPr>
              <w:rPr>
                <w:rFonts w:hint="eastAsia" w:eastAsia="宋体"/>
                <w:lang w:eastAsia="zh-CN"/>
              </w:rPr>
            </w:pPr>
            <w:r>
              <w:rPr>
                <w:rFonts w:hint="eastAsia"/>
                <w:lang w:eastAsia="zh-CN"/>
              </w:rPr>
              <w:t>部务会成员</w:t>
            </w:r>
          </w:p>
        </w:tc>
        <w:tc>
          <w:tcPr>
            <w:tcW w:w="1389" w:type="dxa"/>
            <w:noWrap w:val="0"/>
            <w:vAlign w:val="center"/>
          </w:tcPr>
          <w:p w14:paraId="239278D8">
            <w:pPr>
              <w:rPr>
                <w:rFonts w:hint="eastAsia"/>
              </w:rPr>
            </w:pPr>
          </w:p>
        </w:tc>
      </w:tr>
      <w:tr w14:paraId="0F745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14:paraId="7BD7AED1">
            <w:pPr>
              <w:rPr>
                <w:rFonts w:hint="eastAsia"/>
              </w:rPr>
            </w:pPr>
            <w:r>
              <w:rPr>
                <w:rFonts w:hint="eastAsia"/>
              </w:rPr>
              <w:t xml:space="preserve">    2</w:t>
            </w:r>
          </w:p>
        </w:tc>
        <w:tc>
          <w:tcPr>
            <w:tcW w:w="1546" w:type="dxa"/>
            <w:noWrap w:val="0"/>
            <w:vAlign w:val="center"/>
          </w:tcPr>
          <w:p w14:paraId="174D4E5B">
            <w:pPr>
              <w:rPr>
                <w:rFonts w:hint="eastAsia" w:eastAsia="宋体"/>
                <w:lang w:eastAsia="zh-CN"/>
              </w:rPr>
            </w:pPr>
            <w:r>
              <w:rPr>
                <w:rFonts w:hint="eastAsia"/>
              </w:rPr>
              <w:t xml:space="preserve">  </w:t>
            </w:r>
            <w:r>
              <w:rPr>
                <w:rFonts w:hint="eastAsia"/>
                <w:lang w:eastAsia="zh-CN"/>
              </w:rPr>
              <w:t>杨慧卿</w:t>
            </w:r>
          </w:p>
        </w:tc>
        <w:tc>
          <w:tcPr>
            <w:tcW w:w="1701" w:type="dxa"/>
            <w:noWrap w:val="0"/>
            <w:vAlign w:val="center"/>
          </w:tcPr>
          <w:p w14:paraId="3AA41296">
            <w:pPr>
              <w:jc w:val="center"/>
              <w:rPr>
                <w:rFonts w:hint="eastAsia" w:eastAsia="宋体"/>
                <w:lang w:eastAsia="zh-CN"/>
              </w:rPr>
            </w:pPr>
            <w:r>
              <w:rPr>
                <w:rFonts w:hint="eastAsia"/>
                <w:lang w:eastAsia="zh-CN"/>
              </w:rPr>
              <w:t>区委统战部</w:t>
            </w:r>
          </w:p>
        </w:tc>
        <w:tc>
          <w:tcPr>
            <w:tcW w:w="2295" w:type="dxa"/>
            <w:noWrap w:val="0"/>
            <w:vAlign w:val="center"/>
          </w:tcPr>
          <w:p w14:paraId="57040471">
            <w:pPr>
              <w:jc w:val="both"/>
              <w:rPr>
                <w:rFonts w:hint="eastAsia" w:eastAsia="宋体"/>
                <w:lang w:eastAsia="zh-CN"/>
              </w:rPr>
            </w:pPr>
            <w:r>
              <w:rPr>
                <w:rFonts w:hint="eastAsia"/>
                <w:lang w:eastAsia="zh-CN"/>
              </w:rPr>
              <w:t>办公室主任</w:t>
            </w:r>
          </w:p>
        </w:tc>
        <w:tc>
          <w:tcPr>
            <w:tcW w:w="1389" w:type="dxa"/>
            <w:noWrap w:val="0"/>
            <w:vAlign w:val="center"/>
          </w:tcPr>
          <w:p w14:paraId="3891E944">
            <w:pPr>
              <w:rPr>
                <w:rFonts w:hint="eastAsia"/>
              </w:rPr>
            </w:pPr>
          </w:p>
        </w:tc>
      </w:tr>
      <w:tr w14:paraId="278B0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263" w:type="dxa"/>
            <w:noWrap w:val="0"/>
            <w:vAlign w:val="center"/>
          </w:tcPr>
          <w:p w14:paraId="09467F31">
            <w:pPr>
              <w:rPr>
                <w:rFonts w:hint="eastAsia" w:eastAsia="宋体"/>
                <w:lang w:val="en-US" w:eastAsia="zh-CN"/>
              </w:rPr>
            </w:pPr>
            <w:r>
              <w:rPr>
                <w:rFonts w:hint="eastAsia"/>
              </w:rPr>
              <w:t xml:space="preserve">    </w:t>
            </w:r>
            <w:r>
              <w:rPr>
                <w:rFonts w:hint="eastAsia"/>
                <w:lang w:val="en-US" w:eastAsia="zh-CN"/>
              </w:rPr>
              <w:t>3</w:t>
            </w:r>
          </w:p>
        </w:tc>
        <w:tc>
          <w:tcPr>
            <w:tcW w:w="1546" w:type="dxa"/>
            <w:noWrap w:val="0"/>
            <w:vAlign w:val="center"/>
          </w:tcPr>
          <w:p w14:paraId="5E5DED27">
            <w:pPr>
              <w:ind w:firstLine="210" w:firstLineChars="100"/>
              <w:rPr>
                <w:rFonts w:hint="default" w:eastAsia="宋体"/>
                <w:lang w:val="en-US" w:eastAsia="zh-CN"/>
              </w:rPr>
            </w:pPr>
          </w:p>
        </w:tc>
        <w:tc>
          <w:tcPr>
            <w:tcW w:w="1701" w:type="dxa"/>
            <w:noWrap w:val="0"/>
            <w:vAlign w:val="center"/>
          </w:tcPr>
          <w:p w14:paraId="564FC1AF">
            <w:pPr>
              <w:ind w:firstLine="420" w:firstLineChars="200"/>
              <w:rPr>
                <w:rFonts w:hint="default" w:eastAsia="宋体"/>
                <w:lang w:val="en-US" w:eastAsia="zh-CN"/>
              </w:rPr>
            </w:pPr>
          </w:p>
        </w:tc>
        <w:tc>
          <w:tcPr>
            <w:tcW w:w="2295" w:type="dxa"/>
            <w:noWrap w:val="0"/>
            <w:vAlign w:val="center"/>
          </w:tcPr>
          <w:p w14:paraId="79691F03">
            <w:pPr>
              <w:rPr>
                <w:rFonts w:hint="default" w:eastAsia="宋体"/>
                <w:lang w:val="en-US" w:eastAsia="zh-CN"/>
              </w:rPr>
            </w:pPr>
          </w:p>
        </w:tc>
        <w:tc>
          <w:tcPr>
            <w:tcW w:w="1389" w:type="dxa"/>
            <w:noWrap w:val="0"/>
            <w:vAlign w:val="center"/>
          </w:tcPr>
          <w:p w14:paraId="47BB463E">
            <w:pPr>
              <w:rPr>
                <w:rFonts w:hint="eastAsia"/>
              </w:rPr>
            </w:pPr>
          </w:p>
        </w:tc>
      </w:tr>
    </w:tbl>
    <w:p w14:paraId="1A2074C5">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0DE159">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B87EB7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B87EB7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77309">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3EF3054"/>
    <w:rsid w:val="051D4810"/>
    <w:rsid w:val="055B525F"/>
    <w:rsid w:val="0E661572"/>
    <w:rsid w:val="11AC3DF0"/>
    <w:rsid w:val="139A00DD"/>
    <w:rsid w:val="13B61930"/>
    <w:rsid w:val="17A05B29"/>
    <w:rsid w:val="1BAF1154"/>
    <w:rsid w:val="1C655171"/>
    <w:rsid w:val="20276775"/>
    <w:rsid w:val="2217513D"/>
    <w:rsid w:val="3AEF6FE7"/>
    <w:rsid w:val="493B718D"/>
    <w:rsid w:val="53A42ADD"/>
    <w:rsid w:val="5C4A315B"/>
    <w:rsid w:val="661D3074"/>
    <w:rsid w:val="6BDE7164"/>
    <w:rsid w:val="7AB96EDC"/>
    <w:rsid w:val="7B880BE3"/>
    <w:rsid w:val="7FC12C8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3520</Words>
  <Characters>3678</Characters>
  <Lines>3</Lines>
  <Paragraphs>1</Paragraphs>
  <TotalTime>8</TotalTime>
  <ScaleCrop>false</ScaleCrop>
  <LinksUpToDate>false</LinksUpToDate>
  <CharactersWithSpaces>3704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2024-09-19T11:02:19Z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1A2DE9D683524D3BB4C6C06541031846_12</vt:lpwstr>
  </property>
</Properties>
</file>