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9D7375">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石家庄市藁城区科学技术和工业信息化局</w:t>
      </w:r>
    </w:p>
    <w:p w14:paraId="1688C67D">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570950D1">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4250E3E2">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70FB00F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石家庄市藁城区</w:t>
      </w:r>
      <w:r>
        <w:rPr>
          <w:rFonts w:hint="eastAsia" w:ascii="仿宋" w:hAnsi="仿宋" w:eastAsia="仿宋" w:cs="仿宋"/>
          <w:sz w:val="32"/>
          <w:szCs w:val="32"/>
          <w:lang w:val="en-US" w:eastAsia="zh-CN"/>
        </w:rPr>
        <w:t>科学技术和工业信息化局</w:t>
      </w:r>
      <w:r>
        <w:rPr>
          <w:rFonts w:hint="eastAsia" w:ascii="仿宋" w:hAnsi="仿宋" w:eastAsia="仿宋" w:cs="仿宋"/>
          <w:sz w:val="32"/>
          <w:szCs w:val="32"/>
        </w:rPr>
        <w:t>是根据石办字[2015]16号和藁办字[2015]4号文件精神设置的藁城区政府工作部门。</w:t>
      </w:r>
    </w:p>
    <w:p w14:paraId="099E129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部门</w:t>
      </w:r>
      <w:r>
        <w:rPr>
          <w:rFonts w:hint="eastAsia" w:ascii="仿宋" w:hAnsi="仿宋" w:eastAsia="仿宋" w:cs="仿宋"/>
          <w:sz w:val="32"/>
          <w:szCs w:val="32"/>
        </w:rPr>
        <w:t>主要职能</w:t>
      </w:r>
      <w:r>
        <w:rPr>
          <w:rFonts w:hint="eastAsia" w:ascii="仿宋" w:hAnsi="仿宋" w:eastAsia="仿宋" w:cs="仿宋"/>
          <w:sz w:val="32"/>
          <w:szCs w:val="32"/>
          <w:lang w:eastAsia="zh-CN"/>
        </w:rPr>
        <w:t>：</w:t>
      </w:r>
      <w:r>
        <w:rPr>
          <w:rFonts w:hint="eastAsia" w:ascii="仿宋" w:hAnsi="仿宋" w:eastAsia="仿宋" w:cs="仿宋"/>
          <w:sz w:val="32"/>
          <w:szCs w:val="32"/>
        </w:rPr>
        <w:t>（1）研究提出扶持工业企业发展政策和措施，对全市工业企业进行综合协调、指导和服务。（2）研究拟订全市工业企业发展中长期规划及年度计划、工业经济运行调控方案并组织实施。（3）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4）指导和推进工业企业产业结构、组织结构和产品结构的调整；指导工业企业发展技术进步、新产品开发和技术改造工作；负责国有工业企业的改革工作。（5）指导工业企业开展国内经济技术交流与合作；指导工业企业参与国际贸易和开拓国际市场；指导企业间的协作联合；协调落实企业项目建设。加强对工业利税大户的培育；协调推进工业系统名牌战略。（6）指导工业企业服务体系、担保体系和信用体系建设；承担市政府减轻企业负担的日常工作。（7）统筹推进全区信息化工作和负责协调维护全区信息安全保障体系建设。</w:t>
      </w:r>
    </w:p>
    <w:p w14:paraId="11FEE817">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E04D66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为加强财政支出管理，提高财政资金使用效益，根据《藁城区区级部门预算项目绩效自评管理办法》（藁财字〔2020〕23号），遵循“科学性、规范性、客观性和公正性”的原则，石家庄市藁城区</w:t>
      </w:r>
      <w:r>
        <w:rPr>
          <w:rFonts w:hint="eastAsia" w:ascii="仿宋" w:hAnsi="仿宋" w:eastAsia="仿宋" w:cs="仿宋"/>
          <w:sz w:val="32"/>
          <w:szCs w:val="32"/>
          <w:lang w:val="en-US" w:eastAsia="zh-CN"/>
        </w:rPr>
        <w:t>科学技术和工业信息化局</w:t>
      </w:r>
      <w:r>
        <w:rPr>
          <w:rFonts w:hint="eastAsia" w:ascii="仿宋" w:hAnsi="仿宋" w:eastAsia="仿宋" w:cs="仿宋"/>
          <w:sz w:val="32"/>
          <w:szCs w:val="32"/>
        </w:rPr>
        <w:t>成立了自评工作领导小组，由自评工作领导小组对</w:t>
      </w:r>
      <w:r>
        <w:rPr>
          <w:rFonts w:hint="eastAsia" w:ascii="仿宋" w:hAnsi="仿宋" w:eastAsia="仿宋" w:cs="仿宋"/>
          <w:sz w:val="32"/>
          <w:szCs w:val="32"/>
          <w:lang w:val="en-US" w:eastAsia="zh-CN"/>
        </w:rPr>
        <w:t>专项</w:t>
      </w:r>
      <w:r>
        <w:rPr>
          <w:rFonts w:hint="eastAsia" w:ascii="仿宋" w:hAnsi="仿宋" w:eastAsia="仿宋" w:cs="仿宋"/>
          <w:sz w:val="32"/>
          <w:szCs w:val="32"/>
        </w:rPr>
        <w:t>资金项目实施了财政支出绩效自评价，自评工作小组组长由</w:t>
      </w:r>
      <w:r>
        <w:rPr>
          <w:rFonts w:hint="eastAsia" w:ascii="仿宋" w:hAnsi="仿宋" w:eastAsia="仿宋" w:cs="仿宋"/>
          <w:sz w:val="32"/>
          <w:szCs w:val="32"/>
          <w:lang w:val="en-US" w:eastAsia="zh-CN"/>
        </w:rPr>
        <w:t>单位负责人于增辉</w:t>
      </w:r>
      <w:r>
        <w:rPr>
          <w:rFonts w:hint="eastAsia" w:ascii="仿宋" w:hAnsi="仿宋" w:eastAsia="仿宋" w:cs="仿宋"/>
          <w:sz w:val="32"/>
          <w:szCs w:val="32"/>
        </w:rPr>
        <w:t>局长担任，成员包括各项目主管</w:t>
      </w:r>
      <w:r>
        <w:rPr>
          <w:rFonts w:hint="eastAsia" w:ascii="仿宋" w:hAnsi="仿宋" w:eastAsia="仿宋" w:cs="仿宋"/>
          <w:sz w:val="32"/>
          <w:szCs w:val="32"/>
          <w:lang w:val="en-US" w:eastAsia="zh-CN"/>
        </w:rPr>
        <w:t>股室</w:t>
      </w:r>
      <w:r>
        <w:rPr>
          <w:rFonts w:hint="eastAsia" w:ascii="仿宋" w:hAnsi="仿宋" w:eastAsia="仿宋" w:cs="仿宋"/>
          <w:sz w:val="32"/>
          <w:szCs w:val="32"/>
        </w:rPr>
        <w:t>的</w:t>
      </w:r>
      <w:r>
        <w:rPr>
          <w:rFonts w:hint="eastAsia" w:ascii="仿宋" w:hAnsi="仿宋" w:eastAsia="仿宋" w:cs="仿宋"/>
          <w:sz w:val="32"/>
          <w:szCs w:val="32"/>
          <w:lang w:val="en-US" w:eastAsia="zh-CN"/>
        </w:rPr>
        <w:t>股</w:t>
      </w:r>
      <w:r>
        <w:rPr>
          <w:rFonts w:hint="eastAsia" w:ascii="仿宋" w:hAnsi="仿宋" w:eastAsia="仿宋" w:cs="仿宋"/>
          <w:sz w:val="32"/>
          <w:szCs w:val="32"/>
        </w:rPr>
        <w:t>长。</w:t>
      </w:r>
    </w:p>
    <w:p w14:paraId="25D4CE7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评价采用定量分析和定性分析相结合的方式，对包括部门绩效自评工作的组织情况、实施过程</w:t>
      </w:r>
      <w:r>
        <w:rPr>
          <w:rFonts w:hint="eastAsia" w:ascii="仿宋" w:hAnsi="仿宋" w:eastAsia="仿宋" w:cs="仿宋"/>
          <w:sz w:val="32"/>
          <w:szCs w:val="32"/>
          <w:lang w:eastAsia="zh-CN"/>
        </w:rPr>
        <w:t>、</w:t>
      </w:r>
      <w:r>
        <w:rPr>
          <w:rFonts w:hint="eastAsia" w:ascii="仿宋" w:hAnsi="仿宋" w:eastAsia="仿宋" w:cs="仿宋"/>
          <w:sz w:val="32"/>
          <w:szCs w:val="32"/>
        </w:rPr>
        <w:t>部门预算安排及资金分配拨付</w:t>
      </w:r>
      <w:r>
        <w:rPr>
          <w:rFonts w:hint="eastAsia" w:ascii="仿宋" w:hAnsi="仿宋" w:eastAsia="仿宋" w:cs="仿宋"/>
          <w:sz w:val="32"/>
          <w:szCs w:val="32"/>
          <w:lang w:eastAsia="zh-CN"/>
        </w:rPr>
        <w:t>、</w:t>
      </w:r>
      <w:r>
        <w:rPr>
          <w:rFonts w:hint="eastAsia" w:ascii="仿宋" w:hAnsi="仿宋" w:eastAsia="仿宋" w:cs="仿宋"/>
          <w:sz w:val="32"/>
          <w:szCs w:val="32"/>
        </w:rPr>
        <w:t>部门日常财务管理、专项监督检查及审计部门审查意见等情况进行综合评价。</w:t>
      </w:r>
    </w:p>
    <w:p w14:paraId="31068DBC">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04E911C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通过绩效自评结果对比倒查，部分项目绩效目标设定清晰准确，较为符合实际情况，绩效指标全面完整，绩效标准恰当适宜、易于评价</w:t>
      </w:r>
      <w:r>
        <w:rPr>
          <w:rFonts w:hint="eastAsia" w:ascii="仿宋" w:hAnsi="仿宋" w:eastAsia="仿宋" w:cs="仿宋"/>
          <w:sz w:val="32"/>
          <w:szCs w:val="32"/>
          <w:lang w:eastAsia="zh-CN"/>
        </w:rPr>
        <w:t>。</w:t>
      </w:r>
    </w:p>
    <w:p w14:paraId="6FDFF3CF">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资金拨付准确及时，有意外情况导致专项资金无法下发的，做到了及时联系上级主管部门，将资金收回。</w:t>
      </w:r>
    </w:p>
    <w:p w14:paraId="1CEDC531">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6730C96C">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财政拨付资金对我单位项目的顺利开展等方面有着重要意义，我单位本着按制度、规定办事的原则，不滥用资金，将资金落</w:t>
      </w:r>
      <w:bookmarkStart w:id="0" w:name="_GoBack"/>
      <w:bookmarkEnd w:id="0"/>
      <w:r>
        <w:rPr>
          <w:rFonts w:hint="eastAsia" w:ascii="仿宋" w:hAnsi="仿宋" w:eastAsia="仿宋" w:cs="仿宋"/>
          <w:sz w:val="32"/>
          <w:szCs w:val="32"/>
          <w:lang w:val="en-US" w:eastAsia="zh-CN"/>
        </w:rPr>
        <w:t>到实处。综合评价2022年度项目，绩效自评得分为98分，良好。</w:t>
      </w:r>
    </w:p>
    <w:p w14:paraId="27E913BB">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078B6FAB">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针对自评过程中发现的问题，我们采取了针对性的整改措施。</w:t>
      </w:r>
    </w:p>
    <w:p w14:paraId="1246D09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（1）我局将积极向区政府请示拨付剩余奖补资金，并反应相关问题，协调财政局争取尽快解决资金拨付发放问题。</w:t>
      </w:r>
    </w:p>
    <w:p w14:paraId="406681C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（2）继续按照现有还款方式，在保证消除信访隐患的前提下分期分批还款。</w:t>
      </w:r>
    </w:p>
    <w:p w14:paraId="2040CB5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（4）在节约的前提下，更好地改善办公环境。</w:t>
      </w:r>
    </w:p>
    <w:p w14:paraId="44750A0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（5）对绩效评价工作进行培训，确保工作效率和效果。</w:t>
      </w:r>
    </w:p>
    <w:p w14:paraId="3CA4A76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通过总结202</w:t>
      </w:r>
      <w:r>
        <w:rPr>
          <w:rFonts w:hint="eastAsia" w:ascii="仿宋" w:hAnsi="仿宋" w:eastAsia="仿宋" w:cs="仿宋"/>
          <w:sz w:val="32"/>
          <w:szCs w:val="32"/>
          <w:lang w:val="en-US" w:eastAsia="zh-CN"/>
        </w:rPr>
        <w:t>2</w:t>
      </w:r>
      <w:r>
        <w:rPr>
          <w:rFonts w:hint="eastAsia" w:ascii="仿宋" w:hAnsi="仿宋" w:eastAsia="仿宋" w:cs="仿宋"/>
          <w:sz w:val="32"/>
          <w:szCs w:val="32"/>
        </w:rPr>
        <w:t>年度的绩效自评结果，发现我局存在绩效指标制定研究制定不清晰，绩效指标设定表面化等问题。为提高日后的工作质量，确保我局进一步提高绩效目标设置质量</w:t>
      </w:r>
      <w:r>
        <w:rPr>
          <w:rFonts w:hint="eastAsia" w:ascii="仿宋" w:hAnsi="仿宋" w:eastAsia="仿宋" w:cs="仿宋"/>
          <w:sz w:val="32"/>
          <w:szCs w:val="32"/>
          <w:lang w:eastAsia="zh-CN"/>
        </w:rPr>
        <w:t>，</w:t>
      </w:r>
      <w:r>
        <w:rPr>
          <w:rFonts w:hint="eastAsia" w:ascii="仿宋" w:hAnsi="仿宋" w:eastAsia="仿宋" w:cs="仿宋"/>
          <w:sz w:val="32"/>
          <w:szCs w:val="32"/>
        </w:rPr>
        <w:t>我局</w:t>
      </w:r>
      <w:r>
        <w:rPr>
          <w:rFonts w:hint="eastAsia" w:ascii="仿宋" w:hAnsi="仿宋" w:eastAsia="仿宋" w:cs="仿宋"/>
          <w:sz w:val="32"/>
          <w:szCs w:val="32"/>
          <w:lang w:val="en-US" w:eastAsia="zh-CN"/>
        </w:rPr>
        <w:t>将</w:t>
      </w:r>
      <w:r>
        <w:rPr>
          <w:rFonts w:hint="eastAsia" w:ascii="仿宋" w:hAnsi="仿宋" w:eastAsia="仿宋" w:cs="仿宋"/>
          <w:sz w:val="32"/>
          <w:szCs w:val="32"/>
        </w:rPr>
        <w:t>向财政局有关业务</w:t>
      </w:r>
      <w:r>
        <w:rPr>
          <w:rFonts w:hint="eastAsia" w:ascii="仿宋" w:hAnsi="仿宋" w:eastAsia="仿宋" w:cs="仿宋"/>
          <w:sz w:val="32"/>
          <w:szCs w:val="32"/>
          <w:lang w:val="en-US" w:eastAsia="zh-CN"/>
        </w:rPr>
        <w:t>股</w:t>
      </w:r>
      <w:r>
        <w:rPr>
          <w:rFonts w:hint="eastAsia" w:ascii="仿宋" w:hAnsi="仿宋" w:eastAsia="仿宋" w:cs="仿宋"/>
          <w:sz w:val="32"/>
          <w:szCs w:val="32"/>
        </w:rPr>
        <w:t>室请教提高部门绩效方面的具体做法</w:t>
      </w:r>
      <w:r>
        <w:rPr>
          <w:rFonts w:hint="eastAsia" w:ascii="仿宋" w:hAnsi="仿宋" w:eastAsia="仿宋" w:cs="仿宋"/>
          <w:sz w:val="32"/>
          <w:szCs w:val="32"/>
          <w:lang w:eastAsia="zh-CN"/>
        </w:rPr>
        <w:t>，</w:t>
      </w:r>
      <w:r>
        <w:rPr>
          <w:rFonts w:hint="eastAsia" w:ascii="仿宋" w:hAnsi="仿宋" w:eastAsia="仿宋" w:cs="仿宋"/>
          <w:sz w:val="32"/>
          <w:szCs w:val="32"/>
        </w:rPr>
        <w:t>改进管理、优化流程</w:t>
      </w:r>
      <w:r>
        <w:rPr>
          <w:rFonts w:hint="eastAsia" w:ascii="仿宋" w:hAnsi="仿宋" w:eastAsia="仿宋" w:cs="仿宋"/>
          <w:sz w:val="32"/>
          <w:szCs w:val="32"/>
          <w:lang w:eastAsia="zh-CN"/>
        </w:rPr>
        <w:t>。</w:t>
      </w:r>
    </w:p>
    <w:p w14:paraId="72B0B34E">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5"/>
        <w:gridCol w:w="3096"/>
        <w:gridCol w:w="3096"/>
      </w:tblGrid>
      <w:tr w14:paraId="0426E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7996178D">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工作单位</w:t>
            </w:r>
          </w:p>
        </w:tc>
        <w:tc>
          <w:tcPr>
            <w:tcW w:w="3096" w:type="dxa"/>
          </w:tcPr>
          <w:p w14:paraId="69157BF3">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3096" w:type="dxa"/>
          </w:tcPr>
          <w:p w14:paraId="1BEA6218">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r>
      <w:tr w14:paraId="227D3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51381271">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1A52D37C">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局长</w:t>
            </w:r>
          </w:p>
        </w:tc>
        <w:tc>
          <w:tcPr>
            <w:tcW w:w="3096" w:type="dxa"/>
          </w:tcPr>
          <w:p w14:paraId="18D89D0B">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0B979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79E68DB6">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4B898491">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3096" w:type="dxa"/>
          </w:tcPr>
          <w:p w14:paraId="522F8CC8">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03192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01C487FD">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19BFA314">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3096" w:type="dxa"/>
          </w:tcPr>
          <w:p w14:paraId="1E93BD77">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592F4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573CFF9E">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64FC18C2">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股长</w:t>
            </w:r>
          </w:p>
        </w:tc>
        <w:tc>
          <w:tcPr>
            <w:tcW w:w="3096" w:type="dxa"/>
          </w:tcPr>
          <w:p w14:paraId="19ABE3AB">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3FBFA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42190EE1">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3067DA14">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股长</w:t>
            </w:r>
          </w:p>
        </w:tc>
        <w:tc>
          <w:tcPr>
            <w:tcW w:w="3096" w:type="dxa"/>
          </w:tcPr>
          <w:p w14:paraId="54D1C781">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783DB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6E2E7DC9">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08AEB1A7">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股长</w:t>
            </w:r>
          </w:p>
        </w:tc>
        <w:tc>
          <w:tcPr>
            <w:tcW w:w="3096" w:type="dxa"/>
          </w:tcPr>
          <w:p w14:paraId="6AF3F9AC">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426A9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583933FA">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tcPr>
          <w:p w14:paraId="577B7EE1">
            <w:pPr>
              <w:widowControl w:val="0"/>
              <w:numPr>
                <w:ilvl w:val="0"/>
                <w:numId w:val="0"/>
              </w:numPr>
              <w:wordWrap/>
              <w:adjustRightInd/>
              <w:snapToGrid w:val="0"/>
              <w:spacing w:line="560" w:lineRule="exact"/>
              <w:ind w:right="0" w:right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股长</w:t>
            </w:r>
          </w:p>
        </w:tc>
        <w:tc>
          <w:tcPr>
            <w:tcW w:w="3096" w:type="dxa"/>
          </w:tcPr>
          <w:p w14:paraId="5D654B7D">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3325F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Align w:val="top"/>
          </w:tcPr>
          <w:p w14:paraId="346CDF0F">
            <w:pPr>
              <w:widowControl w:val="0"/>
              <w:numPr>
                <w:ilvl w:val="0"/>
                <w:numId w:val="0"/>
              </w:numPr>
              <w:wordWrap/>
              <w:adjustRightInd/>
              <w:snapToGrid w:val="0"/>
              <w:spacing w:line="560" w:lineRule="exact"/>
              <w:ind w:left="0" w:leftChars="0" w:right="0" w:rightChars="0" w:firstLine="0" w:firstLine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vAlign w:val="top"/>
          </w:tcPr>
          <w:p w14:paraId="7995EE75">
            <w:pPr>
              <w:widowControl w:val="0"/>
              <w:numPr>
                <w:ilvl w:val="0"/>
                <w:numId w:val="0"/>
              </w:numPr>
              <w:wordWrap/>
              <w:adjustRightInd/>
              <w:snapToGrid w:val="0"/>
              <w:spacing w:line="560" w:lineRule="exact"/>
              <w:ind w:left="0" w:leftChars="0" w:right="0" w:rightChars="0" w:firstLine="0" w:firstLine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职员</w:t>
            </w:r>
          </w:p>
        </w:tc>
        <w:tc>
          <w:tcPr>
            <w:tcW w:w="3096" w:type="dxa"/>
          </w:tcPr>
          <w:p w14:paraId="0DA533C3">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r w14:paraId="3E5CC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vAlign w:val="top"/>
          </w:tcPr>
          <w:p w14:paraId="0C916E29">
            <w:pPr>
              <w:widowControl w:val="0"/>
              <w:numPr>
                <w:ilvl w:val="0"/>
                <w:numId w:val="0"/>
              </w:numPr>
              <w:wordWrap/>
              <w:adjustRightInd/>
              <w:snapToGrid w:val="0"/>
              <w:spacing w:line="560" w:lineRule="exact"/>
              <w:ind w:left="0" w:leftChars="0" w:right="0" w:rightChars="0" w:firstLine="0" w:firstLine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藁城区科工局</w:t>
            </w:r>
          </w:p>
        </w:tc>
        <w:tc>
          <w:tcPr>
            <w:tcW w:w="3096" w:type="dxa"/>
            <w:vAlign w:val="top"/>
          </w:tcPr>
          <w:p w14:paraId="0315D0C1">
            <w:pPr>
              <w:widowControl w:val="0"/>
              <w:numPr>
                <w:ilvl w:val="0"/>
                <w:numId w:val="0"/>
              </w:numPr>
              <w:wordWrap/>
              <w:adjustRightInd/>
              <w:snapToGrid w:val="0"/>
              <w:spacing w:line="560" w:lineRule="exact"/>
              <w:ind w:left="0" w:leftChars="0" w:right="0" w:rightChars="0" w:firstLine="0" w:firstLineChars="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职员</w:t>
            </w:r>
          </w:p>
        </w:tc>
        <w:tc>
          <w:tcPr>
            <w:tcW w:w="3096" w:type="dxa"/>
          </w:tcPr>
          <w:p w14:paraId="7F35DD82">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vertAlign w:val="baseline"/>
                <w:lang w:eastAsia="zh-CN"/>
              </w:rPr>
            </w:pPr>
          </w:p>
        </w:tc>
      </w:tr>
    </w:tbl>
    <w:p w14:paraId="6FFBA733">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41147">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12A8CF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12A8CF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60692">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7E13F1"/>
    <w:rsid w:val="13B61930"/>
    <w:rsid w:val="18A126C6"/>
    <w:rsid w:val="1BAF1154"/>
    <w:rsid w:val="1C655171"/>
    <w:rsid w:val="20276775"/>
    <w:rsid w:val="2A2729D2"/>
    <w:rsid w:val="2DED73F9"/>
    <w:rsid w:val="2FC765E4"/>
    <w:rsid w:val="3AEF6FE7"/>
    <w:rsid w:val="493B718D"/>
    <w:rsid w:val="53A42ADD"/>
    <w:rsid w:val="5C4A315B"/>
    <w:rsid w:val="661D3074"/>
    <w:rsid w:val="6BDE7164"/>
    <w:rsid w:val="7CD261C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1412</Words>
  <Characters>1436</Characters>
  <Lines>3</Lines>
  <Paragraphs>1</Paragraphs>
  <TotalTime>0</TotalTime>
  <ScaleCrop>false</ScaleCrop>
  <LinksUpToDate>false</LinksUpToDate>
  <CharactersWithSpaces>1436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2024-09-19T11:03:49Z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24FF9888566D4C3C8B42159BDB8B39FF_12</vt:lpwstr>
  </property>
</Properties>
</file>