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60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bookmarkStart w:id="0" w:name="_GoBack"/>
      <w:r>
        <w:rPr>
          <w:rFonts w:hint="eastAsia" w:ascii="方正小标宋简体" w:hAnsi="方正小标宋简体" w:eastAsia="方正小标宋简体" w:cs="方正小标宋简体"/>
          <w:b w:val="0"/>
          <w:bCs w:val="0"/>
          <w:kern w:val="0"/>
          <w:sz w:val="44"/>
          <w:szCs w:val="44"/>
          <w:lang w:val="en-US" w:eastAsia="zh-CN"/>
        </w:rPr>
        <w:t>巡察办2022</w:t>
      </w:r>
      <w:r>
        <w:rPr>
          <w:rFonts w:hint="eastAsia" w:ascii="方正小标宋简体" w:hAnsi="方正小标宋简体" w:eastAsia="方正小标宋简体" w:cs="方正小标宋简体"/>
          <w:b w:val="0"/>
          <w:bCs w:val="0"/>
          <w:kern w:val="0"/>
          <w:sz w:val="44"/>
          <w:szCs w:val="44"/>
        </w:rPr>
        <w:t>年度</w:t>
      </w:r>
      <w:r>
        <w:rPr>
          <w:rFonts w:hint="eastAsia" w:ascii="方正小标宋简体" w:hAnsi="方正小标宋简体" w:eastAsia="方正小标宋简体" w:cs="方正小标宋简体"/>
          <w:b w:val="0"/>
          <w:bCs w:val="0"/>
          <w:kern w:val="0"/>
          <w:sz w:val="44"/>
          <w:szCs w:val="44"/>
          <w:lang w:eastAsia="zh-CN"/>
        </w:rPr>
        <w:t>整体支出</w:t>
      </w:r>
      <w:r>
        <w:rPr>
          <w:rFonts w:hint="eastAsia" w:ascii="方正小标宋简体" w:hAnsi="方正小标宋简体" w:eastAsia="方正小标宋简体" w:cs="方正小标宋简体"/>
          <w:b w:val="0"/>
          <w:bCs w:val="0"/>
          <w:sz w:val="44"/>
          <w:szCs w:val="44"/>
        </w:rPr>
        <w:t>绩效自评工作报告</w:t>
      </w:r>
    </w:p>
    <w:bookmarkEnd w:id="0"/>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numPr>
          <w:ilvl w:val="0"/>
          <w:numId w:val="1"/>
        </w:numPr>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outlineLvl w:val="2"/>
        <w:rPr>
          <w:rFonts w:hint="eastAsia" w:ascii="楷体_GB2312" w:hAnsi="楷体_GB2312" w:eastAsia="楷体_GB2312" w:cs="楷体_GB2312"/>
          <w:sz w:val="32"/>
          <w:szCs w:val="32"/>
          <w:lang w:eastAsia="zh-CN"/>
        </w:rPr>
      </w:pPr>
      <w:r>
        <w:rPr>
          <w:rFonts w:hint="eastAsia" w:ascii="楷体_GB2312" w:hAnsi="楷体_GB2312" w:eastAsia="楷体_GB2312" w:cs="楷体_GB2312"/>
          <w:b/>
          <w:bCs w:val="0"/>
          <w:color w:val="000000"/>
          <w:sz w:val="32"/>
          <w:szCs w:val="32"/>
        </w:rPr>
        <w:t>(一)</w:t>
      </w:r>
      <w:r>
        <w:rPr>
          <w:rFonts w:hint="eastAsia" w:ascii="楷体_GB2312" w:hAnsi="楷体_GB2312" w:eastAsia="楷体_GB2312" w:cs="楷体_GB2312"/>
          <w:color w:val="000000"/>
          <w:sz w:val="32"/>
          <w:szCs w:val="32"/>
        </w:rPr>
        <w:t>部门职责及机构设置情况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outlineLvl w:val="9"/>
        <w:rPr>
          <w:rFonts w:hint="eastAsia" w:ascii="仿宋_GB2312" w:hAnsi="仿宋_GB2312" w:eastAsia="仿宋_GB2312" w:cs="仿宋_GB2312"/>
          <w:b w:val="0"/>
          <w:bCs/>
          <w:color w:val="000000"/>
          <w:sz w:val="32"/>
          <w:szCs w:val="32"/>
        </w:rPr>
      </w:pPr>
      <w:r>
        <w:rPr>
          <w:rFonts w:hint="eastAsia" w:ascii="仿宋_GB2312" w:hAnsi="仿宋_GB2312" w:eastAsia="仿宋_GB2312" w:cs="仿宋_GB2312"/>
          <w:b w:val="0"/>
          <w:bCs/>
          <w:color w:val="000000"/>
          <w:sz w:val="32"/>
          <w:szCs w:val="32"/>
          <w:lang w:val="en-US" w:eastAsia="zh-CN"/>
        </w:rPr>
        <w:t>1.</w:t>
      </w:r>
      <w:r>
        <w:rPr>
          <w:rFonts w:hint="eastAsia" w:ascii="仿宋_GB2312" w:hAnsi="仿宋_GB2312" w:eastAsia="仿宋_GB2312" w:cs="仿宋_GB2312"/>
          <w:b w:val="0"/>
          <w:bCs/>
          <w:color w:val="000000"/>
          <w:sz w:val="32"/>
          <w:szCs w:val="32"/>
        </w:rPr>
        <w:t>贯彻落实党中央和省委、市委及区委的决策部署，向省委、市委巡视</w:t>
      </w:r>
      <w:r>
        <w:rPr>
          <w:rFonts w:hint="eastAsia" w:ascii="仿宋_GB2312" w:hAnsi="仿宋_GB2312" w:eastAsia="仿宋_GB2312" w:cs="仿宋_GB2312"/>
          <w:b w:val="0"/>
          <w:bCs/>
          <w:color w:val="000000"/>
          <w:sz w:val="32"/>
          <w:szCs w:val="32"/>
          <w:lang w:val="en-US" w:eastAsia="zh-CN"/>
        </w:rPr>
        <w:t>巡察</w:t>
      </w:r>
      <w:r>
        <w:rPr>
          <w:rFonts w:hint="eastAsia" w:ascii="仿宋_GB2312" w:hAnsi="仿宋_GB2312" w:eastAsia="仿宋_GB2312" w:cs="仿宋_GB2312"/>
          <w:b w:val="0"/>
          <w:bCs/>
          <w:color w:val="000000"/>
          <w:sz w:val="32"/>
          <w:szCs w:val="32"/>
        </w:rPr>
        <w:t>工作领导小组办公室和区委巡察工作领导小组报告工作情况。</w:t>
      </w:r>
    </w:p>
    <w:p>
      <w:pPr>
        <w:keepNext w:val="0"/>
        <w:keepLines w:val="0"/>
        <w:pageBreakBefore w:val="0"/>
        <w:widowControl w:val="0"/>
        <w:kinsoku/>
        <w:wordWrap/>
        <w:overflowPunct/>
        <w:topLinePunct w:val="0"/>
        <w:autoSpaceDE/>
        <w:autoSpaceDN/>
        <w:bidi w:val="0"/>
        <w:adjustRightInd/>
        <w:snapToGrid/>
        <w:spacing w:before="0" w:after="0" w:line="580" w:lineRule="exact"/>
        <w:ind w:firstLine="640" w:firstLineChars="200"/>
        <w:jc w:val="left"/>
        <w:textAlignment w:val="auto"/>
        <w:outlineLvl w:val="9"/>
        <w:rPr>
          <w:rFonts w:hint="eastAsia" w:ascii="仿宋_GB2312" w:hAnsi="仿宋_GB2312" w:eastAsia="仿宋_GB2312" w:cs="仿宋_GB2312"/>
          <w:b w:val="0"/>
          <w:bCs/>
          <w:color w:val="000000"/>
          <w:sz w:val="32"/>
          <w:szCs w:val="32"/>
        </w:rPr>
      </w:pPr>
      <w:r>
        <w:rPr>
          <w:rFonts w:hint="eastAsia" w:ascii="仿宋_GB2312" w:hAnsi="仿宋_GB2312" w:eastAsia="仿宋_GB2312" w:cs="仿宋_GB2312"/>
          <w:b w:val="0"/>
          <w:bCs/>
          <w:color w:val="000000"/>
          <w:sz w:val="32"/>
          <w:szCs w:val="32"/>
          <w:lang w:val="en-US" w:eastAsia="zh-CN"/>
        </w:rPr>
        <w:t>2.</w:t>
      </w:r>
      <w:r>
        <w:rPr>
          <w:rFonts w:hint="eastAsia" w:ascii="仿宋_GB2312" w:hAnsi="仿宋_GB2312" w:eastAsia="仿宋_GB2312" w:cs="仿宋_GB2312"/>
          <w:b w:val="0"/>
          <w:bCs/>
          <w:color w:val="000000"/>
          <w:sz w:val="32"/>
          <w:szCs w:val="32"/>
        </w:rPr>
        <w:t>统筹、协调、指导开展巡察工作。</w:t>
      </w:r>
    </w:p>
    <w:p>
      <w:pPr>
        <w:keepNext w:val="0"/>
        <w:keepLines w:val="0"/>
        <w:pageBreakBefore w:val="0"/>
        <w:widowControl w:val="0"/>
        <w:kinsoku/>
        <w:wordWrap/>
        <w:overflowPunct/>
        <w:topLinePunct w:val="0"/>
        <w:autoSpaceDE/>
        <w:autoSpaceDN/>
        <w:bidi w:val="0"/>
        <w:adjustRightInd/>
        <w:snapToGrid/>
        <w:spacing w:before="0" w:after="0" w:line="580" w:lineRule="exact"/>
        <w:ind w:firstLine="640" w:firstLineChars="200"/>
        <w:jc w:val="left"/>
        <w:textAlignment w:val="auto"/>
        <w:outlineLvl w:val="9"/>
        <w:rPr>
          <w:rFonts w:hint="eastAsia" w:ascii="仿宋_GB2312" w:hAnsi="仿宋_GB2312" w:eastAsia="仿宋_GB2312" w:cs="仿宋_GB2312"/>
          <w:b w:val="0"/>
          <w:bCs/>
          <w:color w:val="000000"/>
          <w:sz w:val="32"/>
          <w:szCs w:val="32"/>
        </w:rPr>
      </w:pPr>
      <w:r>
        <w:rPr>
          <w:rFonts w:hint="eastAsia" w:ascii="仿宋_GB2312" w:hAnsi="仿宋_GB2312" w:eastAsia="仿宋_GB2312" w:cs="仿宋_GB2312"/>
          <w:b w:val="0"/>
          <w:bCs/>
          <w:color w:val="000000"/>
          <w:sz w:val="32"/>
          <w:szCs w:val="32"/>
          <w:lang w:val="en-US" w:eastAsia="zh-CN"/>
        </w:rPr>
        <w:t>3.</w:t>
      </w:r>
      <w:r>
        <w:rPr>
          <w:rFonts w:hint="eastAsia" w:ascii="仿宋_GB2312" w:hAnsi="仿宋_GB2312" w:eastAsia="仿宋_GB2312" w:cs="仿宋_GB2312"/>
          <w:b w:val="0"/>
          <w:bCs/>
          <w:color w:val="000000"/>
          <w:sz w:val="32"/>
          <w:szCs w:val="32"/>
        </w:rPr>
        <w:t>承担政策研究、制度建设等工作。</w:t>
      </w:r>
    </w:p>
    <w:p>
      <w:pPr>
        <w:keepNext w:val="0"/>
        <w:keepLines w:val="0"/>
        <w:pageBreakBefore w:val="0"/>
        <w:widowControl w:val="0"/>
        <w:kinsoku/>
        <w:wordWrap/>
        <w:overflowPunct/>
        <w:topLinePunct w:val="0"/>
        <w:autoSpaceDE/>
        <w:autoSpaceDN/>
        <w:bidi w:val="0"/>
        <w:adjustRightInd/>
        <w:snapToGrid/>
        <w:spacing w:before="0" w:after="0" w:line="580" w:lineRule="exact"/>
        <w:ind w:firstLine="640" w:firstLineChars="200"/>
        <w:jc w:val="left"/>
        <w:textAlignment w:val="auto"/>
        <w:outlineLvl w:val="9"/>
        <w:rPr>
          <w:rFonts w:hint="eastAsia" w:ascii="仿宋_GB2312" w:hAnsi="仿宋_GB2312" w:eastAsia="仿宋_GB2312" w:cs="仿宋_GB2312"/>
          <w:b w:val="0"/>
          <w:bCs/>
          <w:color w:val="000000"/>
          <w:sz w:val="32"/>
          <w:szCs w:val="32"/>
        </w:rPr>
      </w:pPr>
      <w:r>
        <w:rPr>
          <w:rFonts w:hint="eastAsia" w:ascii="仿宋_GB2312" w:hAnsi="仿宋_GB2312" w:eastAsia="仿宋_GB2312" w:cs="仿宋_GB2312"/>
          <w:b w:val="0"/>
          <w:bCs/>
          <w:color w:val="000000"/>
          <w:sz w:val="32"/>
          <w:szCs w:val="32"/>
          <w:lang w:val="en-US" w:eastAsia="zh-CN"/>
        </w:rPr>
        <w:t>4.</w:t>
      </w:r>
      <w:r>
        <w:rPr>
          <w:rFonts w:hint="eastAsia" w:ascii="仿宋_GB2312" w:hAnsi="仿宋_GB2312" w:eastAsia="仿宋_GB2312" w:cs="仿宋_GB2312"/>
          <w:b w:val="0"/>
          <w:bCs/>
          <w:color w:val="000000"/>
          <w:sz w:val="32"/>
          <w:szCs w:val="32"/>
        </w:rPr>
        <w:t>对区委、区委巡察工作领导小组决定的事项进行督办。</w:t>
      </w:r>
    </w:p>
    <w:p>
      <w:pPr>
        <w:keepNext w:val="0"/>
        <w:keepLines w:val="0"/>
        <w:pageBreakBefore w:val="0"/>
        <w:widowControl w:val="0"/>
        <w:kinsoku/>
        <w:wordWrap/>
        <w:overflowPunct/>
        <w:topLinePunct w:val="0"/>
        <w:autoSpaceDE/>
        <w:autoSpaceDN/>
        <w:bidi w:val="0"/>
        <w:adjustRightInd/>
        <w:snapToGrid/>
        <w:spacing w:before="0" w:after="0" w:line="580" w:lineRule="exact"/>
        <w:ind w:firstLine="640" w:firstLineChars="200"/>
        <w:jc w:val="left"/>
        <w:textAlignment w:val="auto"/>
        <w:outlineLvl w:val="9"/>
        <w:rPr>
          <w:rFonts w:hint="eastAsia" w:ascii="仿宋_GB2312" w:hAnsi="仿宋_GB2312" w:eastAsia="仿宋_GB2312" w:cs="仿宋_GB2312"/>
          <w:b w:val="0"/>
          <w:bCs/>
          <w:color w:val="000000"/>
          <w:sz w:val="32"/>
          <w:szCs w:val="32"/>
        </w:rPr>
      </w:pPr>
      <w:r>
        <w:rPr>
          <w:rFonts w:hint="eastAsia" w:ascii="仿宋_GB2312" w:hAnsi="仿宋_GB2312" w:eastAsia="仿宋_GB2312" w:cs="仿宋_GB2312"/>
          <w:b w:val="0"/>
          <w:bCs/>
          <w:color w:val="000000"/>
          <w:sz w:val="32"/>
          <w:szCs w:val="32"/>
          <w:lang w:val="en-US" w:eastAsia="zh-CN"/>
        </w:rPr>
        <w:t>5.</w:t>
      </w:r>
      <w:r>
        <w:rPr>
          <w:rFonts w:hint="eastAsia" w:ascii="仿宋_GB2312" w:hAnsi="仿宋_GB2312" w:eastAsia="仿宋_GB2312" w:cs="仿宋_GB2312"/>
          <w:b w:val="0"/>
          <w:bCs/>
          <w:color w:val="000000"/>
          <w:sz w:val="32"/>
          <w:szCs w:val="32"/>
        </w:rPr>
        <w:t>配合有关部门对巡察工作人员进行培训、考核监督和管理。</w:t>
      </w:r>
    </w:p>
    <w:p>
      <w:pPr>
        <w:keepNext w:val="0"/>
        <w:keepLines w:val="0"/>
        <w:pageBreakBefore w:val="0"/>
        <w:widowControl w:val="0"/>
        <w:kinsoku/>
        <w:wordWrap/>
        <w:overflowPunct/>
        <w:topLinePunct w:val="0"/>
        <w:autoSpaceDE/>
        <w:autoSpaceDN/>
        <w:bidi w:val="0"/>
        <w:adjustRightInd/>
        <w:snapToGrid/>
        <w:spacing w:before="0" w:after="0" w:line="580" w:lineRule="exact"/>
        <w:ind w:firstLine="640" w:firstLineChars="200"/>
        <w:jc w:val="left"/>
        <w:textAlignment w:val="auto"/>
        <w:outlineLvl w:val="9"/>
        <w:rPr>
          <w:rFonts w:hint="eastAsia" w:ascii="仿宋_GB2312" w:hAnsi="仿宋_GB2312" w:eastAsia="仿宋_GB2312" w:cs="仿宋_GB2312"/>
          <w:b w:val="0"/>
          <w:bCs/>
          <w:color w:val="000000"/>
          <w:sz w:val="32"/>
          <w:szCs w:val="32"/>
        </w:rPr>
      </w:pPr>
      <w:r>
        <w:rPr>
          <w:rFonts w:hint="eastAsia" w:ascii="仿宋_GB2312" w:hAnsi="仿宋_GB2312" w:eastAsia="仿宋_GB2312" w:cs="仿宋_GB2312"/>
          <w:b w:val="0"/>
          <w:bCs/>
          <w:color w:val="000000"/>
          <w:sz w:val="32"/>
          <w:szCs w:val="32"/>
          <w:lang w:val="en-US" w:eastAsia="zh-CN"/>
        </w:rPr>
        <w:t>6.</w:t>
      </w:r>
      <w:r>
        <w:rPr>
          <w:rFonts w:hint="eastAsia" w:ascii="仿宋_GB2312" w:hAnsi="仿宋_GB2312" w:eastAsia="仿宋_GB2312" w:cs="仿宋_GB2312"/>
          <w:b w:val="0"/>
          <w:bCs/>
          <w:color w:val="000000"/>
          <w:sz w:val="32"/>
          <w:szCs w:val="32"/>
        </w:rPr>
        <w:t>完成省委</w:t>
      </w:r>
      <w:r>
        <w:rPr>
          <w:rFonts w:hint="eastAsia" w:ascii="仿宋_GB2312" w:hAnsi="仿宋_GB2312" w:eastAsia="仿宋_GB2312" w:cs="仿宋_GB2312"/>
          <w:b w:val="0"/>
          <w:bCs/>
          <w:color w:val="000000"/>
          <w:sz w:val="32"/>
          <w:szCs w:val="32"/>
          <w:lang w:val="en-US" w:eastAsia="zh-CN"/>
        </w:rPr>
        <w:t>巡视办</w:t>
      </w:r>
      <w:r>
        <w:rPr>
          <w:rFonts w:hint="eastAsia" w:ascii="仿宋_GB2312" w:hAnsi="仿宋_GB2312" w:eastAsia="仿宋_GB2312" w:cs="仿宋_GB2312"/>
          <w:b w:val="0"/>
          <w:bCs/>
          <w:color w:val="000000"/>
          <w:sz w:val="32"/>
          <w:szCs w:val="32"/>
        </w:rPr>
        <w:t>、市委</w:t>
      </w:r>
      <w:r>
        <w:rPr>
          <w:rFonts w:hint="eastAsia" w:ascii="仿宋_GB2312" w:hAnsi="仿宋_GB2312" w:eastAsia="仿宋_GB2312" w:cs="仿宋_GB2312"/>
          <w:b w:val="0"/>
          <w:bCs/>
          <w:color w:val="000000"/>
          <w:sz w:val="32"/>
          <w:szCs w:val="32"/>
          <w:lang w:val="en-US" w:eastAsia="zh-CN"/>
        </w:rPr>
        <w:t>巡察办</w:t>
      </w:r>
      <w:r>
        <w:rPr>
          <w:rFonts w:hint="eastAsia" w:ascii="仿宋_GB2312" w:hAnsi="仿宋_GB2312" w:eastAsia="仿宋_GB2312" w:cs="仿宋_GB2312"/>
          <w:b w:val="0"/>
          <w:bCs/>
          <w:color w:val="000000"/>
          <w:sz w:val="32"/>
          <w:szCs w:val="32"/>
        </w:rPr>
        <w:t>和区委巡察工作领导小组交办的其他任务。</w:t>
      </w:r>
    </w:p>
    <w:p>
      <w:pPr>
        <w:keepNext w:val="0"/>
        <w:keepLines w:val="0"/>
        <w:pageBreakBefore w:val="0"/>
        <w:widowControl w:val="0"/>
        <w:kinsoku/>
        <w:wordWrap/>
        <w:overflowPunct/>
        <w:topLinePunct w:val="0"/>
        <w:autoSpaceDE/>
        <w:autoSpaceDN/>
        <w:bidi w:val="0"/>
        <w:adjustRightInd/>
        <w:snapToGrid/>
        <w:spacing w:before="0" w:after="0" w:line="580" w:lineRule="exact"/>
        <w:ind w:firstLine="0"/>
        <w:jc w:val="center"/>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单位名称</w:t>
            </w:r>
          </w:p>
        </w:tc>
        <w:tc>
          <w:tcPr>
            <w:tcW w:w="2464" w:type="dxa"/>
            <w:vAlign w:val="center"/>
          </w:tcPr>
          <w:p>
            <w:pPr>
              <w:pStyle w:val="10"/>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单位性质</w:t>
            </w:r>
          </w:p>
        </w:tc>
        <w:tc>
          <w:tcPr>
            <w:tcW w:w="2464" w:type="dxa"/>
            <w:vAlign w:val="center"/>
          </w:tcPr>
          <w:p>
            <w:pPr>
              <w:pStyle w:val="10"/>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单位规格</w:t>
            </w:r>
          </w:p>
        </w:tc>
        <w:tc>
          <w:tcPr>
            <w:tcW w:w="2464" w:type="dxa"/>
            <w:vAlign w:val="center"/>
          </w:tcPr>
          <w:p>
            <w:pPr>
              <w:pStyle w:val="10"/>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548" w:hRule="atLeast"/>
          <w:jc w:val="center"/>
        </w:trPr>
        <w:tc>
          <w:tcPr>
            <w:tcW w:w="2464" w:type="dxa"/>
            <w:vAlign w:val="center"/>
          </w:tcPr>
          <w:p>
            <w:pPr>
              <w:pStyle w:val="11"/>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sz w:val="32"/>
                <w:szCs w:val="32"/>
              </w:rPr>
            </w:pPr>
          </w:p>
          <w:p>
            <w:pPr>
              <w:pStyle w:val="11"/>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中共石家庄市藁城区委巡察工作领导小组办公室</w:t>
            </w:r>
          </w:p>
          <w:p>
            <w:pPr>
              <w:pStyle w:val="11"/>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sz w:val="32"/>
                <w:szCs w:val="32"/>
              </w:rPr>
            </w:pPr>
          </w:p>
        </w:tc>
        <w:tc>
          <w:tcPr>
            <w:tcW w:w="2464" w:type="dxa"/>
            <w:vAlign w:val="center"/>
          </w:tcPr>
          <w:p>
            <w:pPr>
              <w:pStyle w:val="12"/>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w:t>
            </w:r>
          </w:p>
        </w:tc>
        <w:tc>
          <w:tcPr>
            <w:tcW w:w="2464" w:type="dxa"/>
            <w:vAlign w:val="center"/>
          </w:tcPr>
          <w:p>
            <w:pPr>
              <w:pStyle w:val="12"/>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正科级</w:t>
            </w:r>
          </w:p>
        </w:tc>
        <w:tc>
          <w:tcPr>
            <w:tcW w:w="2464" w:type="dxa"/>
            <w:vAlign w:val="center"/>
          </w:tcPr>
          <w:p>
            <w:pPr>
              <w:pStyle w:val="12"/>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财政拨款</w:t>
            </w:r>
          </w:p>
        </w:tc>
      </w:tr>
    </w:tbl>
    <w:p>
      <w:pPr>
        <w:snapToGrid w:val="0"/>
        <w:spacing w:line="52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部门收支预决算</w:t>
      </w:r>
      <w:r>
        <w:rPr>
          <w:rFonts w:hint="eastAsia" w:ascii="楷体_GB2312" w:hAnsi="楷体_GB2312" w:eastAsia="楷体_GB2312" w:cs="楷体_GB2312"/>
          <w:sz w:val="32"/>
          <w:szCs w:val="32"/>
        </w:rPr>
        <w:t>情况</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default" w:ascii="仿宋_GB2312" w:hAnsi="仿宋" w:eastAsia="仿宋_GB2312"/>
          <w:sz w:val="32"/>
          <w:szCs w:val="32"/>
          <w:lang w:val="en-US" w:eastAsia="zh-CN"/>
        </w:rPr>
      </w:pPr>
      <w:r>
        <w:rPr>
          <w:rFonts w:hint="eastAsia" w:ascii="仿宋_GB2312" w:hAnsi="仿宋_GB2312" w:eastAsia="仿宋_GB2312" w:cs="仿宋_GB2312"/>
          <w:sz w:val="32"/>
          <w:szCs w:val="32"/>
          <w:lang w:val="en-US" w:eastAsia="zh-CN"/>
        </w:rPr>
        <w:t>2022年部门财政预算收入86万元，资金性质为一般公共预算资金，收入来源为当年预算-经费拨款，资金到位率100%。2022年部门财政支出86万元分别为巡察工作经费支出48万元、巡视巡察专项工作经费支出38万元，无结余资金，资金执行进度100%。</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b w:val="0"/>
          <w:bCs w:val="0"/>
          <w:sz w:val="32"/>
          <w:szCs w:val="32"/>
        </w:rPr>
      </w:pPr>
      <w:r>
        <w:rPr>
          <w:rFonts w:hint="eastAsia" w:ascii="黑体" w:hAnsi="黑体" w:eastAsia="黑体" w:cs="黑体"/>
          <w:b w:val="0"/>
          <w:bCs w:val="0"/>
          <w:sz w:val="32"/>
          <w:szCs w:val="32"/>
        </w:rPr>
        <w:t>二、绩效</w:t>
      </w:r>
      <w:r>
        <w:rPr>
          <w:rFonts w:hint="eastAsia" w:ascii="黑体" w:hAnsi="黑体" w:eastAsia="黑体" w:cs="黑体"/>
          <w:b w:val="0"/>
          <w:bCs w:val="0"/>
          <w:sz w:val="32"/>
          <w:szCs w:val="32"/>
          <w:lang w:eastAsia="zh-CN"/>
        </w:rPr>
        <w:t>自评工作开展</w:t>
      </w:r>
      <w:r>
        <w:rPr>
          <w:rFonts w:hint="eastAsia" w:ascii="黑体" w:hAnsi="黑体" w:eastAsia="黑体" w:cs="黑体"/>
          <w:b w:val="0"/>
          <w:bCs w:val="0"/>
          <w:sz w:val="32"/>
          <w:szCs w:val="32"/>
        </w:rPr>
        <w:t>情况</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（一）成立绩效自评工作小组</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绩效评价工作由一把手牵头抓总负责推进，一名副主任、一名财务工作人员组成绩效自评工作小组。</w:t>
      </w:r>
    </w:p>
    <w:p>
      <w:pPr>
        <w:keepNext w:val="0"/>
        <w:keepLines w:val="0"/>
        <w:pageBreakBefore w:val="0"/>
        <w:widowControl w:val="0"/>
        <w:numPr>
          <w:ilvl w:val="0"/>
          <w:numId w:val="2"/>
        </w:numPr>
        <w:kinsoku/>
        <w:wordWrap/>
        <w:overflowPunct/>
        <w:topLinePunct w:val="0"/>
        <w:autoSpaceDE/>
        <w:autoSpaceDN/>
        <w:bidi w:val="0"/>
        <w:adjustRightInd/>
        <w:snapToGrid w:val="0"/>
        <w:spacing w:line="580" w:lineRule="exact"/>
        <w:ind w:left="0" w:leftChars="0" w:right="0" w:rightChars="0" w:firstLine="640" w:firstLineChars="200"/>
        <w:textAlignment w:val="auto"/>
        <w:outlineLvl w:val="9"/>
        <w:rPr>
          <w:rFonts w:hint="eastAsia" w:ascii="楷体_GB2312" w:hAnsi="楷体_GB2312" w:eastAsia="楷体_GB2312" w:cs="楷体_GB2312"/>
          <w:b w:val="0"/>
          <w:bCs w:val="0"/>
          <w:sz w:val="32"/>
          <w:szCs w:val="32"/>
          <w:lang w:eastAsia="zh-CN"/>
        </w:rPr>
      </w:pPr>
      <w:r>
        <w:rPr>
          <w:rFonts w:hint="eastAsia" w:ascii="楷体_GB2312" w:hAnsi="楷体_GB2312" w:eastAsia="楷体_GB2312" w:cs="楷体_GB2312"/>
          <w:b w:val="0"/>
          <w:bCs w:val="0"/>
          <w:sz w:val="32"/>
          <w:szCs w:val="32"/>
          <w:lang w:eastAsia="zh-CN"/>
        </w:rPr>
        <w:t>建立绩效评价指标体系</w:t>
      </w:r>
    </w:p>
    <w:p>
      <w:pPr>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right="0" w:rightChars="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在开展预算自评工作时，针对具体绩效评价对象的特点，设计能够体现项目特点绩效评价指标体系。绩效指标权重由各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门整体支出绩效目标实现情况及指标分析涉及服务对象满意度内容或因服务对象满意度获取难度较大、成本较高而未能获取，则服务对象满意度的10分调入效益考核事项。</w:t>
      </w:r>
    </w:p>
    <w:p>
      <w:pPr>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right="0" w:rightChars="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二、三级指标所占权重应当根据指标重要程度、项目实施阶段等因素综合确定，准确反映预算项目的产出和效果。</w:t>
      </w:r>
    </w:p>
    <w:p>
      <w:pPr>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right="0" w:rightChars="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同类评价对象的指标权重设置应当基本一致，便于评价结果相互比较。</w:t>
      </w:r>
    </w:p>
    <w:p>
      <w:pPr>
        <w:keepNext w:val="0"/>
        <w:keepLines w:val="0"/>
        <w:pageBreakBefore w:val="0"/>
        <w:widowControl w:val="0"/>
        <w:numPr>
          <w:ilvl w:val="0"/>
          <w:numId w:val="2"/>
        </w:numPr>
        <w:kinsoku/>
        <w:wordWrap/>
        <w:overflowPunct/>
        <w:topLinePunct w:val="0"/>
        <w:autoSpaceDE/>
        <w:autoSpaceDN/>
        <w:bidi w:val="0"/>
        <w:adjustRightInd/>
        <w:snapToGrid w:val="0"/>
        <w:spacing w:line="580" w:lineRule="exact"/>
        <w:ind w:left="0" w:leftChars="0" w:right="0"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制定绩效</w:t>
      </w:r>
      <w:r>
        <w:rPr>
          <w:rFonts w:hint="eastAsia" w:ascii="楷体_GB2312" w:hAnsi="楷体_GB2312" w:eastAsia="楷体_GB2312" w:cs="楷体_GB2312"/>
          <w:b w:val="0"/>
          <w:bCs w:val="0"/>
          <w:sz w:val="32"/>
          <w:szCs w:val="32"/>
          <w:lang w:eastAsia="zh-CN"/>
        </w:rPr>
        <w:t>自评</w:t>
      </w:r>
      <w:r>
        <w:rPr>
          <w:rFonts w:hint="eastAsia" w:ascii="楷体_GB2312" w:hAnsi="楷体_GB2312" w:eastAsia="楷体_GB2312" w:cs="楷体_GB2312"/>
          <w:b w:val="0"/>
          <w:bCs w:val="0"/>
          <w:sz w:val="32"/>
          <w:szCs w:val="32"/>
          <w:lang w:val="en-US" w:eastAsia="zh-CN"/>
        </w:rPr>
        <w:t>工作流程</w:t>
      </w:r>
    </w:p>
    <w:p>
      <w:pPr>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工作由一把手统一布置安排，共分三个阶段进行。第一阶段为筹备资料阶段，第二阶段为集中测评阶段，绩效测评小组成员按照绩效评价指标体系以及提供材料进行测评打分；第三阶段为汇总生成报告阶段，对测评结果进行汇总审核并撰写自评报告。</w:t>
      </w:r>
    </w:p>
    <w:p>
      <w:pPr>
        <w:widowControl w:val="0"/>
        <w:numPr>
          <w:ilvl w:val="0"/>
          <w:numId w:val="3"/>
        </w:numPr>
        <w:wordWrap/>
        <w:adjustRightInd/>
        <w:snapToGrid w:val="0"/>
        <w:spacing w:line="560" w:lineRule="exact"/>
        <w:ind w:left="-220" w:leftChars="0" w:right="0" w:firstLine="640" w:firstLineChars="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部门整体支出绩效目标实现情况及</w:t>
      </w:r>
      <w:r>
        <w:rPr>
          <w:rFonts w:hint="eastAsia" w:ascii="黑体" w:hAnsi="黑体" w:eastAsia="黑体" w:cs="黑体"/>
          <w:b w:val="0"/>
          <w:bCs w:val="0"/>
          <w:sz w:val="32"/>
          <w:szCs w:val="32"/>
          <w:highlight w:val="none"/>
          <w:lang w:eastAsia="zh-CN"/>
        </w:rPr>
        <w:t>指标分析</w:t>
      </w:r>
    </w:p>
    <w:p>
      <w:pPr>
        <w:widowControl w:val="0"/>
        <w:wordWrap/>
        <w:adjustRightInd/>
        <w:snapToGrid w:val="0"/>
        <w:spacing w:line="560" w:lineRule="exact"/>
        <w:ind w:left="0" w:leftChars="0" w:right="0" w:firstLine="640" w:firstLineChars="20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（一）部门整体支出绩效目标实现情况</w:t>
      </w:r>
    </w:p>
    <w:p>
      <w:pPr>
        <w:keepNext w:val="0"/>
        <w:keepLines w:val="0"/>
        <w:pageBreakBefore w:val="0"/>
        <w:widowControl w:val="0"/>
        <w:kinsoku/>
        <w:wordWrap/>
        <w:overflowPunct/>
        <w:topLinePunct w:val="0"/>
        <w:autoSpaceDE/>
        <w:autoSpaceDN/>
        <w:bidi w:val="0"/>
        <w:adjustRightInd/>
        <w:snapToGrid w:val="0"/>
        <w:spacing w:line="58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根据项目执行情况和项目绩效情况，巡察工作经费项目和巡视巡察专项工作经费项目均已完成</w:t>
      </w:r>
      <w:r>
        <w:rPr>
          <w:rFonts w:hint="eastAsia" w:ascii="仿宋_GB2312" w:hAnsi="仿宋_GB2312" w:eastAsia="仿宋_GB2312" w:cs="仿宋_GB2312"/>
          <w:sz w:val="32"/>
          <w:szCs w:val="32"/>
          <w:lang w:eastAsia="zh-CN"/>
        </w:rPr>
        <w:t>总体绩效目标、分项绩效目标，</w:t>
      </w:r>
      <w:r>
        <w:rPr>
          <w:rFonts w:hint="eastAsia" w:ascii="仿宋_GB2312" w:hAnsi="仿宋_GB2312" w:eastAsia="仿宋_GB2312" w:cs="仿宋_GB2312"/>
          <w:sz w:val="32"/>
          <w:szCs w:val="32"/>
          <w:lang w:val="en-US" w:eastAsia="zh-CN"/>
        </w:rPr>
        <w:t>综合评分为100分，项目综合绩效评价为优秀</w:t>
      </w:r>
      <w:r>
        <w:rPr>
          <w:rFonts w:hint="eastAsia" w:ascii="仿宋_GB2312" w:hAnsi="仿宋_GB2312" w:eastAsia="仿宋_GB2312" w:cs="仿宋_GB2312"/>
          <w:sz w:val="32"/>
          <w:szCs w:val="32"/>
          <w:lang w:eastAsia="zh-CN"/>
        </w:rPr>
        <w:t>。</w:t>
      </w:r>
    </w:p>
    <w:p>
      <w:pPr>
        <w:pStyle w:val="2"/>
        <w:numPr>
          <w:ilvl w:val="0"/>
          <w:numId w:val="4"/>
        </w:numPr>
        <w:ind w:firstLine="640" w:firstLineChars="20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部门整体支出绩效目标指标分析</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0"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对项目的功能进行梳理，包括资金性质、预期投入、支出范围、实施内容、工作任务、受益对象，明确项目支出的功能性；依据项目的功能特性，根据项目实施达到的总体产出和效果确定总体绩效目标，以定量和定性相结合的方式进行表述；将项目支出的总体绩效目标进行细化分解，并从中总结提炼出最能反映总体绩效目标实现程度的关键性指标，并将其确定为相应的绩效指标。</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1.产出指标</w:t>
      </w:r>
    </w:p>
    <w:p>
      <w:pPr>
        <w:pStyle w:val="2"/>
        <w:keepNext w:val="0"/>
        <w:keepLines w:val="0"/>
        <w:pageBreakBefore w:val="0"/>
        <w:widowControl w:val="0"/>
        <w:kinsoku/>
        <w:wordWrap/>
        <w:overflowPunct/>
        <w:topLinePunct w:val="0"/>
        <w:autoSpaceDE/>
        <w:autoSpaceDN/>
        <w:bidi w:val="0"/>
        <w:adjustRightInd/>
        <w:snapToGrid/>
        <w:spacing w:before="0"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数量指标：反映项目完成的任务量，实际完成率。</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质量指标：项目的质量等次和质量实现程度。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时效指标：反映项目工作进度，计划完成度。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通用指标：完成任务及时率=（计划完成时间-实际完成时间）/计划完成时间*100%</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成本指标：反映提供公共产品和服务所需要的成本。</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2.效益指标</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社会效益指标：反映项目公共产品或服务可以产生的社会效果，反映项目实施对社会带来的直接或间接影响情况。</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0" w:line="580" w:lineRule="exact"/>
        <w:ind w:leftChars="0" w:firstLine="640"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3.满意度指标</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0" w:line="580" w:lineRule="exact"/>
        <w:ind w:leftChars="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服务对象满意度指标：反映项目服务对象或收益人对项目实施的满意程度，根据实际细化为具体指标。</w:t>
      </w:r>
    </w:p>
    <w:p>
      <w:pPr>
        <w:widowControl w:val="0"/>
        <w:numPr>
          <w:ilvl w:val="0"/>
          <w:numId w:val="3"/>
        </w:numPr>
        <w:wordWrap/>
        <w:adjustRightInd/>
        <w:snapToGrid w:val="0"/>
        <w:spacing w:line="560" w:lineRule="exact"/>
        <w:ind w:left="-220" w:leftChars="0" w:right="0" w:firstLine="640" w:firstLineChars="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评价结论和评价等级</w:t>
      </w:r>
    </w:p>
    <w:p>
      <w:pPr>
        <w:pStyle w:val="2"/>
        <w:keepNext w:val="0"/>
        <w:keepLines w:val="0"/>
        <w:pageBreakBefore w:val="0"/>
        <w:widowControl w:val="0"/>
        <w:kinsoku/>
        <w:wordWrap/>
        <w:overflowPunct/>
        <w:topLinePunct w:val="0"/>
        <w:autoSpaceDE/>
        <w:autoSpaceDN/>
        <w:bidi w:val="0"/>
        <w:adjustRightInd/>
        <w:snapToGrid/>
        <w:spacing w:before="0"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根据项目执行情况和项目绩效情况，运用绩效目标表的评价指标体系和评分标准，项目综合整体评分为100分，综合绩效评价等级为优秀。</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仿宋_GB2312" w:hAnsi="仿宋_GB2312" w:eastAsia="仿宋_GB2312" w:cs="仿宋_GB2312"/>
          <w:sz w:val="32"/>
          <w:szCs w:val="32"/>
          <w:lang w:val="en-US" w:eastAsia="zh-CN"/>
        </w:rPr>
        <w:t>建议评价结果整改应用机制，督促被评价项目落实整改，不定期抽查整改情况，将整改落实情况与年终考核挂钩；改进绩效自评工作管理，优化绩效自评工作流程，鼓励自查自纠，充分发挥主管能动性，提高财政资金使用效益；进一步完善绩效目标设置质量，进一步细化反映总体绩效目标实现程度的关键性指标，最终行成科学的评价指标体系。</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6"/>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21"/>
        <w:gridCol w:w="2322"/>
        <w:gridCol w:w="2322"/>
        <w:gridCol w:w="23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21"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姓名</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工作单位</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职务</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21"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黄立鑫</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巡察办</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巡察办主任</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21"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苏  丹</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val="en-US" w:eastAsia="zh-CN"/>
              </w:rPr>
              <w:t>巡察办</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巡察办副主任</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21"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史嘉慧</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val="en-US" w:eastAsia="zh-CN"/>
              </w:rPr>
              <w:t>巡察办</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巡察办财务</w:t>
            </w:r>
          </w:p>
        </w:tc>
        <w:tc>
          <w:tcPr>
            <w:tcW w:w="2322" w:type="dxa"/>
          </w:tcPr>
          <w:p>
            <w:pPr>
              <w:widowControl w:val="0"/>
              <w:numPr>
                <w:ilvl w:val="0"/>
                <w:numId w:val="0"/>
              </w:numPr>
              <w:wordWrap/>
              <w:adjustRightInd/>
              <w:snapToGrid w:val="0"/>
              <w:spacing w:line="56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p>
        </w:tc>
      </w:tr>
    </w:tbl>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98" w:right="1474" w:bottom="1984" w:left="1587" w:header="851" w:footer="992" w:gutter="0"/>
      <w:paperSrc/>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FC08FCD"/>
    <w:multiLevelType w:val="singleLevel"/>
    <w:tmpl w:val="9FC08FCD"/>
    <w:lvl w:ilvl="0" w:tentative="0">
      <w:start w:val="2"/>
      <w:numFmt w:val="chineseCounting"/>
      <w:suff w:val="nothing"/>
      <w:lvlText w:val="（%1）"/>
      <w:lvlJc w:val="left"/>
      <w:rPr>
        <w:rFonts w:hint="eastAsia"/>
      </w:rPr>
    </w:lvl>
  </w:abstractNum>
  <w:abstractNum w:abstractNumId="1">
    <w:nsid w:val="B79F1EC4"/>
    <w:multiLevelType w:val="singleLevel"/>
    <w:tmpl w:val="B79F1EC4"/>
    <w:lvl w:ilvl="0" w:tentative="0">
      <w:start w:val="3"/>
      <w:numFmt w:val="chineseCounting"/>
      <w:suff w:val="nothing"/>
      <w:lvlText w:val="%1、"/>
      <w:lvlJc w:val="left"/>
      <w:pPr>
        <w:ind w:left="-220"/>
      </w:pPr>
      <w:rPr>
        <w:rFonts w:hint="eastAsia"/>
      </w:rPr>
    </w:lvl>
  </w:abstractNum>
  <w:abstractNum w:abstractNumId="2">
    <w:nsid w:val="37DA615C"/>
    <w:multiLevelType w:val="singleLevel"/>
    <w:tmpl w:val="37DA615C"/>
    <w:lvl w:ilvl="0" w:tentative="0">
      <w:start w:val="2"/>
      <w:numFmt w:val="chineseCounting"/>
      <w:suff w:val="nothing"/>
      <w:lvlText w:val="（%1）"/>
      <w:lvlJc w:val="left"/>
      <w:pPr>
        <w:ind w:left="-10"/>
      </w:pPr>
      <w:rPr>
        <w:rFonts w:hint="eastAsia"/>
      </w:rPr>
    </w:lvl>
  </w:abstractNum>
  <w:abstractNum w:abstractNumId="3">
    <w:nsid w:val="4BAD5987"/>
    <w:multiLevelType w:val="singleLevel"/>
    <w:tmpl w:val="4BAD5987"/>
    <w:lvl w:ilvl="0" w:tentative="0">
      <w:start w:val="1"/>
      <w:numFmt w:val="chineseCounting"/>
      <w:suff w:val="nothing"/>
      <w:lvlText w:val="%1、"/>
      <w:lvlJc w:val="left"/>
      <w:rPr>
        <w:rFonts w:hint="eastAsia"/>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bordersDoNotSurroundHeader w:val="1"/>
  <w:bordersDoNotSurroundFooter w:val="1"/>
  <w:documentProtection w:enforcement="0"/>
  <w:defaultTabStop w:val="420"/>
  <w:drawingGridHorizontalSpacing w:val="105"/>
  <w:drawingGridVerticalSpacing w:val="159"/>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3B37E3B"/>
    <w:rsid w:val="051D4810"/>
    <w:rsid w:val="055B525F"/>
    <w:rsid w:val="05C923B1"/>
    <w:rsid w:val="083405B6"/>
    <w:rsid w:val="111B61A4"/>
    <w:rsid w:val="13B253EA"/>
    <w:rsid w:val="13B61930"/>
    <w:rsid w:val="1B650CFB"/>
    <w:rsid w:val="1BAF1154"/>
    <w:rsid w:val="1C655171"/>
    <w:rsid w:val="20276775"/>
    <w:rsid w:val="212256CB"/>
    <w:rsid w:val="25700CE1"/>
    <w:rsid w:val="25F72338"/>
    <w:rsid w:val="26061ED6"/>
    <w:rsid w:val="2E5B4E4E"/>
    <w:rsid w:val="2F3D3755"/>
    <w:rsid w:val="37097BE0"/>
    <w:rsid w:val="3AEF6FE7"/>
    <w:rsid w:val="3B7817D4"/>
    <w:rsid w:val="3BAD37A5"/>
    <w:rsid w:val="44D03694"/>
    <w:rsid w:val="493B718D"/>
    <w:rsid w:val="4D411325"/>
    <w:rsid w:val="53A42ADD"/>
    <w:rsid w:val="56994B8C"/>
    <w:rsid w:val="5C4A315B"/>
    <w:rsid w:val="661D3074"/>
    <w:rsid w:val="6BDE7164"/>
    <w:rsid w:val="732B3641"/>
    <w:rsid w:val="761F3EBD"/>
    <w:rsid w:val="7877756F"/>
    <w:rsid w:val="78BC229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qFormat="1" w:uiPriority="0" w:semiHidden="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a heading"/>
    <w:basedOn w:val="1"/>
    <w:next w:val="1"/>
    <w:unhideWhenUsed/>
    <w:qFormat/>
    <w:uiPriority w:val="0"/>
    <w:pPr>
      <w:spacing w:before="120" w:line="240" w:lineRule="auto"/>
    </w:pPr>
    <w:rPr>
      <w:rFonts w:ascii="Cambria" w:hAnsi="Cambria" w:eastAsia="宋体" w:cs="Times New Roman"/>
      <w:sz w:val="24"/>
      <w:szCs w:val="24"/>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8">
    <w:name w:val="页眉 Char"/>
    <w:basedOn w:val="7"/>
    <w:link w:val="4"/>
    <w:qFormat/>
    <w:uiPriority w:val="99"/>
    <w:rPr>
      <w:sz w:val="18"/>
      <w:szCs w:val="18"/>
    </w:rPr>
  </w:style>
  <w:style w:type="character" w:customStyle="1" w:styleId="9">
    <w:name w:val="页脚 Char"/>
    <w:basedOn w:val="7"/>
    <w:link w:val="3"/>
    <w:qFormat/>
    <w:uiPriority w:val="99"/>
    <w:rPr>
      <w:sz w:val="18"/>
      <w:szCs w:val="18"/>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1238</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pc</cp:lastModifiedBy>
  <cp:lastPrinted>2023-04-27T02:06:21Z</cp:lastPrinted>
  <dcterms:modified xsi:type="dcterms:W3CDTF">2023-04-27T02:17:50Z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