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D3DCA8">
      <w:pPr>
        <w:snapToGrid w:val="0"/>
        <w:spacing w:line="560" w:lineRule="exac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附件4</w:t>
      </w:r>
    </w:p>
    <w:p w14:paraId="7D270253"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7DB47CB2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区委办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7344DD19">
      <w:pPr>
        <w:snapToGrid w:val="0"/>
        <w:spacing w:line="56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 w14:paraId="0BC46164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15720BEA"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按照财政通知要求，我单位成立了财政预算绩效评价领导小组，并依照全区财政预算绩效考评指标对我区</w:t>
      </w:r>
      <w:r>
        <w:rPr>
          <w:rFonts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度财政预算情况开展了考评。通过核实数据、查阅资料、实地查看、归纳汇总等环节，对绩效执行情况、资金的来源和使用情况以及绩效目标的实现程度进行了分析评价。</w:t>
      </w:r>
    </w:p>
    <w:p w14:paraId="26FC2E01"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通过自评，20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年我单位自评绩效项目共1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个，均为财政资金，自评绩效项目资金</w:t>
      </w:r>
      <w:r>
        <w:rPr>
          <w:rFonts w:ascii="仿宋" w:hAnsi="仿宋" w:eastAsia="仿宋" w:cs="仿宋"/>
          <w:sz w:val="32"/>
          <w:szCs w:val="32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255.844935</w:t>
      </w:r>
      <w:r>
        <w:rPr>
          <w:rFonts w:hint="eastAsia" w:ascii="仿宋" w:hAnsi="仿宋" w:eastAsia="仿宋" w:cs="仿宋"/>
          <w:sz w:val="32"/>
          <w:szCs w:val="32"/>
        </w:rPr>
        <w:t>万元。其中，“纠风”活动经费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4.45</w:t>
      </w:r>
      <w:r>
        <w:rPr>
          <w:rFonts w:hint="eastAsia" w:ascii="仿宋" w:hAnsi="仿宋" w:eastAsia="仿宋" w:cs="仿宋"/>
          <w:sz w:val="32"/>
          <w:szCs w:val="32"/>
        </w:rPr>
        <w:t>万元，2022年出版藁城年鉴（补编）及区情口袋书经费7.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56</w:t>
      </w:r>
      <w:r>
        <w:rPr>
          <w:rFonts w:hint="eastAsia" w:ascii="仿宋" w:hAnsi="仿宋" w:eastAsia="仿宋" w:cs="仿宋"/>
          <w:sz w:val="32"/>
          <w:szCs w:val="32"/>
        </w:rPr>
        <w:t>万元，2022年出版藁城年鉴差额资金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7.3</w:t>
      </w:r>
      <w:r>
        <w:rPr>
          <w:rFonts w:hint="eastAsia" w:ascii="仿宋" w:hAnsi="仿宋" w:eastAsia="仿宋" w:cs="仿宋"/>
          <w:sz w:val="32"/>
          <w:szCs w:val="32"/>
        </w:rPr>
        <w:t>万元，OA办公系统经费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28.8</w:t>
      </w:r>
      <w:r>
        <w:rPr>
          <w:rFonts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补缴李波同志养老（单位部分）保险</w:t>
      </w:r>
      <w:r>
        <w:rPr>
          <w:rFonts w:ascii="仿宋" w:hAnsi="仿宋" w:eastAsia="仿宋" w:cs="仿宋"/>
          <w:sz w:val="32"/>
          <w:szCs w:val="32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.830585</w:t>
      </w:r>
      <w:r>
        <w:rPr>
          <w:rFonts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档案管理经费</w:t>
      </w:r>
      <w:r>
        <w:rPr>
          <w:rFonts w:ascii="仿宋" w:hAnsi="仿宋" w:eastAsia="仿宋" w:cs="仿宋"/>
          <w:sz w:val="32"/>
          <w:szCs w:val="32"/>
        </w:rPr>
        <w:t>4.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</w:rPr>
        <w:t>，地方志年鉴编纂经费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万元，国家安全工作经费34.74435万元，国家安全宣传经费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4.97</w:t>
      </w:r>
      <w:r>
        <w:rPr>
          <w:rFonts w:hint="eastAsia" w:ascii="仿宋" w:hAnsi="仿宋" w:eastAsia="仿宋" w:cs="仿宋"/>
          <w:sz w:val="32"/>
          <w:szCs w:val="32"/>
        </w:rPr>
        <w:t>万元，三重四创五优化办公经费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4.98</w:t>
      </w:r>
      <w:r>
        <w:rPr>
          <w:rFonts w:hint="eastAsia" w:ascii="仿宋" w:hAnsi="仿宋" w:eastAsia="仿宋" w:cs="仿宋"/>
          <w:sz w:val="32"/>
          <w:szCs w:val="32"/>
        </w:rPr>
        <w:t>万元，深化改革管理系统维护费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万元，省委应急值守综合指挥调度平台运营费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4.5</w:t>
      </w:r>
      <w:r>
        <w:rPr>
          <w:rFonts w:hint="eastAsia" w:ascii="仿宋" w:hAnsi="仿宋" w:eastAsia="仿宋" w:cs="仿宋"/>
          <w:sz w:val="32"/>
          <w:szCs w:val="32"/>
        </w:rPr>
        <w:t>万元，市级应急值守平台运营费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新型决策咨询智库运营经费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50万元，应急保障公务用车80.93万元</w:t>
      </w:r>
      <w:r>
        <w:rPr>
          <w:rFonts w:ascii="仿宋" w:hAnsi="仿宋" w:eastAsia="仿宋" w:cs="仿宋"/>
          <w:sz w:val="32"/>
          <w:szCs w:val="32"/>
        </w:rPr>
        <w:t>。</w:t>
      </w:r>
    </w:p>
    <w:p w14:paraId="3C8D6D5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（一）部门整体支出概况</w:t>
      </w:r>
    </w:p>
    <w:p w14:paraId="248ABCC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b w:val="0"/>
          <w:bCs w:val="0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年部门决算收支完成情况如下：</w:t>
      </w:r>
    </w:p>
    <w:p w14:paraId="586F7E5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1.全年收入为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1276.687265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元，其中：财政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拨款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收入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1276.687265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元，非财政补助收入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元。</w:t>
      </w:r>
    </w:p>
    <w:p w14:paraId="1A42E2C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2.全年支出为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1276.687265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万元。其中：行政支出：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886.56533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万元，项目支出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390.121935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万元。</w:t>
      </w:r>
    </w:p>
    <w:p w14:paraId="7CEC794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资金结存情况：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财政拨款结转结余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元，财政结余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元，非财政拨款收入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元。</w:t>
      </w:r>
    </w:p>
    <w:p w14:paraId="692B562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（二）整体支出绩效目标</w:t>
      </w:r>
    </w:p>
    <w:p w14:paraId="7350851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</w:rPr>
        <w:t>1、部门总目标：</w:t>
      </w:r>
    </w:p>
    <w:p w14:paraId="2158E1D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坚持以习近平新时代中国特色社会主义思想为指导，紧紧围绕区委要求开展工作，各部门团结一致，高标准完成各项活动，快速完成各项绩效指标。</w:t>
      </w:r>
    </w:p>
    <w:p w14:paraId="35521CF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_GB2312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sz w:val="32"/>
          <w:szCs w:val="32"/>
        </w:rPr>
        <w:t>2、预决算公开：</w:t>
      </w:r>
    </w:p>
    <w:p w14:paraId="42575E9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 w:cs="仿宋_GB2312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年本部门收入年初预算安排为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1269.46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万元，支出年初预算安排为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1269.46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万元。202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年本部门决算总收入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1276.687265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，决算总支出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1276.687265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万元。</w:t>
      </w:r>
    </w:p>
    <w:p w14:paraId="60762AE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_GB2312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sz w:val="32"/>
          <w:szCs w:val="32"/>
        </w:rPr>
        <w:t>3、资产管理：</w:t>
      </w:r>
    </w:p>
    <w:p w14:paraId="53DDBA0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年末净资产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515.66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万元。其中：固定资产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635.29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万元。</w:t>
      </w:r>
    </w:p>
    <w:p w14:paraId="4A53D08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_GB2312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sz w:val="32"/>
          <w:szCs w:val="32"/>
        </w:rPr>
        <w:t>4、三公经费控制情况：</w:t>
      </w:r>
    </w:p>
    <w:p w14:paraId="1C55C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年，我单位财政拨款“三公”经费预算因公出国（境）费20万元，公务用车购置及运维费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98.6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万元。</w:t>
      </w:r>
    </w:p>
    <w:p w14:paraId="5DD8025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_GB2312"/>
          <w:color w:val="auto"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color w:val="auto"/>
          <w:sz w:val="32"/>
          <w:szCs w:val="32"/>
        </w:rPr>
        <w:t>5、内部管理制度建设：</w:t>
      </w:r>
    </w:p>
    <w:p w14:paraId="27158BC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 w:cs="仿宋_GB2312"/>
          <w:color w:val="auto"/>
          <w:sz w:val="32"/>
          <w:szCs w:val="32"/>
        </w:rPr>
      </w:pPr>
      <w:r>
        <w:rPr>
          <w:rFonts w:hint="eastAsia" w:ascii="仿宋" w:hAnsi="仿宋" w:eastAsia="仿宋" w:cs="仿宋_GB2312"/>
          <w:color w:val="auto"/>
          <w:sz w:val="32"/>
          <w:szCs w:val="32"/>
        </w:rPr>
        <w:t>在严格执行上级精神的前提下，针对我办工作实际情况，制定完善预算绩效管理制度、资金管理办法、工作保障制度等，为全年预算绩效目标的实现奠定制度基础。</w:t>
      </w:r>
    </w:p>
    <w:p w14:paraId="2DFC10D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_GB2312"/>
          <w:color w:val="auto"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color w:val="auto"/>
          <w:sz w:val="32"/>
          <w:szCs w:val="32"/>
        </w:rPr>
        <w:t>6、项目绩效总目标完成情况：</w:t>
      </w:r>
      <w:r>
        <w:rPr>
          <w:rFonts w:hint="eastAsia" w:ascii="仿宋" w:hAnsi="仿宋" w:eastAsia="仿宋" w:cs="仿宋_GB2312"/>
          <w:color w:val="auto"/>
          <w:sz w:val="32"/>
          <w:szCs w:val="32"/>
        </w:rPr>
        <w:t xml:space="preserve"> </w:t>
      </w:r>
    </w:p>
    <w:p w14:paraId="1CD3E7E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 w:cs="仿宋_GB2312"/>
          <w:color w:val="auto"/>
          <w:sz w:val="32"/>
          <w:szCs w:val="32"/>
        </w:rPr>
      </w:pPr>
      <w:r>
        <w:rPr>
          <w:rFonts w:hint="eastAsia" w:ascii="仿宋" w:hAnsi="仿宋" w:eastAsia="仿宋" w:cs="仿宋_GB2312"/>
          <w:color w:val="auto"/>
          <w:sz w:val="32"/>
          <w:szCs w:val="32"/>
        </w:rPr>
        <w:t>我部门今年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_GB2312"/>
          <w:color w:val="auto"/>
          <w:sz w:val="32"/>
          <w:szCs w:val="32"/>
        </w:rPr>
        <w:t>个项目，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auto"/>
          <w:sz w:val="32"/>
          <w:szCs w:val="32"/>
        </w:rPr>
        <w:t>个涉密项目，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_GB2312"/>
          <w:color w:val="auto"/>
          <w:sz w:val="32"/>
          <w:szCs w:val="32"/>
        </w:rPr>
        <w:t>个非涉密项目，部门总体工作开展情况、专项资金和具体预算支出全部按预期绩效完成，对项目存在问题分析并说明原因。</w:t>
      </w:r>
    </w:p>
    <w:p w14:paraId="51F3C76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（三）部门整体支出情况分析</w:t>
      </w:r>
    </w:p>
    <w:p w14:paraId="3F1FC3C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从整体情况来看，202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年我部门整体支出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1276.687265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万元。其中：行政支出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886.56533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万元，项目支出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390.121935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万元。</w:t>
      </w:r>
    </w:p>
    <w:p w14:paraId="32FC1E3B">
      <w:pPr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06EBF523">
      <w:pPr>
        <w:spacing w:line="56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本次自查</w:t>
      </w:r>
      <w:r>
        <w:rPr>
          <w:rFonts w:hint="eastAsia" w:ascii="仿宋" w:hAnsi="仿宋" w:eastAsia="仿宋" w:cs="仿宋"/>
          <w:kern w:val="0"/>
          <w:sz w:val="32"/>
          <w:szCs w:val="32"/>
        </w:rPr>
        <w:t>采取成立本单位绩效自评工作组等形式，本着客观、公正、公开的原则开展自评工作，所有项目的绩效自评均设计了合理、明晰、可考核的、关键性产出指标和效果指标；自评结果真实可靠。</w:t>
      </w:r>
    </w:p>
    <w:p w14:paraId="1C170613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中共石家庄市藁城区委员会办公室负责区委、区委领导交办的文稿起草、修改工作；围绕区委总体部署开展调查研究；区委文件制发。负责区委、区委领导交办的文稿起草、修改工作；围绕区委总体部署开展调查研究；区委文件制发。负责全区党政系统密码通信和密码管理。组织开展全区全面深化改革重大问题的政策研究；协调督促有关方面落实领导小组决定事项、工作部署和要求；协调各专项小组、有关部门和单位就改革重要问题进行研究。</w:t>
      </w:r>
    </w:p>
    <w:p w14:paraId="6F5337E5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（一）省委应急值守综合指挥调度平台运营费</w:t>
      </w:r>
    </w:p>
    <w:p w14:paraId="5EB9AA38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绩效目标：各类突发事件得到及时妥善处置</w:t>
      </w:r>
    </w:p>
    <w:p w14:paraId="51E8F2ED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绩效指标：文件登记、分送、传阅、整理、归档办结率、值班保障全勤率</w:t>
      </w:r>
    </w:p>
    <w:p w14:paraId="36545311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（二）密码通信主渠道运维费、一般设备维护费、电子内网运维费、电子政务内网建设、保密人员培训</w:t>
      </w:r>
    </w:p>
    <w:p w14:paraId="6C2C70A6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绩效目标：保障机要密码通信安全、稳定运行、技术设为安全可用</w:t>
      </w:r>
    </w:p>
    <w:p w14:paraId="7D3CB789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绩效指标：密码通信稳定安全情况</w:t>
      </w:r>
    </w:p>
    <w:p w14:paraId="6592C547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kern w:val="0"/>
          <w:sz w:val="32"/>
          <w:szCs w:val="32"/>
        </w:rPr>
        <w:t>）地方志年鉴编纂经费</w:t>
      </w:r>
    </w:p>
    <w:p w14:paraId="3E7F729C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绩效目标：印制本地区地方志年鉴</w:t>
      </w:r>
    </w:p>
    <w:p w14:paraId="6B7D0252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绩效指标：印制本数</w:t>
      </w:r>
    </w:p>
    <w:p w14:paraId="1C049DB9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仿宋"/>
          <w:kern w:val="0"/>
          <w:sz w:val="32"/>
          <w:szCs w:val="32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市级应急值守平台运营费</w:t>
      </w:r>
    </w:p>
    <w:p w14:paraId="6CC78584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绩效目标：各类突发事件得到及时妥善处置</w:t>
      </w:r>
    </w:p>
    <w:p w14:paraId="299FBECA">
      <w:pPr>
        <w:spacing w:line="5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绩效指标：文件登记、分送、传阅、整理、归档办结率、值班保障全勤率</w:t>
      </w:r>
    </w:p>
    <w:p w14:paraId="4711884F">
      <w:pPr>
        <w:numPr>
          <w:ilvl w:val="0"/>
          <w:numId w:val="1"/>
        </w:num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国家安全工作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、宣传</w:t>
      </w:r>
      <w:r>
        <w:rPr>
          <w:rFonts w:hint="eastAsia" w:ascii="仿宋" w:hAnsi="仿宋" w:eastAsia="仿宋" w:cs="仿宋"/>
          <w:sz w:val="32"/>
          <w:szCs w:val="32"/>
        </w:rPr>
        <w:t>经费</w:t>
      </w:r>
    </w:p>
    <w:p w14:paraId="207E53A1">
      <w:pPr>
        <w:numPr>
          <w:ilvl w:val="0"/>
          <w:numId w:val="0"/>
        </w:num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完成全区国家安全工作</w:t>
      </w:r>
    </w:p>
    <w:p w14:paraId="24807F78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群众对国家安全工作的满意度</w:t>
      </w:r>
    </w:p>
    <w:p w14:paraId="26AC00FE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 w14:paraId="5A4AD0D0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设定是预算绩效管理的第一个环节。编制准确合理的绩效目标，有利于预算执行中绩效监控的实施，也能够使预算执行结束后的绩效评价有所遵循。绩效目标设定比较清晰准确，绩效指标比较全面完整、科学合理，绩效标准比较恰当适宜、易于评价。但是由于缺乏行业标准，加之未参加过专业培训，对绩效目标设定有一定的局限性，后期我们将通过不断学习，逐步完善绩效目标各项产出目标、效益指标及满意度指标等。</w:t>
      </w:r>
    </w:p>
    <w:p w14:paraId="6722AC93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38E0C880">
      <w:pPr>
        <w:snapToGrid w:val="0"/>
        <w:spacing w:line="560" w:lineRule="exact"/>
        <w:ind w:firstLine="640" w:firstLineChars="20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全年项目进行绩效评价，</w:t>
      </w:r>
      <w:r>
        <w:rPr>
          <w:rFonts w:hint="eastAsia" w:ascii="仿宋" w:hAnsi="仿宋" w:eastAsia="仿宋" w:cs="仿宋"/>
          <w:sz w:val="32"/>
          <w:szCs w:val="32"/>
        </w:rPr>
        <w:t>“纠风”活动经费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2022年出版藁城年鉴（补编）及区情口袋书经费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2022年出版藁城年鉴差额资金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OA办公系统经费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补缴李波同志养老（单位部分）保险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档案管理经费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地方志年鉴编纂经费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国家安全工作经费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国家安全宣传经费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三重四创五优化办公经费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深化改革管理系统维护费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省委应急值守综合指挥调度平台运营费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市级应急值守平台运营费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新型决策咨询智库运营经费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、应急保障公务用车等15各项目产出和效益指标良好，绩效自评为优秀。</w:t>
      </w:r>
    </w:p>
    <w:p w14:paraId="5AE0D823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、整改措施及结果应用</w:t>
      </w:r>
    </w:p>
    <w:p w14:paraId="26FC7019">
      <w:pPr>
        <w:spacing w:line="56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针对存在问题及我单位整体支出管理工作的需要，拟实施改进措施如下：</w:t>
      </w:r>
    </w:p>
    <w:p w14:paraId="337165C3">
      <w:pPr>
        <w:spacing w:line="56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加强部门之间的沟通，提高绩效意识。加强财务部门和业务科室之间的沟通，明确整体绩效管理不仅仅是财务部门的工作，所有专业均有涉及，财务部门仅仅是资金预算与安排，资金支出的实际绩效成果是由使用资金的部门来完成的；做好宣传工作，切实提高全员绩效意识。</w:t>
      </w:r>
    </w:p>
    <w:p w14:paraId="75396BA9">
      <w:pPr>
        <w:spacing w:line="56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（二）健全内控建设。一是按财政要求完善内部控制规范建设；二是继续按要求做好整体支出绩效评价和预决算公开工作；三是进一步巩固国有资产清查工作的成果，规范固定资产购置和处置程序。</w:t>
      </w:r>
    </w:p>
    <w:p w14:paraId="3AE25EBD">
      <w:pPr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（三）提高预算执行力。一是进一步规范经费支出，并严格按预算科目和金额执行，切实提高预算执行力；二是及时调度预算执行情况，提高预算执行的前瞻性和预见性。</w:t>
      </w:r>
    </w:p>
    <w:p w14:paraId="7FF5E504">
      <w:pPr>
        <w:spacing w:line="560" w:lineRule="exact"/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4"/>
        <w:tblpPr w:leftFromText="180" w:rightFromText="180" w:vertAnchor="text" w:horzAnchor="margin" w:tblpXSpec="center" w:tblpY="51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1922"/>
        <w:gridCol w:w="1991"/>
        <w:gridCol w:w="2268"/>
      </w:tblGrid>
      <w:tr w14:paraId="530A0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873" w:type="dxa"/>
            <w:noWrap/>
          </w:tcPr>
          <w:p w14:paraId="6541DE4C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序号</w:t>
            </w:r>
          </w:p>
        </w:tc>
        <w:tc>
          <w:tcPr>
            <w:tcW w:w="1922" w:type="dxa"/>
            <w:noWrap/>
          </w:tcPr>
          <w:p w14:paraId="4904DB51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姓名</w:t>
            </w:r>
          </w:p>
        </w:tc>
        <w:tc>
          <w:tcPr>
            <w:tcW w:w="1991" w:type="dxa"/>
            <w:noWrap/>
          </w:tcPr>
          <w:p w14:paraId="468FA5C6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单位</w:t>
            </w:r>
          </w:p>
        </w:tc>
        <w:tc>
          <w:tcPr>
            <w:tcW w:w="2268" w:type="dxa"/>
            <w:noWrap/>
          </w:tcPr>
          <w:p w14:paraId="52312F6A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职务</w:t>
            </w:r>
          </w:p>
        </w:tc>
      </w:tr>
      <w:tr w14:paraId="786EF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873" w:type="dxa"/>
            <w:noWrap/>
          </w:tcPr>
          <w:p w14:paraId="67031ABC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1</w:t>
            </w:r>
          </w:p>
        </w:tc>
        <w:tc>
          <w:tcPr>
            <w:tcW w:w="1922" w:type="dxa"/>
            <w:noWrap/>
          </w:tcPr>
          <w:p w14:paraId="7E1ED74D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曹之波</w:t>
            </w:r>
          </w:p>
        </w:tc>
        <w:tc>
          <w:tcPr>
            <w:tcW w:w="1991" w:type="dxa"/>
            <w:noWrap/>
          </w:tcPr>
          <w:p w14:paraId="38AC17BD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区</w:t>
            </w: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委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办</w:t>
            </w:r>
          </w:p>
        </w:tc>
        <w:tc>
          <w:tcPr>
            <w:tcW w:w="2268" w:type="dxa"/>
            <w:noWrap/>
          </w:tcPr>
          <w:p w14:paraId="02B96BA4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常务副主任</w:t>
            </w:r>
          </w:p>
        </w:tc>
      </w:tr>
      <w:tr w14:paraId="47193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873" w:type="dxa"/>
            <w:noWrap/>
          </w:tcPr>
          <w:p w14:paraId="6226BCA1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2</w:t>
            </w:r>
          </w:p>
        </w:tc>
        <w:tc>
          <w:tcPr>
            <w:tcW w:w="1922" w:type="dxa"/>
            <w:noWrap/>
          </w:tcPr>
          <w:p w14:paraId="02C1934D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王哲</w:t>
            </w:r>
          </w:p>
        </w:tc>
        <w:tc>
          <w:tcPr>
            <w:tcW w:w="1991" w:type="dxa"/>
            <w:noWrap/>
          </w:tcPr>
          <w:p w14:paraId="74563257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区</w:t>
            </w: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委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办</w:t>
            </w:r>
          </w:p>
        </w:tc>
        <w:tc>
          <w:tcPr>
            <w:tcW w:w="2268" w:type="dxa"/>
            <w:noWrap/>
          </w:tcPr>
          <w:p w14:paraId="0C21B907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副主任</w:t>
            </w:r>
          </w:p>
        </w:tc>
      </w:tr>
      <w:tr w14:paraId="465BD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873" w:type="dxa"/>
            <w:noWrap/>
          </w:tcPr>
          <w:p w14:paraId="3B0FC608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3</w:t>
            </w:r>
          </w:p>
        </w:tc>
        <w:tc>
          <w:tcPr>
            <w:tcW w:w="1922" w:type="dxa"/>
            <w:noWrap/>
          </w:tcPr>
          <w:p w14:paraId="580472EA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魏建生</w:t>
            </w:r>
          </w:p>
        </w:tc>
        <w:tc>
          <w:tcPr>
            <w:tcW w:w="1991" w:type="dxa"/>
            <w:noWrap/>
          </w:tcPr>
          <w:p w14:paraId="672EAC72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区</w:t>
            </w: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委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办</w:t>
            </w:r>
          </w:p>
        </w:tc>
        <w:tc>
          <w:tcPr>
            <w:tcW w:w="2268" w:type="dxa"/>
            <w:noWrap/>
          </w:tcPr>
          <w:p w14:paraId="338637AF">
            <w:pPr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政工股股长</w:t>
            </w:r>
          </w:p>
        </w:tc>
      </w:tr>
    </w:tbl>
    <w:p w14:paraId="1591EDB9">
      <w:pPr>
        <w:spacing w:line="560" w:lineRule="exact"/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05CA03"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B760D0B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- 3 -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5EB17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EFC91CE"/>
    <w:multiLevelType w:val="singleLevel"/>
    <w:tmpl w:val="AEFC91CE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44DE3"/>
    <w:rsid w:val="001627CF"/>
    <w:rsid w:val="001646B1"/>
    <w:rsid w:val="00176210"/>
    <w:rsid w:val="00176ED9"/>
    <w:rsid w:val="001D2D4C"/>
    <w:rsid w:val="0022278A"/>
    <w:rsid w:val="00240C95"/>
    <w:rsid w:val="002D6185"/>
    <w:rsid w:val="00353FE8"/>
    <w:rsid w:val="00383AC5"/>
    <w:rsid w:val="003B412A"/>
    <w:rsid w:val="0041072A"/>
    <w:rsid w:val="00432709"/>
    <w:rsid w:val="0043554E"/>
    <w:rsid w:val="004919BA"/>
    <w:rsid w:val="00491FCD"/>
    <w:rsid w:val="004E2F98"/>
    <w:rsid w:val="004E6C05"/>
    <w:rsid w:val="004F6F9F"/>
    <w:rsid w:val="00546BCB"/>
    <w:rsid w:val="005B610E"/>
    <w:rsid w:val="005C236C"/>
    <w:rsid w:val="005E6EC9"/>
    <w:rsid w:val="00643BA3"/>
    <w:rsid w:val="00656B2A"/>
    <w:rsid w:val="00665896"/>
    <w:rsid w:val="006E4E67"/>
    <w:rsid w:val="00701825"/>
    <w:rsid w:val="0071336C"/>
    <w:rsid w:val="0071475B"/>
    <w:rsid w:val="00757F8E"/>
    <w:rsid w:val="0077251A"/>
    <w:rsid w:val="00793214"/>
    <w:rsid w:val="007D43DA"/>
    <w:rsid w:val="007E50DB"/>
    <w:rsid w:val="007E661D"/>
    <w:rsid w:val="007F5EE6"/>
    <w:rsid w:val="007F7CC2"/>
    <w:rsid w:val="00802DAC"/>
    <w:rsid w:val="0081530B"/>
    <w:rsid w:val="008C31C3"/>
    <w:rsid w:val="008E0E58"/>
    <w:rsid w:val="0093596A"/>
    <w:rsid w:val="00941865"/>
    <w:rsid w:val="00966800"/>
    <w:rsid w:val="00986803"/>
    <w:rsid w:val="0099577A"/>
    <w:rsid w:val="009F1522"/>
    <w:rsid w:val="00A06D88"/>
    <w:rsid w:val="00AB5CFA"/>
    <w:rsid w:val="00AB70A8"/>
    <w:rsid w:val="00AE71AF"/>
    <w:rsid w:val="00AF5C06"/>
    <w:rsid w:val="00B23FDD"/>
    <w:rsid w:val="00B723C7"/>
    <w:rsid w:val="00B8177D"/>
    <w:rsid w:val="00B86365"/>
    <w:rsid w:val="00BE032C"/>
    <w:rsid w:val="00C242EC"/>
    <w:rsid w:val="00C64606"/>
    <w:rsid w:val="00C65387"/>
    <w:rsid w:val="00CE156F"/>
    <w:rsid w:val="00DE50A2"/>
    <w:rsid w:val="00DF6FF4"/>
    <w:rsid w:val="00E03726"/>
    <w:rsid w:val="00E17D5D"/>
    <w:rsid w:val="00E61BFC"/>
    <w:rsid w:val="00E841B7"/>
    <w:rsid w:val="00ED5E84"/>
    <w:rsid w:val="00EE5380"/>
    <w:rsid w:val="00EF16A3"/>
    <w:rsid w:val="00F57E52"/>
    <w:rsid w:val="00F83F71"/>
    <w:rsid w:val="00FB4297"/>
    <w:rsid w:val="055B525F"/>
    <w:rsid w:val="0DBB1A6D"/>
    <w:rsid w:val="13B61930"/>
    <w:rsid w:val="1C330E10"/>
    <w:rsid w:val="20276775"/>
    <w:rsid w:val="3AEF6FE7"/>
    <w:rsid w:val="493B718D"/>
    <w:rsid w:val="4F7DEDDE"/>
    <w:rsid w:val="53A42ADD"/>
    <w:rsid w:val="56FE8057"/>
    <w:rsid w:val="5FFFAE26"/>
    <w:rsid w:val="65FF60EC"/>
    <w:rsid w:val="661D3074"/>
    <w:rsid w:val="69DFC450"/>
    <w:rsid w:val="6F6BB7CC"/>
    <w:rsid w:val="7335A690"/>
    <w:rsid w:val="74DF16E6"/>
    <w:rsid w:val="77FF92D0"/>
    <w:rsid w:val="7BEEE3F2"/>
    <w:rsid w:val="7DBF0783"/>
    <w:rsid w:val="7FE716BD"/>
    <w:rsid w:val="AB75DFDA"/>
    <w:rsid w:val="CDE251A4"/>
    <w:rsid w:val="CDFF8C05"/>
    <w:rsid w:val="D3FFD75C"/>
    <w:rsid w:val="D493992C"/>
    <w:rsid w:val="DEE51041"/>
    <w:rsid w:val="E3550D1A"/>
    <w:rsid w:val="E6E7A39D"/>
    <w:rsid w:val="E773F0C1"/>
    <w:rsid w:val="E7FDC9DC"/>
    <w:rsid w:val="EBF34C6D"/>
    <w:rsid w:val="F3D44634"/>
    <w:rsid w:val="F777F89C"/>
    <w:rsid w:val="FBB71A77"/>
    <w:rsid w:val="FBFAF10A"/>
    <w:rsid w:val="FDCF8FA8"/>
    <w:rsid w:val="FF1F5B37"/>
    <w:rsid w:val="FFB75923"/>
    <w:rsid w:val="FFEE0E3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2436</Words>
  <Characters>2655</Characters>
  <Lines>10</Lines>
  <Paragraphs>3</Paragraphs>
  <TotalTime>0</TotalTime>
  <ScaleCrop>false</ScaleCrop>
  <LinksUpToDate>false</LinksUpToDate>
  <CharactersWithSpaces>2656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2019-11-15T08:58:00Z</dcterms:created>
  <dc:creator>user</dc:creator>
  <cp:lastModifiedBy> </cp:lastModifiedBy>
  <cp:lastPrinted>2021-02-25T13:43:00Z</cp:lastPrinted>
  <dcterms:modified xsi:type="dcterms:W3CDTF">2024-09-19T11:03:20Z</dcterms:modified>
  <dc:title>附件2： </dc:title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2AE4BD5004AB458E9AB59096B16A39E0_12</vt:lpwstr>
  </property>
</Properties>
</file>