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0CD3DC">
      <w:pPr>
        <w:snapToGrid w:val="0"/>
        <w:spacing w:line="560" w:lineRule="exact"/>
        <w:rPr>
          <w:rFonts w:ascii="仿宋" w:hAnsi="仿宋" w:eastAsia="仿宋" w:cs="仿宋"/>
          <w:kern w:val="0"/>
          <w:sz w:val="32"/>
          <w:szCs w:val="32"/>
        </w:rPr>
      </w:pPr>
      <w:r>
        <w:rPr>
          <w:rFonts w:hint="eastAsia" w:ascii="仿宋" w:hAnsi="仿宋" w:eastAsia="仿宋" w:cs="仿宋"/>
          <w:sz w:val="32"/>
          <w:szCs w:val="32"/>
        </w:rPr>
        <w:t>附件4</w:t>
      </w:r>
    </w:p>
    <w:p w14:paraId="6F2854CB">
      <w:pPr>
        <w:snapToGrid w:val="0"/>
        <w:spacing w:line="560" w:lineRule="exact"/>
        <w:jc w:val="center"/>
        <w:rPr>
          <w:rFonts w:ascii="宋体" w:hAnsi="宋体" w:cs="宋体"/>
          <w:b/>
          <w:bCs/>
          <w:sz w:val="44"/>
          <w:szCs w:val="44"/>
        </w:rPr>
      </w:pPr>
      <w:r>
        <w:rPr>
          <w:rFonts w:hint="eastAsia" w:ascii="宋体" w:hAnsi="宋体" w:cs="宋体"/>
          <w:b/>
          <w:bCs/>
          <w:kern w:val="0"/>
          <w:sz w:val="44"/>
          <w:szCs w:val="44"/>
        </w:rPr>
        <w:t>纪委2</w:t>
      </w:r>
      <w:r>
        <w:rPr>
          <w:rFonts w:ascii="宋体" w:hAnsi="宋体" w:cs="宋体"/>
          <w:b/>
          <w:bCs/>
          <w:kern w:val="0"/>
          <w:sz w:val="44"/>
          <w:szCs w:val="44"/>
        </w:rPr>
        <w:t>022</w:t>
      </w:r>
      <w:r>
        <w:rPr>
          <w:rFonts w:hint="eastAsia" w:ascii="宋体" w:hAnsi="宋体" w:cs="宋体"/>
          <w:b/>
          <w:bCs/>
          <w:kern w:val="0"/>
          <w:sz w:val="44"/>
          <w:szCs w:val="44"/>
        </w:rPr>
        <w:t>年度整体支出</w:t>
      </w:r>
      <w:r>
        <w:rPr>
          <w:rFonts w:hint="eastAsia" w:ascii="宋体" w:hAnsi="宋体" w:cs="宋体"/>
          <w:b/>
          <w:bCs/>
          <w:sz w:val="44"/>
          <w:szCs w:val="44"/>
        </w:rPr>
        <w:t>绩效自评工作报告</w:t>
      </w:r>
    </w:p>
    <w:p w14:paraId="2239C99D">
      <w:pPr>
        <w:snapToGrid w:val="0"/>
        <w:spacing w:line="560" w:lineRule="exact"/>
        <w:ind w:firstLine="643" w:firstLineChars="200"/>
        <w:rPr>
          <w:rFonts w:ascii="仿宋" w:hAnsi="仿宋" w:eastAsia="仿宋" w:cs="仿宋"/>
          <w:b/>
          <w:sz w:val="32"/>
          <w:szCs w:val="32"/>
        </w:rPr>
      </w:pPr>
    </w:p>
    <w:p w14:paraId="1DF84DE6">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一、部门基本情况</w:t>
      </w:r>
    </w:p>
    <w:p w14:paraId="59D13D6E">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中国共产党石家庄市藁城区纪律检查委员会单位性质为行政单位，经费形式为财政拨款，主要负责</w:t>
      </w:r>
      <w:bookmarkStart w:id="0" w:name="_GoBack"/>
      <w:bookmarkEnd w:id="0"/>
      <w:r>
        <w:rPr>
          <w:rFonts w:hint="eastAsia" w:ascii="仿宋" w:hAnsi="仿宋" w:eastAsia="仿宋" w:cs="仿宋"/>
          <w:sz w:val="32"/>
          <w:szCs w:val="32"/>
        </w:rPr>
        <w:t>全区党的纪律检查工作。贯彻落实党中央和省、市、区委关于纪律检查工作的决策部署，维护党的章程和其他党内法规，检查党的路线方针政策和决议的执行情况，协助区委推进全面从严治党、加强党风建设和组织协调反腐败工作等工作。</w:t>
      </w:r>
    </w:p>
    <w:p w14:paraId="4B2E8CBC">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二、绩效自评工作开展情况</w:t>
      </w:r>
    </w:p>
    <w:p w14:paraId="6AA12679">
      <w:pPr>
        <w:snapToGrid w:val="0"/>
        <w:spacing w:line="560" w:lineRule="exact"/>
        <w:ind w:firstLine="643" w:firstLineChars="200"/>
        <w:rPr>
          <w:rFonts w:ascii="仿宋" w:hAnsi="仿宋" w:eastAsia="仿宋" w:cs="仿宋"/>
          <w:sz w:val="32"/>
          <w:szCs w:val="32"/>
        </w:rPr>
      </w:pPr>
      <w:r>
        <w:rPr>
          <w:rFonts w:hint="eastAsia" w:ascii="仿宋" w:hAnsi="仿宋" w:eastAsia="仿宋" w:cs="仿宋"/>
          <w:b/>
          <w:bCs/>
          <w:sz w:val="32"/>
          <w:szCs w:val="32"/>
        </w:rPr>
        <w:t>自评的组织工作:</w:t>
      </w:r>
      <w:r>
        <w:rPr>
          <w:rFonts w:hint="eastAsia" w:ascii="仿宋" w:hAnsi="仿宋" w:eastAsia="仿宋" w:cs="仿宋"/>
          <w:sz w:val="32"/>
          <w:szCs w:val="32"/>
        </w:rPr>
        <w:t>绩效评价工作由一把手牵头抓总负责推进并有副书记、办公室主任、1名财务工作人员组成测评工作小组。</w:t>
      </w:r>
    </w:p>
    <w:p w14:paraId="449166AD">
      <w:pPr>
        <w:snapToGrid w:val="0"/>
        <w:spacing w:line="560" w:lineRule="exact"/>
        <w:ind w:firstLine="643" w:firstLineChars="200"/>
        <w:rPr>
          <w:rFonts w:ascii="仿宋" w:hAnsi="仿宋" w:eastAsia="仿宋" w:cs="仿宋"/>
          <w:sz w:val="32"/>
          <w:szCs w:val="32"/>
        </w:rPr>
      </w:pPr>
      <w:r>
        <w:rPr>
          <w:rFonts w:hint="eastAsia" w:ascii="仿宋" w:hAnsi="仿宋" w:eastAsia="仿宋" w:cs="仿宋"/>
          <w:b/>
          <w:bCs/>
          <w:sz w:val="32"/>
          <w:szCs w:val="32"/>
        </w:rPr>
        <w:t>建立绩效评价指标体系：</w:t>
      </w:r>
      <w:r>
        <w:rPr>
          <w:rFonts w:hint="eastAsia" w:ascii="仿宋" w:hAnsi="仿宋" w:eastAsia="仿宋" w:cs="仿宋"/>
          <w:sz w:val="32"/>
          <w:szCs w:val="32"/>
        </w:rPr>
        <w:t>在开展预算自评工作时，针对具体绩效评价对象的特点，设计能够体现项目特点绩效评价指标体系。绩效指标权重由各部门根据评价对象实际情况确定，总分设定为100分。原则上一级指标权重统一设置为：产出指标40分（包含数量、质量、时效、成本）、预算执行率指标10分、效益指标40分（包含经济效益、社会效益、生态效益、可持续影响）、满意度指标10分。如某一类指标未设定，其分值可合理调整至其他指标。若被评价项目不门整体支出绩效目标实现情况及指标分析涉及服务对象满意度内容或因服务对象满意度获取难度较大、成本较高而未能获取，则服务对象满意度的10分调入效益考核事项。</w:t>
      </w:r>
    </w:p>
    <w:p w14:paraId="3188EB54">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二、三级指标所占权重应当根据指标重要程度、项目实施阶段等因素综合确定，准确反映预算项目的产出和效果。同类评价对象的指标权重设置应当基本一致，便于评价结果相互比较。</w:t>
      </w:r>
    </w:p>
    <w:p w14:paraId="53D9F817">
      <w:pPr>
        <w:snapToGrid w:val="0"/>
        <w:spacing w:line="560" w:lineRule="exact"/>
        <w:ind w:firstLine="643" w:firstLineChars="200"/>
        <w:rPr>
          <w:rFonts w:ascii="仿宋" w:hAnsi="仿宋" w:eastAsia="仿宋" w:cs="仿宋"/>
          <w:sz w:val="32"/>
          <w:szCs w:val="32"/>
        </w:rPr>
      </w:pPr>
      <w:r>
        <w:rPr>
          <w:rFonts w:hint="eastAsia" w:ascii="仿宋" w:hAnsi="仿宋" w:eastAsia="仿宋" w:cs="仿宋"/>
          <w:b/>
          <w:bCs/>
          <w:sz w:val="32"/>
          <w:szCs w:val="32"/>
        </w:rPr>
        <w:t>自评的方法和过程:</w:t>
      </w:r>
      <w:r>
        <w:rPr>
          <w:rFonts w:hint="eastAsia" w:ascii="仿宋" w:hAnsi="仿宋" w:eastAsia="仿宋" w:cs="仿宋"/>
          <w:sz w:val="32"/>
          <w:szCs w:val="32"/>
        </w:rPr>
        <w:t>绩效评价工作由一把手统一布置安排，共分三个阶段进行。第一阶段，筹备资料阶段;第二阶段，集中测评阶段，绩效测评小组成员按照绩效评价指标体系以及提供材料进行测评打分;第三阶段，汇总生成报告阶段，根据对测评结果进行汇总审核并撰写自评报告。</w:t>
      </w:r>
    </w:p>
    <w:p w14:paraId="2491AEE0">
      <w:pPr>
        <w:snapToGrid w:val="0"/>
        <w:spacing w:line="560" w:lineRule="exact"/>
        <w:ind w:firstLine="643" w:firstLineChars="200"/>
        <w:rPr>
          <w:rFonts w:ascii="仿宋" w:hAnsi="仿宋" w:eastAsia="仿宋" w:cs="仿宋"/>
          <w:sz w:val="32"/>
          <w:szCs w:val="32"/>
        </w:rPr>
      </w:pPr>
      <w:r>
        <w:rPr>
          <w:rFonts w:hint="eastAsia" w:ascii="仿宋" w:hAnsi="仿宋" w:eastAsia="仿宋" w:cs="仿宋"/>
          <w:b/>
          <w:bCs/>
          <w:sz w:val="32"/>
          <w:szCs w:val="32"/>
        </w:rPr>
        <w:t>部门预算安排及资金分配拨付:</w:t>
      </w:r>
      <w:r>
        <w:rPr>
          <w:rFonts w:hint="eastAsia" w:ascii="仿宋" w:hAnsi="仿宋" w:eastAsia="仿宋" w:cs="仿宋"/>
          <w:sz w:val="32"/>
          <w:szCs w:val="32"/>
        </w:rPr>
        <w:t>我委202</w:t>
      </w:r>
      <w:r>
        <w:rPr>
          <w:rFonts w:ascii="仿宋" w:hAnsi="仿宋" w:eastAsia="仿宋" w:cs="仿宋"/>
          <w:sz w:val="32"/>
          <w:szCs w:val="32"/>
        </w:rPr>
        <w:t>2</w:t>
      </w:r>
      <w:r>
        <w:rPr>
          <w:rFonts w:hint="eastAsia" w:ascii="仿宋" w:hAnsi="仿宋" w:eastAsia="仿宋" w:cs="仿宋"/>
          <w:sz w:val="32"/>
          <w:szCs w:val="32"/>
        </w:rPr>
        <w:t xml:space="preserve"> 年共有纪委监委办公场所租赁费、办案专项经费、大要案专项工作经费等 </w:t>
      </w:r>
      <w:r>
        <w:rPr>
          <w:rFonts w:ascii="仿宋" w:hAnsi="仿宋" w:eastAsia="仿宋" w:cs="仿宋"/>
          <w:sz w:val="32"/>
          <w:szCs w:val="32"/>
        </w:rPr>
        <w:t>10</w:t>
      </w:r>
      <w:r>
        <w:rPr>
          <w:rFonts w:hint="eastAsia" w:ascii="仿宋" w:hAnsi="仿宋" w:eastAsia="仿宋" w:cs="仿宋"/>
          <w:sz w:val="32"/>
          <w:szCs w:val="32"/>
        </w:rPr>
        <w:t xml:space="preserve"> 个项预算资金共计</w:t>
      </w:r>
      <w:r>
        <w:rPr>
          <w:rFonts w:ascii="仿宋" w:hAnsi="仿宋" w:eastAsia="仿宋" w:cs="仿宋"/>
          <w:sz w:val="32"/>
          <w:szCs w:val="32"/>
        </w:rPr>
        <w:t>455.49</w:t>
      </w:r>
      <w:r>
        <w:rPr>
          <w:rFonts w:hint="eastAsia" w:ascii="仿宋" w:hAnsi="仿宋" w:eastAsia="仿宋" w:cs="仿宋"/>
          <w:sz w:val="32"/>
          <w:szCs w:val="32"/>
        </w:rPr>
        <w:t xml:space="preserve">万元，，实际到位资金 </w:t>
      </w:r>
      <w:r>
        <w:rPr>
          <w:rFonts w:ascii="仿宋" w:hAnsi="仿宋" w:eastAsia="仿宋" w:cs="仿宋"/>
          <w:sz w:val="32"/>
          <w:szCs w:val="32"/>
        </w:rPr>
        <w:t>455.49</w:t>
      </w:r>
      <w:r>
        <w:rPr>
          <w:rFonts w:hint="eastAsia" w:ascii="仿宋" w:hAnsi="仿宋" w:eastAsia="仿宋" w:cs="仿宋"/>
          <w:sz w:val="32"/>
          <w:szCs w:val="32"/>
        </w:rPr>
        <w:t xml:space="preserve"> 万元，资金到位率100%:应到位资金</w:t>
      </w:r>
      <w:r>
        <w:rPr>
          <w:rFonts w:ascii="仿宋" w:hAnsi="仿宋" w:eastAsia="仿宋" w:cs="仿宋"/>
          <w:sz w:val="32"/>
          <w:szCs w:val="32"/>
        </w:rPr>
        <w:t>455.49</w:t>
      </w:r>
      <w:r>
        <w:rPr>
          <w:rFonts w:hint="eastAsia" w:ascii="仿宋" w:hAnsi="仿宋" w:eastAsia="仿宋" w:cs="仿宋"/>
          <w:sz w:val="32"/>
          <w:szCs w:val="32"/>
        </w:rPr>
        <w:t xml:space="preserve"> 万元，及时到位资金</w:t>
      </w:r>
      <w:r>
        <w:rPr>
          <w:rFonts w:ascii="仿宋" w:hAnsi="仿宋" w:eastAsia="仿宋" w:cs="仿宋"/>
          <w:sz w:val="32"/>
          <w:szCs w:val="32"/>
        </w:rPr>
        <w:t>455.49</w:t>
      </w:r>
      <w:r>
        <w:rPr>
          <w:rFonts w:hint="eastAsia" w:ascii="仿宋" w:hAnsi="仿宋" w:eastAsia="仿宋" w:cs="仿宋"/>
          <w:sz w:val="32"/>
          <w:szCs w:val="32"/>
        </w:rPr>
        <w:t xml:space="preserve"> 万元，到位及时率100%。</w:t>
      </w:r>
    </w:p>
    <w:p w14:paraId="49EF34BB">
      <w:pPr>
        <w:snapToGrid w:val="0"/>
        <w:spacing w:line="560" w:lineRule="exact"/>
        <w:ind w:firstLine="643" w:firstLineChars="200"/>
        <w:rPr>
          <w:rFonts w:ascii="仿宋" w:hAnsi="仿宋" w:eastAsia="仿宋" w:cs="仿宋"/>
          <w:sz w:val="32"/>
          <w:szCs w:val="32"/>
        </w:rPr>
      </w:pPr>
      <w:r>
        <w:rPr>
          <w:rFonts w:hint="eastAsia" w:ascii="仿宋" w:hAnsi="仿宋" w:eastAsia="仿宋" w:cs="仿宋"/>
          <w:b/>
          <w:bCs/>
          <w:sz w:val="32"/>
          <w:szCs w:val="32"/>
        </w:rPr>
        <w:t>日常财务管理:</w:t>
      </w:r>
      <w:r>
        <w:rPr>
          <w:rFonts w:hint="eastAsia" w:ascii="仿宋" w:hAnsi="仿宋" w:eastAsia="仿宋" w:cs="仿宋"/>
          <w:sz w:val="32"/>
          <w:szCs w:val="32"/>
        </w:rPr>
        <w:t>我委有完善的制度建设以及优化支出管理按要求开展绩效运行监控，做好绩效自评工作，规范资金管理，强化内部监督。</w:t>
      </w:r>
    </w:p>
    <w:p w14:paraId="6C0F647E">
      <w:pPr>
        <w:numPr>
          <w:ilvl w:val="0"/>
          <w:numId w:val="1"/>
        </w:numPr>
        <w:snapToGrid w:val="0"/>
        <w:spacing w:line="560" w:lineRule="exact"/>
        <w:ind w:firstLine="640"/>
        <w:rPr>
          <w:rFonts w:ascii="黑体" w:hAnsi="黑体" w:eastAsia="黑体" w:cs="黑体"/>
          <w:sz w:val="32"/>
          <w:szCs w:val="32"/>
        </w:rPr>
      </w:pPr>
      <w:r>
        <w:rPr>
          <w:rFonts w:hint="eastAsia" w:ascii="黑体" w:hAnsi="黑体" w:eastAsia="黑体" w:cs="黑体"/>
          <w:sz w:val="32"/>
          <w:szCs w:val="32"/>
        </w:rPr>
        <w:t>部门整体支出绩效目标实现情况及指标分析</w:t>
      </w:r>
    </w:p>
    <w:p w14:paraId="258F2352">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根据项目执行情况和项目绩效情况，1</w:t>
      </w:r>
      <w:r>
        <w:rPr>
          <w:rFonts w:ascii="仿宋" w:hAnsi="仿宋" w:eastAsia="仿宋" w:cs="仿宋"/>
          <w:sz w:val="32"/>
          <w:szCs w:val="32"/>
        </w:rPr>
        <w:t>0</w:t>
      </w:r>
      <w:r>
        <w:rPr>
          <w:rFonts w:hint="eastAsia" w:ascii="仿宋" w:hAnsi="仿宋" w:eastAsia="仿宋" w:cs="仿宋"/>
          <w:sz w:val="32"/>
          <w:szCs w:val="32"/>
        </w:rPr>
        <w:t xml:space="preserve"> 个项目均完成了年度绩效项目，综合评分为100 分。项目综合绩效评价为优秀。</w:t>
      </w:r>
    </w:p>
    <w:p w14:paraId="7F4AC9D7">
      <w:pPr>
        <w:numPr>
          <w:ilvl w:val="0"/>
          <w:numId w:val="1"/>
        </w:numPr>
        <w:snapToGrid w:val="0"/>
        <w:spacing w:line="560" w:lineRule="exact"/>
        <w:ind w:firstLine="640"/>
        <w:rPr>
          <w:rFonts w:ascii="黑体" w:hAnsi="黑体" w:eastAsia="黑体" w:cs="黑体"/>
          <w:sz w:val="32"/>
          <w:szCs w:val="32"/>
        </w:rPr>
      </w:pPr>
      <w:r>
        <w:rPr>
          <w:rFonts w:hint="eastAsia" w:ascii="黑体" w:hAnsi="黑体" w:eastAsia="黑体" w:cs="黑体"/>
          <w:sz w:val="32"/>
          <w:szCs w:val="32"/>
        </w:rPr>
        <w:t>评价结论和评价等级</w:t>
      </w:r>
    </w:p>
    <w:p w14:paraId="08FAA162">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根据项目执行情况和项目绩效情况，运用绩效目标表的评价指标体系和评分标准，项目综合整体评分为100分，综合绩效评价等级为优秀。</w:t>
      </w:r>
    </w:p>
    <w:p w14:paraId="50856AED">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五、整改措施及结果应用</w:t>
      </w:r>
    </w:p>
    <w:p w14:paraId="0EB0ADAA">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建议评价结果整改应用机制，督促被评价项目落实整改，不定期抽查整改情况，将整改落实情况与年终考核挂钩；改进绩效自评工作管理，优化绩效自评工作流程，鼓励自查自纠，充分发挥主管能动性，提高财政资金使用效益；进一步完善绩效目标设置质量，进一步细化反映总体绩效目标实现程度的关键性指标，最终行成科学的评价指标体系。</w:t>
      </w:r>
    </w:p>
    <w:p w14:paraId="4409174F">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六、评价工作组人员名单及签字</w:t>
      </w:r>
    </w:p>
    <w:p w14:paraId="614C485E">
      <w:pPr>
        <w:snapToGrid w:val="0"/>
        <w:spacing w:line="560" w:lineRule="exact"/>
        <w:ind w:firstLine="640" w:firstLineChars="200"/>
        <w:rPr>
          <w:rFonts w:ascii="黑体" w:hAnsi="黑体" w:eastAsia="黑体" w:cs="黑体"/>
          <w:sz w:val="32"/>
          <w:szCs w:val="32"/>
        </w:rPr>
      </w:pP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36"/>
        <w:gridCol w:w="2237"/>
        <w:gridCol w:w="1701"/>
        <w:gridCol w:w="2857"/>
      </w:tblGrid>
      <w:tr w14:paraId="5AB74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636" w:type="dxa"/>
            <w:vAlign w:val="center"/>
          </w:tcPr>
          <w:p w14:paraId="5B8D8DCB">
            <w:pPr>
              <w:snapToGrid w:val="0"/>
              <w:spacing w:line="560" w:lineRule="exact"/>
              <w:rPr>
                <w:rFonts w:ascii="仿宋" w:hAnsi="仿宋" w:eastAsia="仿宋" w:cs="仿宋"/>
                <w:sz w:val="32"/>
                <w:szCs w:val="32"/>
              </w:rPr>
            </w:pPr>
            <w:r>
              <w:rPr>
                <w:rFonts w:hint="eastAsia" w:ascii="仿宋" w:hAnsi="仿宋" w:eastAsia="仿宋" w:cs="仿宋"/>
                <w:sz w:val="32"/>
                <w:szCs w:val="32"/>
              </w:rPr>
              <w:t>姓名</w:t>
            </w:r>
          </w:p>
        </w:tc>
        <w:tc>
          <w:tcPr>
            <w:tcW w:w="2237" w:type="dxa"/>
            <w:vAlign w:val="center"/>
          </w:tcPr>
          <w:p w14:paraId="60857E6F">
            <w:pPr>
              <w:snapToGrid w:val="0"/>
              <w:spacing w:line="560" w:lineRule="exact"/>
              <w:rPr>
                <w:rFonts w:ascii="仿宋" w:hAnsi="仿宋" w:eastAsia="仿宋" w:cs="仿宋"/>
                <w:sz w:val="32"/>
                <w:szCs w:val="32"/>
              </w:rPr>
            </w:pPr>
            <w:r>
              <w:rPr>
                <w:rFonts w:hint="eastAsia" w:ascii="仿宋" w:hAnsi="仿宋" w:eastAsia="仿宋" w:cs="仿宋"/>
                <w:sz w:val="32"/>
                <w:szCs w:val="32"/>
              </w:rPr>
              <w:t>工作单位</w:t>
            </w:r>
          </w:p>
        </w:tc>
        <w:tc>
          <w:tcPr>
            <w:tcW w:w="1701" w:type="dxa"/>
            <w:vAlign w:val="center"/>
          </w:tcPr>
          <w:p w14:paraId="7C50526B">
            <w:pPr>
              <w:snapToGrid w:val="0"/>
              <w:spacing w:line="560" w:lineRule="exact"/>
              <w:rPr>
                <w:rFonts w:ascii="仿宋" w:hAnsi="仿宋" w:eastAsia="仿宋" w:cs="仿宋"/>
                <w:sz w:val="32"/>
                <w:szCs w:val="32"/>
              </w:rPr>
            </w:pPr>
            <w:r>
              <w:rPr>
                <w:rFonts w:hint="eastAsia" w:ascii="仿宋" w:hAnsi="仿宋" w:eastAsia="仿宋" w:cs="仿宋"/>
                <w:sz w:val="32"/>
                <w:szCs w:val="32"/>
              </w:rPr>
              <w:t>职务</w:t>
            </w:r>
          </w:p>
        </w:tc>
        <w:tc>
          <w:tcPr>
            <w:tcW w:w="2857" w:type="dxa"/>
            <w:vAlign w:val="center"/>
          </w:tcPr>
          <w:p w14:paraId="3076DADE">
            <w:pPr>
              <w:snapToGrid w:val="0"/>
              <w:spacing w:line="560" w:lineRule="exact"/>
              <w:rPr>
                <w:rFonts w:ascii="仿宋" w:hAnsi="仿宋" w:eastAsia="仿宋" w:cs="仿宋"/>
                <w:sz w:val="32"/>
                <w:szCs w:val="32"/>
              </w:rPr>
            </w:pPr>
            <w:r>
              <w:rPr>
                <w:rFonts w:hint="eastAsia" w:ascii="仿宋" w:hAnsi="仿宋" w:eastAsia="仿宋" w:cs="仿宋"/>
                <w:sz w:val="32"/>
                <w:szCs w:val="32"/>
              </w:rPr>
              <w:t>签字</w:t>
            </w:r>
          </w:p>
        </w:tc>
      </w:tr>
      <w:tr w14:paraId="08A06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2" w:hRule="atLeast"/>
          <w:jc w:val="center"/>
        </w:trPr>
        <w:tc>
          <w:tcPr>
            <w:tcW w:w="1636" w:type="dxa"/>
            <w:vAlign w:val="center"/>
          </w:tcPr>
          <w:p w14:paraId="43C0324B">
            <w:pPr>
              <w:snapToGrid w:val="0"/>
              <w:spacing w:line="560" w:lineRule="exact"/>
              <w:rPr>
                <w:rFonts w:ascii="仿宋" w:hAnsi="仿宋" w:eastAsia="仿宋" w:cs="仿宋"/>
                <w:sz w:val="32"/>
                <w:szCs w:val="32"/>
              </w:rPr>
            </w:pPr>
            <w:r>
              <w:rPr>
                <w:rFonts w:hint="eastAsia" w:ascii="仿宋" w:hAnsi="仿宋" w:eastAsia="仿宋" w:cs="仿宋"/>
                <w:sz w:val="32"/>
                <w:szCs w:val="32"/>
              </w:rPr>
              <w:t>聂素强</w:t>
            </w:r>
          </w:p>
        </w:tc>
        <w:tc>
          <w:tcPr>
            <w:tcW w:w="2237" w:type="dxa"/>
            <w:vAlign w:val="center"/>
          </w:tcPr>
          <w:p w14:paraId="3F5631F3">
            <w:pPr>
              <w:snapToGrid w:val="0"/>
              <w:spacing w:line="560" w:lineRule="exact"/>
              <w:rPr>
                <w:rFonts w:ascii="仿宋" w:hAnsi="仿宋" w:eastAsia="仿宋" w:cs="仿宋"/>
                <w:sz w:val="32"/>
                <w:szCs w:val="32"/>
              </w:rPr>
            </w:pPr>
            <w:r>
              <w:rPr>
                <w:rFonts w:hint="eastAsia" w:ascii="仿宋" w:hAnsi="仿宋" w:eastAsia="仿宋" w:cs="仿宋"/>
                <w:sz w:val="32"/>
                <w:szCs w:val="32"/>
              </w:rPr>
              <w:t>藁城区纪委</w:t>
            </w:r>
          </w:p>
        </w:tc>
        <w:tc>
          <w:tcPr>
            <w:tcW w:w="1701" w:type="dxa"/>
            <w:vAlign w:val="center"/>
          </w:tcPr>
          <w:p w14:paraId="68C714C9">
            <w:pPr>
              <w:snapToGrid w:val="0"/>
              <w:spacing w:line="560" w:lineRule="exact"/>
              <w:rPr>
                <w:rFonts w:ascii="仿宋" w:hAnsi="仿宋" w:eastAsia="仿宋" w:cs="仿宋"/>
                <w:sz w:val="32"/>
                <w:szCs w:val="32"/>
              </w:rPr>
            </w:pPr>
            <w:r>
              <w:rPr>
                <w:rFonts w:hint="eastAsia" w:ascii="仿宋" w:hAnsi="仿宋" w:eastAsia="仿宋" w:cs="仿宋"/>
                <w:sz w:val="32"/>
                <w:szCs w:val="32"/>
              </w:rPr>
              <w:t>副书记</w:t>
            </w:r>
          </w:p>
        </w:tc>
        <w:tc>
          <w:tcPr>
            <w:tcW w:w="2857" w:type="dxa"/>
            <w:vAlign w:val="center"/>
          </w:tcPr>
          <w:p w14:paraId="3875573C">
            <w:pPr>
              <w:snapToGrid w:val="0"/>
              <w:spacing w:line="560" w:lineRule="exact"/>
              <w:rPr>
                <w:rFonts w:ascii="仿宋" w:hAnsi="仿宋" w:eastAsia="仿宋" w:cs="仿宋"/>
                <w:sz w:val="32"/>
                <w:szCs w:val="32"/>
              </w:rPr>
            </w:pPr>
          </w:p>
        </w:tc>
      </w:tr>
      <w:tr w14:paraId="1B8CF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1636" w:type="dxa"/>
            <w:vAlign w:val="center"/>
          </w:tcPr>
          <w:p w14:paraId="0CC55B20">
            <w:pPr>
              <w:snapToGrid w:val="0"/>
              <w:spacing w:line="560" w:lineRule="exact"/>
              <w:rPr>
                <w:rFonts w:ascii="仿宋" w:hAnsi="仿宋" w:eastAsia="仿宋" w:cs="仿宋"/>
                <w:sz w:val="32"/>
                <w:szCs w:val="32"/>
              </w:rPr>
            </w:pPr>
            <w:r>
              <w:rPr>
                <w:rFonts w:hint="eastAsia" w:ascii="仿宋" w:hAnsi="仿宋" w:eastAsia="仿宋" w:cs="仿宋"/>
                <w:sz w:val="32"/>
                <w:szCs w:val="32"/>
              </w:rPr>
              <w:t>黄志伟</w:t>
            </w:r>
          </w:p>
        </w:tc>
        <w:tc>
          <w:tcPr>
            <w:tcW w:w="2237" w:type="dxa"/>
            <w:vAlign w:val="center"/>
          </w:tcPr>
          <w:p w14:paraId="0A459346">
            <w:pPr>
              <w:snapToGrid w:val="0"/>
              <w:spacing w:line="560" w:lineRule="exact"/>
              <w:rPr>
                <w:rFonts w:ascii="仿宋" w:hAnsi="仿宋" w:eastAsia="仿宋" w:cs="仿宋"/>
                <w:sz w:val="32"/>
                <w:szCs w:val="32"/>
              </w:rPr>
            </w:pPr>
            <w:r>
              <w:rPr>
                <w:rFonts w:hint="eastAsia" w:ascii="仿宋" w:hAnsi="仿宋" w:eastAsia="仿宋" w:cs="仿宋"/>
                <w:sz w:val="32"/>
                <w:szCs w:val="32"/>
              </w:rPr>
              <w:t>藁城区纪委</w:t>
            </w:r>
          </w:p>
        </w:tc>
        <w:tc>
          <w:tcPr>
            <w:tcW w:w="1701" w:type="dxa"/>
            <w:vAlign w:val="center"/>
          </w:tcPr>
          <w:p w14:paraId="2A2FA432">
            <w:pPr>
              <w:snapToGrid w:val="0"/>
              <w:spacing w:line="560" w:lineRule="exact"/>
              <w:rPr>
                <w:rFonts w:ascii="仿宋" w:hAnsi="仿宋" w:eastAsia="仿宋" w:cs="仿宋"/>
                <w:sz w:val="32"/>
                <w:szCs w:val="32"/>
              </w:rPr>
            </w:pPr>
            <w:r>
              <w:rPr>
                <w:rFonts w:hint="eastAsia" w:ascii="仿宋" w:hAnsi="仿宋" w:eastAsia="仿宋" w:cs="仿宋"/>
                <w:sz w:val="32"/>
                <w:szCs w:val="32"/>
              </w:rPr>
              <w:t>常委</w:t>
            </w:r>
          </w:p>
        </w:tc>
        <w:tc>
          <w:tcPr>
            <w:tcW w:w="2857" w:type="dxa"/>
            <w:vAlign w:val="center"/>
          </w:tcPr>
          <w:p w14:paraId="00BADBBF">
            <w:pPr>
              <w:snapToGrid w:val="0"/>
              <w:spacing w:line="560" w:lineRule="exact"/>
              <w:rPr>
                <w:rFonts w:ascii="仿宋" w:hAnsi="仿宋" w:eastAsia="仿宋" w:cs="仿宋"/>
                <w:sz w:val="32"/>
                <w:szCs w:val="32"/>
              </w:rPr>
            </w:pPr>
          </w:p>
        </w:tc>
      </w:tr>
      <w:tr w14:paraId="6C051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jc w:val="center"/>
        </w:trPr>
        <w:tc>
          <w:tcPr>
            <w:tcW w:w="1636" w:type="dxa"/>
            <w:vAlign w:val="center"/>
          </w:tcPr>
          <w:p w14:paraId="08E3D464">
            <w:pPr>
              <w:snapToGrid w:val="0"/>
              <w:spacing w:line="560" w:lineRule="exact"/>
              <w:rPr>
                <w:rFonts w:ascii="仿宋" w:hAnsi="仿宋" w:eastAsia="仿宋" w:cs="仿宋"/>
                <w:sz w:val="32"/>
                <w:szCs w:val="32"/>
              </w:rPr>
            </w:pPr>
            <w:r>
              <w:rPr>
                <w:rFonts w:hint="eastAsia" w:ascii="仿宋" w:hAnsi="仿宋" w:eastAsia="仿宋" w:cs="仿宋"/>
                <w:sz w:val="32"/>
                <w:szCs w:val="32"/>
              </w:rPr>
              <w:t>王玉聪</w:t>
            </w:r>
          </w:p>
        </w:tc>
        <w:tc>
          <w:tcPr>
            <w:tcW w:w="2237" w:type="dxa"/>
            <w:vAlign w:val="center"/>
          </w:tcPr>
          <w:p w14:paraId="2757AF1F">
            <w:pPr>
              <w:snapToGrid w:val="0"/>
              <w:spacing w:line="560" w:lineRule="exact"/>
              <w:rPr>
                <w:rFonts w:ascii="仿宋" w:hAnsi="仿宋" w:eastAsia="仿宋" w:cs="仿宋"/>
                <w:sz w:val="32"/>
                <w:szCs w:val="32"/>
              </w:rPr>
            </w:pPr>
            <w:r>
              <w:rPr>
                <w:rFonts w:hint="eastAsia" w:ascii="仿宋" w:hAnsi="仿宋" w:eastAsia="仿宋" w:cs="仿宋"/>
                <w:sz w:val="32"/>
                <w:szCs w:val="32"/>
              </w:rPr>
              <w:t>藁城区纪委</w:t>
            </w:r>
          </w:p>
        </w:tc>
        <w:tc>
          <w:tcPr>
            <w:tcW w:w="1701" w:type="dxa"/>
            <w:vAlign w:val="center"/>
          </w:tcPr>
          <w:p w14:paraId="69E60F97">
            <w:pPr>
              <w:snapToGrid w:val="0"/>
              <w:spacing w:line="560" w:lineRule="exact"/>
              <w:rPr>
                <w:rFonts w:ascii="仿宋" w:hAnsi="仿宋" w:eastAsia="仿宋" w:cs="仿宋"/>
                <w:sz w:val="32"/>
                <w:szCs w:val="32"/>
              </w:rPr>
            </w:pPr>
            <w:r>
              <w:rPr>
                <w:rFonts w:hint="eastAsia" w:ascii="仿宋" w:hAnsi="仿宋" w:eastAsia="仿宋" w:cs="仿宋"/>
                <w:sz w:val="32"/>
                <w:szCs w:val="32"/>
              </w:rPr>
              <w:t>财务</w:t>
            </w:r>
          </w:p>
        </w:tc>
        <w:tc>
          <w:tcPr>
            <w:tcW w:w="2857" w:type="dxa"/>
            <w:vAlign w:val="center"/>
          </w:tcPr>
          <w:p w14:paraId="39F0F573">
            <w:pPr>
              <w:snapToGrid w:val="0"/>
              <w:spacing w:line="560" w:lineRule="exact"/>
              <w:rPr>
                <w:rFonts w:ascii="仿宋" w:hAnsi="仿宋" w:eastAsia="仿宋" w:cs="仿宋"/>
                <w:sz w:val="32"/>
                <w:szCs w:val="32"/>
              </w:rPr>
            </w:pPr>
          </w:p>
        </w:tc>
      </w:tr>
    </w:tbl>
    <w:p w14:paraId="4E819067">
      <w:pPr>
        <w:snapToGrid w:val="0"/>
        <w:spacing w:line="560" w:lineRule="exact"/>
        <w:rPr>
          <w:rFonts w:ascii="黑体" w:hAnsi="黑体" w:eastAsia="黑体" w:cs="黑体"/>
          <w:sz w:val="32"/>
          <w:szCs w:val="32"/>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44C49C">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D831B8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4D831B8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673C2B">
    <w:pPr>
      <w:pStyle w:val="4"/>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F16A3"/>
    <w:rsid w:val="000D193E"/>
    <w:rsid w:val="000D29F1"/>
    <w:rsid w:val="00142246"/>
    <w:rsid w:val="001627CF"/>
    <w:rsid w:val="001646B1"/>
    <w:rsid w:val="00176210"/>
    <w:rsid w:val="001D2D4C"/>
    <w:rsid w:val="001F588D"/>
    <w:rsid w:val="002B7076"/>
    <w:rsid w:val="00383AC5"/>
    <w:rsid w:val="003B412A"/>
    <w:rsid w:val="00432709"/>
    <w:rsid w:val="0043554E"/>
    <w:rsid w:val="004919BA"/>
    <w:rsid w:val="00491FCD"/>
    <w:rsid w:val="004E6C05"/>
    <w:rsid w:val="004F6F9F"/>
    <w:rsid w:val="00546BCB"/>
    <w:rsid w:val="005513A1"/>
    <w:rsid w:val="005B610E"/>
    <w:rsid w:val="005C236C"/>
    <w:rsid w:val="005E6EC9"/>
    <w:rsid w:val="00656B2A"/>
    <w:rsid w:val="00665896"/>
    <w:rsid w:val="006A6FC4"/>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D2A0A"/>
    <w:rsid w:val="00CE156F"/>
    <w:rsid w:val="00CF3B90"/>
    <w:rsid w:val="00DE50A2"/>
    <w:rsid w:val="00DF6FF4"/>
    <w:rsid w:val="00E03726"/>
    <w:rsid w:val="00E17D5D"/>
    <w:rsid w:val="00E61BFC"/>
    <w:rsid w:val="00E841B7"/>
    <w:rsid w:val="00ED5E84"/>
    <w:rsid w:val="00EF16A3"/>
    <w:rsid w:val="00F57E52"/>
    <w:rsid w:val="00F96628"/>
    <w:rsid w:val="00FB4297"/>
    <w:rsid w:val="051D4810"/>
    <w:rsid w:val="055B525F"/>
    <w:rsid w:val="13B61930"/>
    <w:rsid w:val="1BAF1154"/>
    <w:rsid w:val="1C655171"/>
    <w:rsid w:val="20276775"/>
    <w:rsid w:val="3AEF6FE7"/>
    <w:rsid w:val="493B718D"/>
    <w:rsid w:val="53A42ADD"/>
    <w:rsid w:val="5C4A315B"/>
    <w:rsid w:val="5CEA6D14"/>
    <w:rsid w:val="661D3074"/>
    <w:rsid w:val="6BDE71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qFormat="1" w:uiPriority="0" w:semiHidden="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a heading"/>
    <w:basedOn w:val="1"/>
    <w:next w:val="1"/>
    <w:unhideWhenUsed/>
    <w:qFormat/>
    <w:uiPriority w:val="0"/>
    <w:pPr>
      <w:spacing w:before="120"/>
    </w:pPr>
    <w:rPr>
      <w:rFonts w:ascii="Cambria" w:hAnsi="Cambria"/>
      <w:sz w:val="24"/>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页眉 字符"/>
    <w:basedOn w:val="7"/>
    <w:link w:val="4"/>
    <w:qFormat/>
    <w:uiPriority w:val="99"/>
    <w:rPr>
      <w:sz w:val="18"/>
      <w:szCs w:val="18"/>
    </w:rPr>
  </w:style>
  <w:style w:type="character" w:customStyle="1" w:styleId="9">
    <w:name w:val="页脚 字符"/>
    <w:basedOn w:val="7"/>
    <w:link w:val="3"/>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Pages>
  <Words>1251</Words>
  <Characters>1297</Characters>
  <Lines>9</Lines>
  <Paragraphs>2</Paragraphs>
  <TotalTime>13</TotalTime>
  <ScaleCrop>false</ScaleCrop>
  <LinksUpToDate>false</LinksUpToDate>
  <CharactersWithSpaces>1306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2023-04-23T07:49:00Z</dcterms:created>
  <dc:creator>user</dc:creator>
  <cp:lastModifiedBy> </cp:lastModifiedBy>
  <cp:lastPrinted>2021-02-24T05:43:00Z</cp:lastPrinted>
  <dcterms:modified xsi:type="dcterms:W3CDTF">2024-09-19T11:02:38Z</dcterms:modified>
  <dc:title>附件2： </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ACA7F89D565E4CD2805EFD39028E912A_12</vt:lpwstr>
  </property>
</Properties>
</file>