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9E0444B">
      <w:pPr>
        <w:widowControl w:val="0"/>
        <w:wordWrap/>
        <w:adjustRightInd/>
        <w:snapToGrid w:val="0"/>
        <w:spacing w:line="560" w:lineRule="exact"/>
        <w:ind w:left="0" w:leftChars="0" w:right="0"/>
        <w:jc w:val="center"/>
        <w:textAlignment w:val="auto"/>
        <w:outlineLvl w:val="9"/>
        <w:rPr>
          <w:rFonts w:hint="eastAsia" w:ascii="宋体" w:hAnsi="宋体" w:cs="宋体"/>
          <w:b/>
          <w:bCs/>
          <w:kern w:val="0"/>
          <w:sz w:val="44"/>
          <w:szCs w:val="44"/>
          <w:lang w:eastAsia="zh-CN"/>
        </w:rPr>
      </w:pPr>
    </w:p>
    <w:p w14:paraId="66757011">
      <w:pPr>
        <w:widowControl w:val="0"/>
        <w:wordWrap/>
        <w:adjustRightInd/>
        <w:snapToGrid w:val="0"/>
        <w:spacing w:line="560" w:lineRule="exact"/>
        <w:ind w:left="0" w:leftChars="0" w:right="0"/>
        <w:jc w:val="center"/>
        <w:textAlignment w:val="auto"/>
        <w:outlineLvl w:val="9"/>
        <w:rPr>
          <w:rFonts w:hint="eastAsia" w:ascii="宋体" w:hAnsi="宋体" w:cs="宋体"/>
          <w:b/>
          <w:bCs/>
          <w:kern w:val="0"/>
          <w:sz w:val="44"/>
          <w:szCs w:val="44"/>
          <w:lang w:eastAsia="zh-CN"/>
        </w:rPr>
      </w:pPr>
      <w:r>
        <w:rPr>
          <w:rFonts w:hint="eastAsia" w:ascii="宋体" w:hAnsi="宋体" w:cs="宋体"/>
          <w:b/>
          <w:bCs/>
          <w:kern w:val="0"/>
          <w:sz w:val="44"/>
          <w:szCs w:val="44"/>
          <w:lang w:eastAsia="zh-CN"/>
        </w:rPr>
        <w:t>石家庄市藁城区城市管理综合行政执法局</w:t>
      </w:r>
    </w:p>
    <w:p w14:paraId="4CA7F1A6">
      <w:pPr>
        <w:widowControl w:val="0"/>
        <w:wordWrap/>
        <w:adjustRightInd/>
        <w:snapToGrid w:val="0"/>
        <w:spacing w:line="560" w:lineRule="exact"/>
        <w:ind w:left="0" w:leftChars="0" w:right="0"/>
        <w:jc w:val="center"/>
        <w:textAlignment w:val="auto"/>
        <w:outlineLvl w:val="9"/>
        <w:rPr>
          <w:rFonts w:ascii="宋体" w:hAnsi="宋体" w:cs="宋体"/>
          <w:b/>
          <w:bCs/>
          <w:sz w:val="44"/>
          <w:szCs w:val="44"/>
        </w:rPr>
      </w:pPr>
      <w:r>
        <w:rPr>
          <w:rFonts w:hint="eastAsia" w:ascii="宋体" w:hAnsi="宋体" w:cs="宋体"/>
          <w:b/>
          <w:bCs/>
          <w:kern w:val="0"/>
          <w:sz w:val="44"/>
          <w:szCs w:val="44"/>
          <w:lang w:val="en-US" w:eastAsia="zh-CN"/>
        </w:rPr>
        <w:t>2022</w:t>
      </w:r>
      <w:r>
        <w:rPr>
          <w:rFonts w:hint="eastAsia" w:ascii="宋体" w:hAnsi="宋体" w:cs="宋体"/>
          <w:b/>
          <w:bCs/>
          <w:kern w:val="0"/>
          <w:sz w:val="44"/>
          <w:szCs w:val="44"/>
        </w:rPr>
        <w:t>年度部门</w:t>
      </w:r>
      <w:r>
        <w:rPr>
          <w:rFonts w:hint="eastAsia" w:ascii="宋体" w:hAnsi="宋体" w:cs="宋体"/>
          <w:b/>
          <w:bCs/>
          <w:kern w:val="0"/>
          <w:sz w:val="44"/>
          <w:szCs w:val="44"/>
          <w:lang w:eastAsia="zh-CN"/>
        </w:rPr>
        <w:t>整体支出</w:t>
      </w:r>
      <w:r>
        <w:rPr>
          <w:rFonts w:hint="eastAsia" w:ascii="宋体" w:hAnsi="宋体" w:cs="宋体"/>
          <w:b/>
          <w:bCs/>
          <w:sz w:val="44"/>
          <w:szCs w:val="44"/>
        </w:rPr>
        <w:t>绩效自评工作报告</w:t>
      </w:r>
    </w:p>
    <w:p w14:paraId="14F68FAF">
      <w:pPr>
        <w:widowControl w:val="0"/>
        <w:wordWrap/>
        <w:adjustRightInd/>
        <w:snapToGrid w:val="0"/>
        <w:spacing w:line="560" w:lineRule="exact"/>
        <w:ind w:left="0" w:leftChars="0" w:right="0" w:firstLine="643" w:firstLineChars="200"/>
        <w:textAlignment w:val="auto"/>
        <w:outlineLvl w:val="9"/>
        <w:rPr>
          <w:rFonts w:ascii="仿宋" w:hAnsi="仿宋" w:eastAsia="仿宋" w:cs="仿宋"/>
          <w:b/>
          <w:sz w:val="32"/>
          <w:szCs w:val="32"/>
        </w:rPr>
      </w:pPr>
    </w:p>
    <w:p w14:paraId="7D018B11">
      <w:pPr>
        <w:widowControl w:val="0"/>
        <w:wordWrap/>
        <w:adjustRightInd/>
        <w:snapToGrid w:val="0"/>
        <w:spacing w:line="560" w:lineRule="exact"/>
        <w:ind w:left="0" w:leftChars="0" w:right="0" w:firstLine="643" w:firstLineChars="200"/>
        <w:textAlignment w:val="auto"/>
        <w:outlineLvl w:val="9"/>
        <w:rPr>
          <w:rFonts w:ascii="仿宋" w:hAnsi="仿宋" w:eastAsia="仿宋" w:cs="仿宋"/>
          <w:b/>
          <w:sz w:val="32"/>
          <w:szCs w:val="32"/>
        </w:rPr>
      </w:pPr>
    </w:p>
    <w:p w14:paraId="7F8FDDEC">
      <w:pPr>
        <w:snapToGrid w:val="0"/>
        <w:spacing w:line="560" w:lineRule="exact"/>
        <w:ind w:firstLine="640" w:firstLineChars="200"/>
        <w:rPr>
          <w:rFonts w:hint="eastAsia" w:ascii="黑体" w:hAnsi="黑体" w:eastAsia="黑体" w:cs="黑体"/>
          <w:sz w:val="32"/>
          <w:szCs w:val="32"/>
        </w:rPr>
      </w:pPr>
      <w:r>
        <w:rPr>
          <w:rFonts w:hint="eastAsia" w:ascii="仿宋" w:hAnsi="仿宋" w:eastAsia="仿宋" w:cs="宋体"/>
          <w:sz w:val="32"/>
          <w:szCs w:val="32"/>
        </w:rPr>
        <w:t>为</w:t>
      </w:r>
      <w:r>
        <w:rPr>
          <w:rFonts w:hint="eastAsia" w:ascii="仿宋" w:hAnsi="仿宋" w:eastAsia="仿宋" w:cs="仿宋_GB2312"/>
          <w:sz w:val="32"/>
          <w:szCs w:val="32"/>
        </w:rPr>
        <w:t>进一步推进我区绩效预算管理工作，提高财政资金使用效益和财政管理科学化、精细化水平</w:t>
      </w:r>
      <w:r>
        <w:rPr>
          <w:rFonts w:hint="eastAsia" w:ascii="仿宋" w:hAnsi="仿宋" w:eastAsia="仿宋" w:cs="宋体"/>
          <w:sz w:val="32"/>
          <w:szCs w:val="32"/>
        </w:rPr>
        <w:t>，</w:t>
      </w:r>
      <w:r>
        <w:rPr>
          <w:rFonts w:hint="eastAsia" w:ascii="仿宋" w:hAnsi="仿宋" w:eastAsia="仿宋" w:cs="仿宋_GB2312"/>
          <w:sz w:val="32"/>
          <w:szCs w:val="32"/>
        </w:rPr>
        <w:t>根据</w:t>
      </w:r>
      <w:r>
        <w:rPr>
          <w:rFonts w:hint="eastAsia" w:ascii="仿宋" w:hAnsi="仿宋" w:eastAsia="仿宋" w:cs="宋体"/>
          <w:sz w:val="32"/>
          <w:szCs w:val="32"/>
        </w:rPr>
        <w:t>《石家庄市藁城区区级部门预算项目绩效自评管理办法》（藁财字</w:t>
      </w:r>
      <w:r>
        <w:rPr>
          <w:rFonts w:hint="eastAsia" w:ascii="仿宋" w:hAnsi="仿宋" w:eastAsia="仿宋" w:cs="仿宋"/>
          <w:sz w:val="32"/>
          <w:szCs w:val="32"/>
        </w:rPr>
        <w:t>〔2020〕23号</w:t>
      </w:r>
      <w:r>
        <w:rPr>
          <w:rFonts w:hint="eastAsia" w:ascii="仿宋" w:hAnsi="仿宋" w:eastAsia="仿宋" w:cs="宋体"/>
          <w:sz w:val="32"/>
          <w:szCs w:val="32"/>
        </w:rPr>
        <w:t>）要求</w:t>
      </w:r>
      <w:r>
        <w:rPr>
          <w:rFonts w:hint="eastAsia" w:ascii="仿宋" w:hAnsi="仿宋" w:eastAsia="仿宋"/>
          <w:sz w:val="32"/>
          <w:szCs w:val="32"/>
        </w:rPr>
        <w:t>，遵循“科学性、规范性、客观性和公正性”的原则，</w:t>
      </w:r>
      <w:r>
        <w:rPr>
          <w:rFonts w:hint="eastAsia" w:ascii="仿宋" w:hAnsi="仿宋" w:eastAsia="仿宋" w:cs="仿宋"/>
          <w:sz w:val="32"/>
          <w:szCs w:val="32"/>
        </w:rPr>
        <w:t>我局认真开展了202</w:t>
      </w:r>
      <w:r>
        <w:rPr>
          <w:rFonts w:hint="eastAsia" w:ascii="仿宋" w:hAnsi="仿宋" w:eastAsia="仿宋" w:cs="仿宋"/>
          <w:sz w:val="32"/>
          <w:szCs w:val="32"/>
          <w:lang w:val="en-US" w:eastAsia="zh-CN"/>
        </w:rPr>
        <w:t>2</w:t>
      </w:r>
      <w:r>
        <w:rPr>
          <w:rFonts w:hint="eastAsia" w:ascii="仿宋" w:hAnsi="仿宋" w:eastAsia="仿宋" w:cs="仿宋"/>
          <w:sz w:val="32"/>
          <w:szCs w:val="32"/>
        </w:rPr>
        <w:t>年度预算绩效自评工作，现将有关情况报告如下：</w:t>
      </w:r>
    </w:p>
    <w:p w14:paraId="0A364DE5">
      <w:pPr>
        <w:widowControl w:val="0"/>
        <w:wordWrap/>
        <w:adjustRightInd/>
        <w:snapToGrid w:val="0"/>
        <w:spacing w:line="560" w:lineRule="exact"/>
        <w:ind w:left="0" w:leftChars="0" w:right="0" w:firstLine="640" w:firstLineChars="200"/>
        <w:textAlignment w:val="auto"/>
        <w:outlineLvl w:val="9"/>
        <w:rPr>
          <w:rFonts w:hint="eastAsia" w:ascii="黑体" w:hAnsi="黑体" w:eastAsia="黑体" w:cs="黑体"/>
          <w:sz w:val="32"/>
          <w:szCs w:val="32"/>
          <w:lang w:eastAsia="zh-CN"/>
        </w:rPr>
      </w:pPr>
      <w:r>
        <w:rPr>
          <w:rFonts w:hint="eastAsia" w:ascii="黑体" w:hAnsi="黑体" w:eastAsia="黑体" w:cs="黑体"/>
          <w:sz w:val="32"/>
          <w:szCs w:val="32"/>
        </w:rPr>
        <w:t>一、</w:t>
      </w:r>
      <w:r>
        <w:rPr>
          <w:rFonts w:hint="eastAsia" w:ascii="黑体" w:hAnsi="黑体" w:eastAsia="黑体" w:cs="黑体"/>
          <w:sz w:val="32"/>
          <w:szCs w:val="32"/>
          <w:lang w:eastAsia="zh-CN"/>
        </w:rPr>
        <w:t>部门基本情况</w:t>
      </w:r>
    </w:p>
    <w:p w14:paraId="4D5B5528">
      <w:pPr>
        <w:widowControl w:val="0"/>
        <w:wordWrap/>
        <w:adjustRightInd/>
        <w:snapToGrid w:val="0"/>
        <w:spacing w:line="560" w:lineRule="exact"/>
        <w:ind w:left="0" w:leftChars="0" w:right="0" w:firstLine="640" w:firstLineChars="200"/>
        <w:textAlignment w:val="auto"/>
        <w:outlineLvl w:val="9"/>
        <w:rPr>
          <w:rFonts w:hint="eastAsia" w:ascii="仿宋" w:hAnsi="仿宋" w:eastAsia="仿宋" w:cs="仿宋"/>
          <w:sz w:val="32"/>
          <w:szCs w:val="32"/>
          <w:lang w:eastAsia="zh-CN"/>
        </w:rPr>
      </w:pPr>
      <w:r>
        <w:rPr>
          <w:rFonts w:hint="eastAsia" w:ascii="仿宋" w:hAnsi="仿宋" w:eastAsia="仿宋" w:cs="楷体_GB2312"/>
          <w:b w:val="0"/>
          <w:bCs w:val="0"/>
          <w:sz w:val="32"/>
          <w:szCs w:val="32"/>
        </w:rPr>
        <w:t>（一）</w:t>
      </w:r>
      <w:r>
        <w:rPr>
          <w:rFonts w:hint="eastAsia" w:ascii="仿宋" w:hAnsi="仿宋" w:eastAsia="仿宋" w:cs="仿宋"/>
          <w:sz w:val="32"/>
          <w:szCs w:val="32"/>
          <w:lang w:eastAsia="zh-CN"/>
        </w:rPr>
        <w:t>城市管理综合行政执法局部门基本职责情况如下：</w:t>
      </w:r>
    </w:p>
    <w:p w14:paraId="4349B4EC">
      <w:pPr>
        <w:numPr>
          <w:ilvl w:val="0"/>
          <w:numId w:val="0"/>
        </w:numPr>
        <w:ind w:firstLine="640" w:firstLineChars="200"/>
        <w:rPr>
          <w:rFonts w:hint="eastAsia" w:ascii="仿宋" w:hAnsi="仿宋" w:eastAsia="仿宋" w:cs="仿宋"/>
          <w:sz w:val="32"/>
          <w:szCs w:val="32"/>
        </w:rPr>
      </w:pPr>
      <w:r>
        <w:rPr>
          <w:rFonts w:ascii="仿宋" w:hAnsi="仿宋" w:eastAsia="仿宋" w:cs="仿宋"/>
          <w:sz w:val="32"/>
          <w:szCs w:val="32"/>
        </w:rPr>
        <w:t>(</w:t>
      </w:r>
      <w:r>
        <w:rPr>
          <w:rFonts w:hint="eastAsia" w:ascii="仿宋" w:hAnsi="仿宋" w:eastAsia="仿宋" w:cs="仿宋"/>
          <w:sz w:val="32"/>
          <w:szCs w:val="32"/>
          <w:lang w:val="en-US" w:eastAsia="zh-CN"/>
        </w:rPr>
        <w:t>1</w:t>
      </w:r>
      <w:r>
        <w:rPr>
          <w:rFonts w:ascii="仿宋" w:hAnsi="仿宋" w:eastAsia="仿宋" w:cs="仿宋"/>
          <w:sz w:val="32"/>
          <w:szCs w:val="32"/>
        </w:rPr>
        <w:t>)</w:t>
      </w:r>
      <w:r>
        <w:rPr>
          <w:rFonts w:hint="eastAsia" w:ascii="仿宋" w:hAnsi="仿宋" w:eastAsia="仿宋" w:cs="仿宋"/>
          <w:sz w:val="32"/>
          <w:szCs w:val="32"/>
        </w:rPr>
        <w:t>负责主城区市容管理、监察并对各乡镇、开发区城市管理综合行政执法工作监督指导，机动执法；城市市容景观广告牌匾的监督、管理工作；建立数字城管指挥系统，对城市管理工作即时监控，发现问题及时指挥、协调和督办；负责对乡镇环境卫生清扫保洁的督导检查、综合评比和统筹协调工作；负责便民市场规范化运行和日常监管工作；负责城市生活垃圾处理中心的运行管理工作；负责兴华公园和体育公园监管考核工作；开展市容环境卫生、市政公用设施、园林绿化、城乡规划、住房和城乡建设管理五个方面的行政执法和处罚；负责国土、环保、市场监督、交通管理、水务管理等方面的行政处罚；负责</w:t>
      </w:r>
      <w:r>
        <w:rPr>
          <w:rFonts w:hint="eastAsia" w:ascii="仿宋" w:hAnsi="仿宋" w:eastAsia="仿宋" w:cs="仿宋"/>
          <w:sz w:val="32"/>
          <w:szCs w:val="32"/>
          <w:lang w:eastAsia="zh-CN"/>
        </w:rPr>
        <w:t>上级</w:t>
      </w:r>
      <w:r>
        <w:rPr>
          <w:rFonts w:hint="eastAsia" w:ascii="仿宋" w:hAnsi="仿宋" w:eastAsia="仿宋" w:cs="仿宋"/>
          <w:sz w:val="32"/>
          <w:szCs w:val="32"/>
        </w:rPr>
        <w:t>安排的其他工作等。</w:t>
      </w:r>
    </w:p>
    <w:p w14:paraId="234471C2">
      <w:pPr>
        <w:adjustRightInd w:val="0"/>
        <w:snapToGrid w:val="0"/>
        <w:spacing w:line="580" w:lineRule="exact"/>
        <w:ind w:firstLine="640" w:firstLineChars="200"/>
        <w:rPr>
          <w:rFonts w:ascii="仿宋" w:hAnsi="仿宋" w:eastAsia="仿宋" w:cs="仿宋"/>
          <w:sz w:val="32"/>
          <w:szCs w:val="32"/>
        </w:rPr>
      </w:pPr>
      <w:r>
        <w:rPr>
          <w:rFonts w:ascii="仿宋" w:hAnsi="仿宋" w:eastAsia="仿宋" w:cs="仿宋"/>
          <w:sz w:val="32"/>
          <w:szCs w:val="32"/>
        </w:rPr>
        <w:t>(</w:t>
      </w:r>
      <w:r>
        <w:rPr>
          <w:rFonts w:hint="eastAsia" w:ascii="仿宋" w:hAnsi="仿宋" w:eastAsia="仿宋" w:cs="仿宋"/>
          <w:sz w:val="32"/>
          <w:szCs w:val="32"/>
          <w:lang w:val="en-US" w:eastAsia="zh-CN"/>
        </w:rPr>
        <w:t>2</w:t>
      </w:r>
      <w:r>
        <w:rPr>
          <w:rFonts w:ascii="仿宋" w:hAnsi="仿宋" w:eastAsia="仿宋" w:cs="仿宋"/>
          <w:sz w:val="32"/>
          <w:szCs w:val="32"/>
        </w:rPr>
        <w:t>)</w:t>
      </w:r>
      <w:r>
        <w:rPr>
          <w:rFonts w:hint="eastAsia" w:ascii="仿宋" w:hAnsi="仿宋" w:eastAsia="仿宋" w:cs="仿宋"/>
          <w:sz w:val="32"/>
          <w:szCs w:val="32"/>
        </w:rPr>
        <w:t>负责拟制城市基础设施维护的发展战略和中长期规划；负责城区道路、桥涵、泵站、城市排水、城市路灯等市政公用设施的建设、维修养护及管理工作。</w:t>
      </w:r>
    </w:p>
    <w:p w14:paraId="72CC609D">
      <w:pPr>
        <w:adjustRightInd w:val="0"/>
        <w:snapToGrid w:val="0"/>
        <w:spacing w:line="580" w:lineRule="exact"/>
        <w:ind w:firstLine="640" w:firstLineChars="200"/>
        <w:rPr>
          <w:rFonts w:hint="eastAsia" w:ascii="仿宋" w:hAnsi="仿宋" w:eastAsia="仿宋" w:cs="仿宋"/>
          <w:sz w:val="32"/>
          <w:szCs w:val="32"/>
        </w:rPr>
      </w:pPr>
      <w:r>
        <w:rPr>
          <w:rFonts w:ascii="仿宋" w:hAnsi="仿宋" w:eastAsia="仿宋" w:cs="仿宋"/>
          <w:sz w:val="32"/>
          <w:szCs w:val="32"/>
        </w:rPr>
        <w:t>(</w:t>
      </w:r>
      <w:r>
        <w:rPr>
          <w:rFonts w:hint="eastAsia" w:ascii="仿宋" w:hAnsi="仿宋" w:eastAsia="仿宋" w:cs="仿宋"/>
          <w:sz w:val="32"/>
          <w:szCs w:val="32"/>
          <w:lang w:val="en-US" w:eastAsia="zh-CN"/>
        </w:rPr>
        <w:t>3</w:t>
      </w:r>
      <w:r>
        <w:rPr>
          <w:rFonts w:ascii="仿宋" w:hAnsi="仿宋" w:eastAsia="仿宋" w:cs="仿宋"/>
          <w:sz w:val="32"/>
          <w:szCs w:val="32"/>
        </w:rPr>
        <w:t>)</w:t>
      </w:r>
      <w:r>
        <w:rPr>
          <w:rFonts w:hint="eastAsia" w:ascii="仿宋" w:hAnsi="仿宋" w:eastAsia="仿宋" w:cs="仿宋"/>
          <w:sz w:val="32"/>
          <w:szCs w:val="32"/>
        </w:rPr>
        <w:t>负责城区主次干道、世纪大道、307国道、省道县道及廉州镇城中村的清扫保洁、垃圾转运工作；负责垃圾场、垃圾转运站、垃圾箱、城市公共厕所等公用设施的建设维护工作；负责城市环境卫生日常巡查工作；负责生活垃圾分类管理工作等。</w:t>
      </w:r>
    </w:p>
    <w:p w14:paraId="559CD9FD">
      <w:pPr>
        <w:adjustRightInd w:val="0"/>
        <w:snapToGrid w:val="0"/>
        <w:spacing w:line="580" w:lineRule="exact"/>
        <w:ind w:firstLine="640" w:firstLineChars="200"/>
        <w:rPr>
          <w:rFonts w:hint="eastAsia" w:ascii="仿宋" w:hAnsi="仿宋" w:eastAsia="仿宋" w:cs="仿宋"/>
          <w:sz w:val="32"/>
          <w:szCs w:val="32"/>
        </w:rPr>
      </w:pPr>
      <w:r>
        <w:rPr>
          <w:rFonts w:ascii="仿宋" w:hAnsi="仿宋" w:eastAsia="仿宋" w:cs="仿宋"/>
          <w:sz w:val="32"/>
          <w:szCs w:val="32"/>
        </w:rPr>
        <w:t>(</w:t>
      </w:r>
      <w:r>
        <w:rPr>
          <w:rFonts w:hint="eastAsia" w:ascii="仿宋" w:hAnsi="仿宋" w:eastAsia="仿宋" w:cs="仿宋"/>
          <w:sz w:val="32"/>
          <w:szCs w:val="32"/>
          <w:lang w:val="en-US" w:eastAsia="zh-CN"/>
        </w:rPr>
        <w:t>4</w:t>
      </w:r>
      <w:r>
        <w:rPr>
          <w:rFonts w:ascii="仿宋" w:hAnsi="仿宋" w:eastAsia="仿宋" w:cs="仿宋"/>
          <w:sz w:val="32"/>
          <w:szCs w:val="32"/>
        </w:rPr>
        <w:t>)</w:t>
      </w:r>
      <w:r>
        <w:rPr>
          <w:rFonts w:hint="eastAsia" w:ascii="仿宋" w:hAnsi="仿宋" w:eastAsia="仿宋" w:cs="仿宋"/>
          <w:sz w:val="32"/>
          <w:szCs w:val="32"/>
        </w:rPr>
        <w:t>参与制定年度绿化计划；负责建成区绿化规划设计，完成上级提出的绿化指标；负责园林绿地日常养护管理，指导、督促和巡查城市绿化工作；组织绿化技术咨询活动；负责花卉、苗木的培育、开发，引进、推广新品种及检疫工作；落实绿线管制制度，负责“绿色图章”使用；协助查处违反城市绿化法律、法规等行为。</w:t>
      </w:r>
    </w:p>
    <w:p w14:paraId="39AC1804">
      <w:pPr>
        <w:ind w:firstLine="640" w:firstLineChars="200"/>
        <w:rPr>
          <w:rFonts w:ascii="仿宋" w:hAnsi="仿宋" w:eastAsia="仿宋" w:cs="仿宋"/>
          <w:sz w:val="32"/>
          <w:szCs w:val="32"/>
        </w:rPr>
      </w:pPr>
      <w:r>
        <w:rPr>
          <w:rFonts w:ascii="仿宋" w:hAnsi="仿宋" w:eastAsia="仿宋" w:cs="仿宋"/>
          <w:sz w:val="32"/>
          <w:szCs w:val="32"/>
        </w:rPr>
        <w:t>(</w:t>
      </w:r>
      <w:r>
        <w:rPr>
          <w:rFonts w:hint="eastAsia" w:ascii="仿宋" w:hAnsi="仿宋" w:eastAsia="仿宋" w:cs="仿宋"/>
          <w:sz w:val="32"/>
          <w:szCs w:val="32"/>
          <w:lang w:val="en-US" w:eastAsia="zh-CN"/>
        </w:rPr>
        <w:t>5</w:t>
      </w:r>
      <w:r>
        <w:rPr>
          <w:rFonts w:ascii="仿宋" w:hAnsi="仿宋" w:eastAsia="仿宋" w:cs="仿宋"/>
          <w:sz w:val="32"/>
          <w:szCs w:val="32"/>
        </w:rPr>
        <w:t>)</w:t>
      </w:r>
      <w:r>
        <w:rPr>
          <w:rFonts w:hint="eastAsia" w:ascii="仿宋" w:hAnsi="仿宋" w:eastAsia="仿宋" w:cs="仿宋"/>
          <w:sz w:val="32"/>
          <w:szCs w:val="32"/>
        </w:rPr>
        <w:t>负责水上公园和儿童公园的养护管理，具体包括向社会提供休闲、娱乐、健身活动场所；常年向社会提供植物、花卉的管理知识咨询；对园内的植物进行日常绿化管护；搞好园内的环境卫生工作；做好园内游乐设施和设施设备的安全隐患排查和维修保养。</w:t>
      </w:r>
    </w:p>
    <w:p w14:paraId="25C77FF4">
      <w:pPr>
        <w:adjustRightInd w:val="0"/>
        <w:snapToGrid w:val="0"/>
        <w:spacing w:line="580" w:lineRule="exact"/>
        <w:ind w:firstLine="640" w:firstLineChars="200"/>
        <w:rPr>
          <w:rFonts w:ascii="仿宋" w:hAnsi="仿宋" w:eastAsia="仿宋" w:cs="仿宋"/>
          <w:sz w:val="32"/>
          <w:szCs w:val="32"/>
        </w:rPr>
      </w:pPr>
      <w:r>
        <w:rPr>
          <w:rFonts w:ascii="仿宋" w:hAnsi="仿宋" w:eastAsia="仿宋" w:cs="仿宋"/>
          <w:sz w:val="32"/>
          <w:szCs w:val="32"/>
        </w:rPr>
        <w:t>(</w:t>
      </w:r>
      <w:r>
        <w:rPr>
          <w:rFonts w:hint="eastAsia" w:ascii="仿宋" w:hAnsi="仿宋" w:eastAsia="仿宋" w:cs="仿宋"/>
          <w:sz w:val="32"/>
          <w:szCs w:val="32"/>
          <w:lang w:val="en-US" w:eastAsia="zh-CN"/>
        </w:rPr>
        <w:t>6</w:t>
      </w:r>
      <w:r>
        <w:rPr>
          <w:rFonts w:ascii="仿宋" w:hAnsi="仿宋" w:eastAsia="仿宋" w:cs="仿宋"/>
          <w:sz w:val="32"/>
          <w:szCs w:val="32"/>
        </w:rPr>
        <w:t>)</w:t>
      </w:r>
      <w:r>
        <w:rPr>
          <w:rFonts w:hint="eastAsia" w:ascii="仿宋" w:hAnsi="仿宋" w:eastAsia="仿宋" w:cs="仿宋"/>
          <w:sz w:val="32"/>
          <w:szCs w:val="32"/>
        </w:rPr>
        <w:t>负责城区主次干道、世纪大道、307国道、省道县道及廉州镇城中村的清扫保洁、垃圾转运工作；负责垃圾场、垃圾转运站、垃圾箱、城市公共厕所等公用设施的建设维护工作；负责城市环境卫生日常巡查工作；负责生活垃圾分类管理工作等。</w:t>
      </w:r>
    </w:p>
    <w:p w14:paraId="6EB3711C">
      <w:pPr>
        <w:ind w:firstLine="640" w:firstLineChars="200"/>
        <w:rPr>
          <w:rFonts w:hint="eastAsia" w:ascii="仿宋" w:hAnsi="仿宋" w:eastAsia="仿宋" w:cs="仿宋"/>
          <w:sz w:val="32"/>
          <w:szCs w:val="32"/>
          <w:lang w:eastAsia="zh-CN"/>
        </w:rPr>
      </w:pPr>
      <w:r>
        <w:rPr>
          <w:rFonts w:ascii="仿宋" w:hAnsi="仿宋" w:eastAsia="仿宋" w:cs="仿宋"/>
          <w:sz w:val="32"/>
          <w:szCs w:val="32"/>
        </w:rPr>
        <w:t>(</w:t>
      </w:r>
      <w:r>
        <w:rPr>
          <w:rFonts w:hint="eastAsia" w:ascii="仿宋" w:hAnsi="仿宋" w:eastAsia="仿宋" w:cs="仿宋"/>
          <w:sz w:val="32"/>
          <w:szCs w:val="32"/>
          <w:lang w:val="en-US" w:eastAsia="zh-CN"/>
        </w:rPr>
        <w:t>7</w:t>
      </w:r>
      <w:r>
        <w:rPr>
          <w:rFonts w:ascii="仿宋" w:hAnsi="仿宋" w:eastAsia="仿宋" w:cs="仿宋"/>
          <w:sz w:val="32"/>
          <w:szCs w:val="32"/>
        </w:rPr>
        <w:t>)</w:t>
      </w:r>
      <w:r>
        <w:rPr>
          <w:rFonts w:hint="eastAsia" w:ascii="仿宋" w:hAnsi="仿宋" w:eastAsia="仿宋" w:cs="仿宋"/>
          <w:sz w:val="32"/>
          <w:szCs w:val="32"/>
        </w:rPr>
        <w:t>加强建筑市场管理</w:t>
      </w:r>
      <w:r>
        <w:rPr>
          <w:rFonts w:hint="eastAsia" w:ascii="仿宋" w:hAnsi="仿宋" w:eastAsia="仿宋" w:cs="仿宋"/>
          <w:sz w:val="32"/>
          <w:szCs w:val="32"/>
          <w:lang w:eastAsia="zh-CN"/>
        </w:rPr>
        <w:t>，</w:t>
      </w:r>
      <w:r>
        <w:rPr>
          <w:rFonts w:hint="eastAsia" w:ascii="仿宋" w:hAnsi="仿宋" w:eastAsia="仿宋" w:cs="仿宋"/>
          <w:sz w:val="32"/>
          <w:szCs w:val="32"/>
        </w:rPr>
        <w:t>负责主城区内建筑施工噪声污染、扬尘污染等的行政处罚</w:t>
      </w:r>
      <w:r>
        <w:rPr>
          <w:rFonts w:hint="eastAsia" w:ascii="仿宋" w:hAnsi="仿宋" w:eastAsia="仿宋" w:cs="仿宋"/>
          <w:sz w:val="32"/>
          <w:szCs w:val="32"/>
          <w:lang w:eastAsia="zh-CN"/>
        </w:rPr>
        <w:t>。</w:t>
      </w:r>
    </w:p>
    <w:p w14:paraId="1A26A4E7">
      <w:pPr>
        <w:ind w:firstLine="640" w:firstLineChars="200"/>
        <w:rPr>
          <w:rFonts w:ascii="仿宋" w:hAnsi="仿宋" w:eastAsia="仿宋" w:cs="仿宋"/>
          <w:sz w:val="32"/>
          <w:szCs w:val="32"/>
        </w:rPr>
      </w:pPr>
      <w:r>
        <w:rPr>
          <w:rFonts w:ascii="仿宋" w:hAnsi="仿宋" w:eastAsia="仿宋" w:cs="仿宋"/>
          <w:sz w:val="32"/>
          <w:szCs w:val="32"/>
        </w:rPr>
        <w:t>(</w:t>
      </w:r>
      <w:r>
        <w:rPr>
          <w:rFonts w:hint="eastAsia" w:ascii="仿宋" w:hAnsi="仿宋" w:eastAsia="仿宋" w:cs="仿宋"/>
          <w:sz w:val="32"/>
          <w:szCs w:val="32"/>
          <w:lang w:val="en-US" w:eastAsia="zh-CN"/>
        </w:rPr>
        <w:t>8</w:t>
      </w:r>
      <w:r>
        <w:rPr>
          <w:rFonts w:ascii="仿宋" w:hAnsi="仿宋" w:eastAsia="仿宋" w:cs="仿宋"/>
          <w:sz w:val="32"/>
          <w:szCs w:val="32"/>
        </w:rPr>
        <w:t>)</w:t>
      </w:r>
      <w:r>
        <w:rPr>
          <w:rFonts w:hint="eastAsia" w:ascii="仿宋" w:hAnsi="仿宋" w:eastAsia="仿宋" w:cs="仿宋"/>
          <w:sz w:val="32"/>
          <w:szCs w:val="32"/>
        </w:rPr>
        <w:t>燃气热力市场监管 负责全市燃气热力市场的监管工作</w:t>
      </w:r>
      <w:r>
        <w:rPr>
          <w:rFonts w:ascii="仿宋" w:hAnsi="仿宋" w:eastAsia="仿宋" w:cs="仿宋"/>
          <w:sz w:val="32"/>
          <w:szCs w:val="32"/>
        </w:rPr>
        <w:tab/>
      </w:r>
      <w:r>
        <w:rPr>
          <w:rFonts w:hint="eastAsia" w:ascii="仿宋" w:hAnsi="仿宋" w:eastAsia="仿宋" w:cs="仿宋"/>
          <w:sz w:val="32"/>
          <w:szCs w:val="32"/>
        </w:rPr>
        <w:t>规范燃气热力市场，维护燃气热力市场秩序。</w:t>
      </w:r>
    </w:p>
    <w:p w14:paraId="4659D942">
      <w:pPr>
        <w:widowControl w:val="0"/>
        <w:wordWrap/>
        <w:adjustRightInd/>
        <w:snapToGrid w:val="0"/>
        <w:spacing w:line="560" w:lineRule="exact"/>
        <w:ind w:left="0" w:leftChars="0" w:right="0" w:firstLine="640" w:firstLineChars="200"/>
        <w:textAlignment w:val="auto"/>
        <w:outlineLvl w:val="9"/>
        <w:rPr>
          <w:rFonts w:hint="eastAsia" w:ascii="仿宋" w:hAnsi="仿宋" w:eastAsia="仿宋" w:cs="仿宋"/>
          <w:sz w:val="32"/>
          <w:szCs w:val="32"/>
          <w:lang w:eastAsia="zh-CN"/>
        </w:rPr>
      </w:pPr>
      <w:r>
        <w:rPr>
          <w:rFonts w:ascii="仿宋" w:hAnsi="仿宋" w:eastAsia="仿宋" w:cs="仿宋"/>
          <w:sz w:val="32"/>
          <w:szCs w:val="32"/>
        </w:rPr>
        <w:t>(</w:t>
      </w:r>
      <w:r>
        <w:rPr>
          <w:rFonts w:hint="eastAsia" w:ascii="仿宋" w:hAnsi="仿宋" w:eastAsia="仿宋" w:cs="仿宋"/>
          <w:sz w:val="32"/>
          <w:szCs w:val="32"/>
          <w:lang w:val="en-US" w:eastAsia="zh-CN"/>
        </w:rPr>
        <w:t>9</w:t>
      </w:r>
      <w:r>
        <w:rPr>
          <w:rFonts w:ascii="仿宋" w:hAnsi="仿宋" w:eastAsia="仿宋" w:cs="仿宋"/>
          <w:sz w:val="32"/>
          <w:szCs w:val="32"/>
        </w:rPr>
        <w:t>)</w:t>
      </w:r>
      <w:r>
        <w:rPr>
          <w:rFonts w:hint="eastAsia" w:ascii="仿宋" w:hAnsi="仿宋" w:eastAsia="仿宋" w:cs="仿宋"/>
          <w:sz w:val="32"/>
          <w:szCs w:val="32"/>
        </w:rPr>
        <w:t>负责污水处理运行维护管理；负责城区内企事业单位污水处理费征收管理工作及排水水量监督管理工作；做好行业主管部门监督检查区污水处理厂日常运行情况的职责，并对污水处理厂水质、水量进行监督管理；负责中水回用工程后续建设工作等。</w:t>
      </w:r>
    </w:p>
    <w:p w14:paraId="1986973A">
      <w:pPr>
        <w:widowControl w:val="0"/>
        <w:wordWrap/>
        <w:adjustRightInd/>
        <w:snapToGrid w:val="0"/>
        <w:spacing w:line="560" w:lineRule="exact"/>
        <w:ind w:left="0" w:leftChars="0" w:right="0" w:firstLine="640" w:firstLineChars="200"/>
        <w:textAlignment w:val="auto"/>
        <w:outlineLvl w:val="9"/>
        <w:rPr>
          <w:rFonts w:hint="eastAsia" w:ascii="仿宋" w:hAnsi="仿宋" w:eastAsia="仿宋" w:cs="仿宋"/>
          <w:sz w:val="32"/>
          <w:szCs w:val="32"/>
          <w:lang w:eastAsia="zh-CN"/>
        </w:rPr>
      </w:pPr>
      <w:r>
        <w:rPr>
          <w:rFonts w:hint="eastAsia" w:ascii="仿宋" w:hAnsi="仿宋" w:eastAsia="仿宋" w:cs="楷体_GB2312"/>
          <w:b w:val="0"/>
          <w:bCs w:val="0"/>
          <w:sz w:val="32"/>
          <w:szCs w:val="32"/>
        </w:rPr>
        <w:t>（</w:t>
      </w:r>
      <w:r>
        <w:rPr>
          <w:rFonts w:hint="eastAsia" w:ascii="仿宋" w:hAnsi="仿宋" w:eastAsia="仿宋" w:cs="楷体_GB2312"/>
          <w:b w:val="0"/>
          <w:bCs w:val="0"/>
          <w:sz w:val="32"/>
          <w:szCs w:val="32"/>
          <w:lang w:eastAsia="zh-CN"/>
        </w:rPr>
        <w:t>二</w:t>
      </w:r>
      <w:r>
        <w:rPr>
          <w:rFonts w:hint="eastAsia" w:ascii="仿宋" w:hAnsi="仿宋" w:eastAsia="仿宋" w:cs="楷体_GB2312"/>
          <w:b w:val="0"/>
          <w:bCs w:val="0"/>
          <w:sz w:val="32"/>
          <w:szCs w:val="32"/>
        </w:rPr>
        <w:t>）</w:t>
      </w:r>
      <w:r>
        <w:rPr>
          <w:rFonts w:hint="eastAsia" w:ascii="仿宋" w:hAnsi="仿宋" w:eastAsia="仿宋" w:cs="仿宋"/>
          <w:sz w:val="32"/>
          <w:szCs w:val="32"/>
        </w:rPr>
        <w:t>机构设置及人员数量，具体情况如下</w:t>
      </w:r>
      <w:r>
        <w:rPr>
          <w:rFonts w:hint="eastAsia" w:ascii="仿宋" w:hAnsi="仿宋" w:eastAsia="仿宋" w:cs="仿宋"/>
          <w:sz w:val="32"/>
          <w:szCs w:val="32"/>
          <w:lang w:eastAsia="zh-CN"/>
        </w:rPr>
        <w:t>：</w:t>
      </w:r>
    </w:p>
    <w:tbl>
      <w:tblPr>
        <w:tblStyle w:val="4"/>
        <w:tblpPr w:leftFromText="180" w:rightFromText="180" w:vertAnchor="text" w:horzAnchor="page" w:tblpXSpec="center" w:tblpY="10"/>
        <w:tblOverlap w:val="never"/>
        <w:tblW w:w="889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6211"/>
        <w:gridCol w:w="1701"/>
      </w:tblGrid>
      <w:tr w14:paraId="19B13C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985" w:type="dxa"/>
            <w:vAlign w:val="center"/>
          </w:tcPr>
          <w:p w14:paraId="27CBBF5B">
            <w:pPr>
              <w:spacing w:line="560" w:lineRule="exact"/>
              <w:jc w:val="center"/>
              <w:rPr>
                <w:rFonts w:ascii="仿宋" w:hAnsi="仿宋" w:eastAsia="仿宋" w:cs="仿宋"/>
                <w:sz w:val="32"/>
                <w:szCs w:val="32"/>
              </w:rPr>
            </w:pPr>
            <w:r>
              <w:rPr>
                <w:rFonts w:hint="eastAsia" w:ascii="仿宋" w:hAnsi="仿宋" w:eastAsia="仿宋" w:cs="仿宋"/>
                <w:sz w:val="32"/>
                <w:szCs w:val="32"/>
              </w:rPr>
              <w:t>序号</w:t>
            </w:r>
          </w:p>
        </w:tc>
        <w:tc>
          <w:tcPr>
            <w:tcW w:w="6211" w:type="dxa"/>
            <w:vAlign w:val="center"/>
          </w:tcPr>
          <w:p w14:paraId="0393EDB7">
            <w:pPr>
              <w:spacing w:line="560" w:lineRule="exact"/>
              <w:jc w:val="center"/>
              <w:rPr>
                <w:rFonts w:ascii="仿宋" w:hAnsi="仿宋" w:eastAsia="仿宋" w:cs="仿宋"/>
                <w:sz w:val="32"/>
                <w:szCs w:val="32"/>
              </w:rPr>
            </w:pPr>
            <w:r>
              <w:rPr>
                <w:rFonts w:hint="eastAsia" w:ascii="仿宋" w:hAnsi="仿宋" w:eastAsia="仿宋" w:cs="仿宋"/>
                <w:sz w:val="32"/>
                <w:szCs w:val="32"/>
              </w:rPr>
              <w:t>单位名称</w:t>
            </w:r>
          </w:p>
        </w:tc>
        <w:tc>
          <w:tcPr>
            <w:tcW w:w="1701" w:type="dxa"/>
            <w:vAlign w:val="center"/>
          </w:tcPr>
          <w:p w14:paraId="5376E64D">
            <w:pPr>
              <w:spacing w:line="560" w:lineRule="exact"/>
              <w:jc w:val="center"/>
              <w:rPr>
                <w:rFonts w:ascii="仿宋" w:hAnsi="仿宋" w:eastAsia="仿宋" w:cs="仿宋"/>
                <w:sz w:val="32"/>
                <w:szCs w:val="32"/>
              </w:rPr>
            </w:pPr>
            <w:r>
              <w:rPr>
                <w:rFonts w:hint="eastAsia" w:ascii="仿宋" w:hAnsi="仿宋" w:eastAsia="仿宋" w:cs="仿宋"/>
                <w:sz w:val="32"/>
                <w:szCs w:val="32"/>
              </w:rPr>
              <w:t>人员数量</w:t>
            </w:r>
          </w:p>
        </w:tc>
      </w:tr>
      <w:tr w14:paraId="3DC0B5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14:paraId="0F9312D5">
            <w:pPr>
              <w:spacing w:line="560" w:lineRule="exact"/>
              <w:jc w:val="center"/>
              <w:rPr>
                <w:rFonts w:hint="eastAsia" w:ascii="仿宋" w:hAnsi="仿宋" w:eastAsia="仿宋" w:cs="仿宋"/>
                <w:sz w:val="32"/>
                <w:szCs w:val="32"/>
                <w:lang w:eastAsia="zh-CN"/>
              </w:rPr>
            </w:pPr>
            <w:r>
              <w:rPr>
                <w:rFonts w:hint="eastAsia" w:ascii="仿宋" w:hAnsi="仿宋" w:eastAsia="仿宋" w:cs="仿宋"/>
                <w:sz w:val="32"/>
                <w:szCs w:val="32"/>
                <w:lang w:val="en-US" w:eastAsia="zh-CN"/>
              </w:rPr>
              <w:t>1</w:t>
            </w:r>
          </w:p>
        </w:tc>
        <w:tc>
          <w:tcPr>
            <w:tcW w:w="6211" w:type="dxa"/>
          </w:tcPr>
          <w:p w14:paraId="365576BB">
            <w:pPr>
              <w:spacing w:line="560" w:lineRule="exact"/>
              <w:rPr>
                <w:rFonts w:ascii="仿宋" w:hAnsi="仿宋" w:eastAsia="仿宋" w:cs="仿宋"/>
                <w:sz w:val="32"/>
                <w:szCs w:val="32"/>
              </w:rPr>
            </w:pPr>
            <w:r>
              <w:rPr>
                <w:rFonts w:hint="eastAsia" w:ascii="仿宋" w:hAnsi="仿宋" w:eastAsia="仿宋" w:cs="仿宋"/>
                <w:sz w:val="32"/>
                <w:szCs w:val="32"/>
              </w:rPr>
              <w:t>石家庄市藁城区城市管理综合执法大队</w:t>
            </w:r>
          </w:p>
        </w:tc>
        <w:tc>
          <w:tcPr>
            <w:tcW w:w="1701" w:type="dxa"/>
          </w:tcPr>
          <w:p w14:paraId="1C30B496">
            <w:pPr>
              <w:spacing w:line="560" w:lineRule="exact"/>
              <w:jc w:val="center"/>
              <w:rPr>
                <w:rFonts w:hint="default" w:ascii="仿宋" w:hAnsi="仿宋" w:eastAsia="仿宋" w:cs="仿宋"/>
                <w:sz w:val="32"/>
                <w:szCs w:val="32"/>
                <w:lang w:val="en-US" w:eastAsia="zh-CN"/>
              </w:rPr>
            </w:pPr>
            <w:r>
              <w:rPr>
                <w:rFonts w:hint="eastAsia" w:ascii="仿宋" w:hAnsi="仿宋" w:eastAsia="仿宋" w:cs="仿宋"/>
                <w:sz w:val="32"/>
                <w:szCs w:val="32"/>
                <w:lang w:val="en-US" w:eastAsia="zh-CN"/>
              </w:rPr>
              <w:t>153</w:t>
            </w:r>
          </w:p>
        </w:tc>
      </w:tr>
    </w:tbl>
    <w:p w14:paraId="72A40BEA">
      <w:pPr>
        <w:widowControl w:val="0"/>
        <w:wordWrap/>
        <w:adjustRightInd/>
        <w:snapToGrid w:val="0"/>
        <w:spacing w:line="560" w:lineRule="exact"/>
        <w:ind w:right="0"/>
        <w:textAlignment w:val="auto"/>
        <w:outlineLvl w:val="9"/>
        <w:rPr>
          <w:rFonts w:hint="eastAsia" w:ascii="仿宋" w:hAnsi="仿宋" w:eastAsia="仿宋" w:cs="仿宋"/>
          <w:sz w:val="32"/>
          <w:szCs w:val="32"/>
          <w:lang w:eastAsia="zh-CN"/>
        </w:rPr>
      </w:pPr>
    </w:p>
    <w:p w14:paraId="2ECD7727">
      <w:pPr>
        <w:snapToGrid w:val="0"/>
        <w:spacing w:line="560" w:lineRule="exact"/>
        <w:ind w:firstLine="640" w:firstLineChars="200"/>
      </w:pPr>
      <w:r>
        <w:rPr>
          <w:rFonts w:hint="eastAsia" w:ascii="仿宋" w:hAnsi="仿宋" w:eastAsia="仿宋" w:cs="楷体_GB2312"/>
          <w:b w:val="0"/>
          <w:bCs w:val="0"/>
          <w:sz w:val="32"/>
          <w:szCs w:val="32"/>
        </w:rPr>
        <w:t>（</w:t>
      </w:r>
      <w:r>
        <w:rPr>
          <w:rFonts w:hint="eastAsia" w:ascii="仿宋" w:hAnsi="仿宋" w:eastAsia="仿宋" w:cs="楷体_GB2312"/>
          <w:b w:val="0"/>
          <w:bCs w:val="0"/>
          <w:sz w:val="32"/>
          <w:szCs w:val="32"/>
          <w:lang w:eastAsia="zh-CN"/>
        </w:rPr>
        <w:t>三</w:t>
      </w:r>
      <w:r>
        <w:rPr>
          <w:rFonts w:hint="eastAsia" w:ascii="仿宋" w:hAnsi="仿宋" w:eastAsia="仿宋" w:cs="楷体_GB2312"/>
          <w:b w:val="0"/>
          <w:bCs w:val="0"/>
          <w:sz w:val="32"/>
          <w:szCs w:val="32"/>
        </w:rPr>
        <w:t>）</w:t>
      </w:r>
      <w:r>
        <w:rPr>
          <w:rFonts w:hint="eastAsia" w:ascii="仿宋" w:hAnsi="仿宋" w:eastAsia="仿宋" w:cs="仿宋"/>
          <w:sz w:val="32"/>
          <w:szCs w:val="32"/>
        </w:rPr>
        <w:t>202</w:t>
      </w:r>
      <w:r>
        <w:rPr>
          <w:rFonts w:hint="eastAsia" w:ascii="仿宋" w:hAnsi="仿宋" w:eastAsia="仿宋" w:cs="仿宋"/>
          <w:sz w:val="32"/>
          <w:szCs w:val="32"/>
          <w:lang w:val="en-US" w:eastAsia="zh-CN"/>
        </w:rPr>
        <w:t>2</w:t>
      </w:r>
      <w:r>
        <w:rPr>
          <w:rFonts w:hint="eastAsia" w:ascii="仿宋" w:hAnsi="仿宋" w:eastAsia="仿宋" w:cs="仿宋"/>
          <w:sz w:val="32"/>
          <w:szCs w:val="32"/>
        </w:rPr>
        <w:t>年部门决算收支完成情况如下：</w:t>
      </w:r>
    </w:p>
    <w:p w14:paraId="0E88C57D">
      <w:pPr>
        <w:snapToGrid w:val="0"/>
        <w:spacing w:line="560" w:lineRule="exact"/>
        <w:ind w:firstLine="640" w:firstLineChars="200"/>
        <w:rPr>
          <w:rFonts w:ascii="仿宋" w:hAnsi="仿宋" w:eastAsia="仿宋" w:cs="仿宋"/>
          <w:sz w:val="32"/>
          <w:szCs w:val="32"/>
        </w:rPr>
      </w:pPr>
      <w:r>
        <w:rPr>
          <w:rFonts w:hint="eastAsia" w:ascii="仿宋" w:hAnsi="仿宋" w:eastAsia="仿宋" w:cs="仿宋"/>
          <w:sz w:val="32"/>
          <w:szCs w:val="32"/>
        </w:rPr>
        <w:t>1. 全年收入为</w:t>
      </w:r>
      <w:r>
        <w:rPr>
          <w:rFonts w:hint="eastAsia" w:ascii="仿宋" w:hAnsi="仿宋" w:eastAsia="仿宋"/>
          <w:sz w:val="32"/>
          <w:szCs w:val="32"/>
          <w:lang w:val="en-US" w:eastAsia="zh-CN"/>
        </w:rPr>
        <w:t>32430.49万</w:t>
      </w:r>
      <w:r>
        <w:rPr>
          <w:rFonts w:hint="eastAsia" w:ascii="仿宋" w:hAnsi="仿宋" w:eastAsia="仿宋" w:cs="仿宋"/>
          <w:sz w:val="32"/>
          <w:szCs w:val="32"/>
        </w:rPr>
        <w:t>元，其中：财政拨款</w:t>
      </w:r>
      <w:bookmarkStart w:id="0" w:name="_GoBack"/>
      <w:bookmarkEnd w:id="0"/>
      <w:r>
        <w:rPr>
          <w:rFonts w:hint="eastAsia" w:ascii="仿宋" w:hAnsi="仿宋" w:eastAsia="仿宋" w:cs="仿宋"/>
          <w:sz w:val="32"/>
          <w:szCs w:val="32"/>
        </w:rPr>
        <w:t>收入</w:t>
      </w:r>
      <w:r>
        <w:rPr>
          <w:rFonts w:hint="eastAsia" w:ascii="仿宋" w:hAnsi="仿宋" w:eastAsia="仿宋"/>
          <w:sz w:val="32"/>
          <w:szCs w:val="32"/>
          <w:lang w:val="en-US" w:eastAsia="zh-CN"/>
        </w:rPr>
        <w:t>32430.49万</w:t>
      </w:r>
      <w:r>
        <w:rPr>
          <w:rFonts w:hint="eastAsia" w:ascii="仿宋" w:hAnsi="仿宋" w:eastAsia="仿宋" w:cs="仿宋"/>
          <w:sz w:val="32"/>
          <w:szCs w:val="32"/>
        </w:rPr>
        <w:t>元，非财政补助收入</w:t>
      </w:r>
      <w:r>
        <w:rPr>
          <w:rFonts w:hint="eastAsia" w:ascii="仿宋" w:hAnsi="仿宋" w:eastAsia="仿宋"/>
          <w:sz w:val="32"/>
          <w:szCs w:val="32"/>
        </w:rPr>
        <w:t>0</w:t>
      </w:r>
      <w:r>
        <w:rPr>
          <w:rFonts w:hint="eastAsia" w:ascii="仿宋" w:hAnsi="仿宋" w:eastAsia="仿宋" w:cs="仿宋"/>
          <w:sz w:val="32"/>
          <w:szCs w:val="32"/>
        </w:rPr>
        <w:t>元，202</w:t>
      </w:r>
      <w:r>
        <w:rPr>
          <w:rFonts w:hint="eastAsia" w:ascii="仿宋" w:hAnsi="仿宋" w:eastAsia="仿宋" w:cs="仿宋"/>
          <w:sz w:val="32"/>
          <w:szCs w:val="32"/>
          <w:lang w:val="en-US" w:eastAsia="zh-CN"/>
        </w:rPr>
        <w:t>1</w:t>
      </w:r>
      <w:r>
        <w:rPr>
          <w:rFonts w:hint="eastAsia" w:ascii="仿宋" w:hAnsi="仿宋" w:eastAsia="仿宋" w:cs="仿宋"/>
          <w:sz w:val="32"/>
          <w:szCs w:val="32"/>
        </w:rPr>
        <w:t>年财政拨款结转结余元。</w:t>
      </w:r>
    </w:p>
    <w:p w14:paraId="6127BE68">
      <w:pPr>
        <w:snapToGrid w:val="0"/>
        <w:spacing w:line="560" w:lineRule="exact"/>
        <w:ind w:firstLine="640" w:firstLineChars="200"/>
        <w:rPr>
          <w:rFonts w:ascii="仿宋" w:hAnsi="仿宋" w:eastAsia="仿宋" w:cs="仿宋"/>
          <w:sz w:val="32"/>
          <w:szCs w:val="32"/>
        </w:rPr>
      </w:pPr>
      <w:r>
        <w:rPr>
          <w:rFonts w:hint="eastAsia" w:ascii="仿宋" w:hAnsi="仿宋" w:eastAsia="仿宋" w:cs="仿宋"/>
          <w:sz w:val="32"/>
          <w:szCs w:val="32"/>
        </w:rPr>
        <w:t>2.全年支出为</w:t>
      </w:r>
      <w:r>
        <w:rPr>
          <w:rFonts w:hint="eastAsia" w:ascii="仿宋" w:hAnsi="仿宋" w:eastAsia="仿宋"/>
          <w:sz w:val="32"/>
          <w:szCs w:val="32"/>
          <w:lang w:val="en-US" w:eastAsia="zh-CN"/>
        </w:rPr>
        <w:t>32430.49万</w:t>
      </w:r>
      <w:r>
        <w:rPr>
          <w:rFonts w:hint="eastAsia" w:ascii="仿宋" w:hAnsi="仿宋" w:eastAsia="仿宋"/>
          <w:sz w:val="32"/>
          <w:szCs w:val="32"/>
        </w:rPr>
        <w:t>元。其中：</w:t>
      </w:r>
      <w:r>
        <w:rPr>
          <w:rFonts w:hint="eastAsia" w:ascii="仿宋" w:hAnsi="仿宋" w:eastAsia="仿宋"/>
          <w:sz w:val="32"/>
          <w:szCs w:val="32"/>
          <w:lang w:eastAsia="zh-CN"/>
        </w:rPr>
        <w:t>基本</w:t>
      </w:r>
      <w:r>
        <w:rPr>
          <w:rFonts w:hint="eastAsia" w:ascii="仿宋" w:hAnsi="仿宋" w:eastAsia="仿宋"/>
          <w:sz w:val="32"/>
          <w:szCs w:val="32"/>
        </w:rPr>
        <w:t>支出：</w:t>
      </w:r>
      <w:r>
        <w:rPr>
          <w:rFonts w:hint="eastAsia" w:ascii="仿宋" w:hAnsi="仿宋" w:eastAsia="仿宋"/>
          <w:sz w:val="32"/>
          <w:szCs w:val="32"/>
          <w:lang w:val="en-US" w:eastAsia="zh-CN"/>
        </w:rPr>
        <w:t>2641.6万</w:t>
      </w:r>
      <w:r>
        <w:rPr>
          <w:rFonts w:hint="eastAsia" w:ascii="仿宋" w:hAnsi="仿宋" w:eastAsia="仿宋"/>
          <w:sz w:val="32"/>
          <w:szCs w:val="32"/>
        </w:rPr>
        <w:t>元，项目支出</w:t>
      </w:r>
      <w:r>
        <w:rPr>
          <w:rFonts w:hint="eastAsia" w:ascii="仿宋" w:hAnsi="仿宋" w:eastAsia="仿宋"/>
          <w:sz w:val="32"/>
          <w:szCs w:val="32"/>
          <w:lang w:val="en-US" w:eastAsia="zh-CN"/>
        </w:rPr>
        <w:t>29788.89万</w:t>
      </w:r>
      <w:r>
        <w:rPr>
          <w:rFonts w:hint="eastAsia" w:ascii="仿宋" w:hAnsi="仿宋" w:eastAsia="仿宋"/>
          <w:sz w:val="32"/>
          <w:szCs w:val="32"/>
        </w:rPr>
        <w:t>元。</w:t>
      </w:r>
    </w:p>
    <w:p w14:paraId="541D79FE">
      <w:pPr>
        <w:snapToGrid w:val="0"/>
        <w:spacing w:line="560" w:lineRule="exact"/>
        <w:ind w:firstLine="640" w:firstLineChars="200"/>
        <w:rPr>
          <w:rFonts w:ascii="仿宋" w:hAnsi="仿宋" w:eastAsia="仿宋" w:cs="仿宋"/>
          <w:sz w:val="32"/>
          <w:szCs w:val="32"/>
        </w:rPr>
      </w:pPr>
      <w:r>
        <w:rPr>
          <w:rFonts w:hint="eastAsia" w:ascii="仿宋" w:hAnsi="仿宋" w:eastAsia="仿宋" w:cs="仿宋"/>
          <w:sz w:val="32"/>
          <w:szCs w:val="32"/>
        </w:rPr>
        <w:t>3、资金结存情况：财政拨款结转结余</w:t>
      </w:r>
      <w:r>
        <w:rPr>
          <w:rFonts w:hint="eastAsia" w:ascii="仿宋" w:hAnsi="仿宋" w:eastAsia="仿宋"/>
          <w:sz w:val="32"/>
          <w:szCs w:val="32"/>
        </w:rPr>
        <w:t>0</w:t>
      </w:r>
      <w:r>
        <w:rPr>
          <w:rFonts w:hint="eastAsia" w:ascii="仿宋" w:hAnsi="仿宋" w:eastAsia="仿宋" w:cs="仿宋"/>
          <w:sz w:val="32"/>
          <w:szCs w:val="32"/>
        </w:rPr>
        <w:t>元，其中财政拨款结转（项目结转）</w:t>
      </w:r>
      <w:r>
        <w:rPr>
          <w:rFonts w:hint="eastAsia" w:ascii="仿宋" w:hAnsi="仿宋" w:eastAsia="仿宋"/>
          <w:sz w:val="32"/>
          <w:szCs w:val="32"/>
        </w:rPr>
        <w:t>0</w:t>
      </w:r>
      <w:r>
        <w:rPr>
          <w:rFonts w:hint="eastAsia" w:ascii="仿宋" w:hAnsi="仿宋" w:eastAsia="仿宋" w:cs="仿宋"/>
          <w:sz w:val="32"/>
          <w:szCs w:val="32"/>
        </w:rPr>
        <w:t>元，财政结余</w:t>
      </w:r>
      <w:r>
        <w:rPr>
          <w:rFonts w:hint="eastAsia" w:ascii="仿宋" w:hAnsi="仿宋" w:eastAsia="仿宋"/>
          <w:sz w:val="32"/>
          <w:szCs w:val="32"/>
        </w:rPr>
        <w:t>0</w:t>
      </w:r>
      <w:r>
        <w:rPr>
          <w:rFonts w:hint="eastAsia" w:ascii="仿宋" w:hAnsi="仿宋" w:eastAsia="仿宋" w:cs="仿宋"/>
          <w:sz w:val="32"/>
          <w:szCs w:val="32"/>
        </w:rPr>
        <w:t>元，非财政拨款收入</w:t>
      </w:r>
      <w:r>
        <w:rPr>
          <w:rFonts w:hint="eastAsia" w:ascii="仿宋" w:hAnsi="仿宋" w:eastAsia="仿宋"/>
          <w:sz w:val="32"/>
          <w:szCs w:val="32"/>
        </w:rPr>
        <w:t>0</w:t>
      </w:r>
      <w:r>
        <w:rPr>
          <w:rFonts w:hint="eastAsia" w:ascii="仿宋" w:hAnsi="仿宋" w:eastAsia="仿宋" w:cs="仿宋"/>
          <w:sz w:val="32"/>
          <w:szCs w:val="32"/>
        </w:rPr>
        <w:t>元。</w:t>
      </w:r>
    </w:p>
    <w:p w14:paraId="2242F94E">
      <w:pPr>
        <w:snapToGrid w:val="0"/>
        <w:spacing w:line="560" w:lineRule="exact"/>
        <w:ind w:firstLine="640" w:firstLineChars="200"/>
        <w:rPr>
          <w:rFonts w:hint="eastAsia" w:ascii="仿宋" w:hAnsi="仿宋" w:eastAsia="仿宋" w:cs="黑体"/>
          <w:b w:val="0"/>
          <w:bCs w:val="0"/>
          <w:sz w:val="32"/>
          <w:szCs w:val="32"/>
        </w:rPr>
      </w:pPr>
      <w:r>
        <w:rPr>
          <w:rFonts w:hint="eastAsia" w:ascii="仿宋" w:hAnsi="仿宋" w:eastAsia="仿宋" w:cs="楷体_GB2312"/>
          <w:b w:val="0"/>
          <w:bCs w:val="0"/>
          <w:sz w:val="32"/>
          <w:szCs w:val="32"/>
        </w:rPr>
        <w:t>（</w:t>
      </w:r>
      <w:r>
        <w:rPr>
          <w:rFonts w:hint="eastAsia" w:ascii="仿宋" w:hAnsi="仿宋" w:eastAsia="仿宋" w:cs="楷体_GB2312"/>
          <w:b w:val="0"/>
          <w:bCs w:val="0"/>
          <w:sz w:val="32"/>
          <w:szCs w:val="32"/>
          <w:lang w:eastAsia="zh-CN"/>
        </w:rPr>
        <w:t>四</w:t>
      </w:r>
      <w:r>
        <w:rPr>
          <w:rFonts w:hint="eastAsia" w:ascii="仿宋" w:hAnsi="仿宋" w:eastAsia="仿宋" w:cs="楷体_GB2312"/>
          <w:b w:val="0"/>
          <w:bCs w:val="0"/>
          <w:sz w:val="32"/>
          <w:szCs w:val="32"/>
        </w:rPr>
        <w:t>）</w:t>
      </w:r>
      <w:r>
        <w:rPr>
          <w:rFonts w:hint="eastAsia" w:ascii="仿宋" w:hAnsi="仿宋" w:eastAsia="仿宋" w:cs="仿宋"/>
          <w:color w:val="auto"/>
          <w:sz w:val="32"/>
          <w:szCs w:val="32"/>
          <w:lang w:eastAsia="zh-CN"/>
        </w:rPr>
        <w:t>部门整体支出绩效目标指标</w:t>
      </w:r>
    </w:p>
    <w:p w14:paraId="367421BB">
      <w:pPr>
        <w:snapToGrid w:val="0"/>
        <w:spacing w:line="560" w:lineRule="exact"/>
        <w:ind w:firstLine="640" w:firstLineChars="200"/>
        <w:rPr>
          <w:rFonts w:ascii="仿宋" w:hAnsi="仿宋" w:eastAsia="仿宋" w:cs="黑体"/>
          <w:sz w:val="32"/>
          <w:szCs w:val="32"/>
        </w:rPr>
      </w:pPr>
      <w:r>
        <w:rPr>
          <w:rFonts w:hint="eastAsia" w:ascii="仿宋" w:hAnsi="仿宋" w:eastAsia="仿宋" w:cs="黑体"/>
          <w:sz w:val="32"/>
          <w:szCs w:val="32"/>
        </w:rPr>
        <w:t>1、部门总目标：</w:t>
      </w:r>
    </w:p>
    <w:p w14:paraId="512D7F8F">
      <w:pPr>
        <w:snapToGrid w:val="0"/>
        <w:spacing w:line="560" w:lineRule="exact"/>
        <w:ind w:firstLine="640" w:firstLineChars="200"/>
        <w:rPr>
          <w:rFonts w:ascii="仿宋" w:hAnsi="仿宋" w:eastAsia="仿宋" w:cs="黑体"/>
          <w:sz w:val="32"/>
          <w:szCs w:val="32"/>
        </w:rPr>
      </w:pPr>
      <w:r>
        <w:rPr>
          <w:rFonts w:hint="eastAsia" w:ascii="仿宋" w:hAnsi="仿宋" w:eastAsia="仿宋" w:cs="黑体"/>
          <w:sz w:val="32"/>
          <w:szCs w:val="32"/>
        </w:rPr>
        <w:t>部门整体绩效目标在石家庄市藁城区人民政府门户网站公开。</w:t>
      </w:r>
    </w:p>
    <w:p w14:paraId="7F5FF452">
      <w:pPr>
        <w:snapToGrid w:val="0"/>
        <w:spacing w:line="560" w:lineRule="exact"/>
        <w:ind w:firstLine="640" w:firstLineChars="200"/>
        <w:rPr>
          <w:rFonts w:ascii="仿宋" w:hAnsi="仿宋" w:eastAsia="仿宋" w:cs="黑体"/>
          <w:sz w:val="32"/>
          <w:szCs w:val="32"/>
        </w:rPr>
      </w:pPr>
      <w:r>
        <w:rPr>
          <w:rFonts w:hint="eastAsia" w:ascii="仿宋" w:hAnsi="仿宋" w:eastAsia="仿宋" w:cs="黑体"/>
          <w:sz w:val="32"/>
          <w:szCs w:val="32"/>
        </w:rPr>
        <w:t>2、预决算公开：</w:t>
      </w:r>
    </w:p>
    <w:p w14:paraId="0A76D3AF">
      <w:pPr>
        <w:snapToGrid w:val="0"/>
        <w:spacing w:line="560" w:lineRule="exact"/>
        <w:ind w:firstLine="640" w:firstLineChars="200"/>
        <w:rPr>
          <w:rFonts w:ascii="仿宋" w:hAnsi="仿宋" w:eastAsia="仿宋" w:cs="黑体"/>
          <w:sz w:val="32"/>
          <w:szCs w:val="32"/>
        </w:rPr>
      </w:pPr>
      <w:r>
        <w:rPr>
          <w:rFonts w:ascii="仿宋" w:hAnsi="仿宋" w:eastAsia="仿宋" w:cs="黑体"/>
          <w:sz w:val="32"/>
          <w:szCs w:val="32"/>
        </w:rPr>
        <w:t>部门预算</w:t>
      </w:r>
      <w:r>
        <w:rPr>
          <w:rFonts w:hint="eastAsia" w:ascii="仿宋" w:hAnsi="仿宋" w:eastAsia="仿宋" w:cs="黑体"/>
          <w:sz w:val="32"/>
          <w:szCs w:val="32"/>
        </w:rPr>
        <w:t>在石家庄市藁城区人民政府门户网站公开，</w:t>
      </w:r>
      <w:r>
        <w:rPr>
          <w:rFonts w:ascii="仿宋" w:hAnsi="仿宋" w:eastAsia="仿宋" w:cs="黑体"/>
          <w:sz w:val="32"/>
          <w:szCs w:val="32"/>
        </w:rPr>
        <w:t>部门</w:t>
      </w:r>
      <w:r>
        <w:rPr>
          <w:rFonts w:hint="eastAsia" w:ascii="仿宋" w:hAnsi="仿宋" w:eastAsia="仿宋" w:cs="黑体"/>
          <w:sz w:val="32"/>
          <w:szCs w:val="32"/>
        </w:rPr>
        <w:t>决</w:t>
      </w:r>
      <w:r>
        <w:rPr>
          <w:rFonts w:ascii="仿宋" w:hAnsi="仿宋" w:eastAsia="仿宋" w:cs="黑体"/>
          <w:sz w:val="32"/>
          <w:szCs w:val="32"/>
        </w:rPr>
        <w:t>算</w:t>
      </w:r>
      <w:r>
        <w:rPr>
          <w:rFonts w:hint="eastAsia" w:ascii="仿宋" w:hAnsi="仿宋" w:eastAsia="仿宋" w:cs="黑体"/>
          <w:sz w:val="32"/>
          <w:szCs w:val="32"/>
        </w:rPr>
        <w:t>将在决算完成后，在石家庄市藁城区人民政府门户网站公开。</w:t>
      </w:r>
    </w:p>
    <w:p w14:paraId="4C9ACD0D">
      <w:pPr>
        <w:ind w:firstLine="640"/>
        <w:rPr>
          <w:rFonts w:ascii="仿宋" w:hAnsi="仿宋" w:eastAsia="仿宋" w:cs="仿宋_GB2312"/>
          <w:sz w:val="32"/>
          <w:szCs w:val="32"/>
        </w:rPr>
      </w:pPr>
      <w:r>
        <w:rPr>
          <w:rFonts w:hint="eastAsia" w:ascii="仿宋" w:hAnsi="仿宋" w:eastAsia="仿宋" w:cs="仿宋_GB2312"/>
          <w:sz w:val="32"/>
          <w:szCs w:val="32"/>
        </w:rPr>
        <w:t>3、资产管理：资产管理工作有序完成。</w:t>
      </w:r>
      <w:r>
        <w:rPr>
          <w:rFonts w:ascii="仿宋" w:hAnsi="仿宋" w:eastAsia="仿宋" w:cs="仿宋_GB2312"/>
          <w:sz w:val="32"/>
          <w:szCs w:val="32"/>
        </w:rPr>
        <w:t xml:space="preserve"> </w:t>
      </w:r>
    </w:p>
    <w:p w14:paraId="4C3407BE">
      <w:pPr>
        <w:snapToGrid w:val="0"/>
        <w:spacing w:line="560" w:lineRule="exact"/>
        <w:ind w:firstLine="640" w:firstLineChars="200"/>
        <w:rPr>
          <w:rFonts w:ascii="仿宋" w:hAnsi="仿宋" w:eastAsia="仿宋" w:cs="仿宋_GB2312"/>
          <w:sz w:val="32"/>
          <w:szCs w:val="32"/>
        </w:rPr>
      </w:pPr>
      <w:r>
        <w:rPr>
          <w:rFonts w:hint="eastAsia" w:ascii="仿宋" w:hAnsi="仿宋" w:eastAsia="仿宋" w:cs="仿宋_GB2312"/>
          <w:sz w:val="32"/>
          <w:szCs w:val="32"/>
        </w:rPr>
        <w:t>4、三公经费控制情况：三公经费支出为0元。</w:t>
      </w:r>
    </w:p>
    <w:p w14:paraId="0A7C5173">
      <w:pPr>
        <w:snapToGrid w:val="0"/>
        <w:spacing w:line="560" w:lineRule="exact"/>
        <w:ind w:firstLine="640" w:firstLineChars="200"/>
        <w:rPr>
          <w:rFonts w:ascii="仿宋" w:hAnsi="仿宋" w:eastAsia="仿宋" w:cs="仿宋_GB2312"/>
          <w:sz w:val="32"/>
          <w:szCs w:val="32"/>
        </w:rPr>
      </w:pPr>
      <w:r>
        <w:rPr>
          <w:rFonts w:hint="eastAsia" w:ascii="仿宋" w:hAnsi="仿宋" w:eastAsia="仿宋" w:cs="仿宋_GB2312"/>
          <w:sz w:val="32"/>
          <w:szCs w:val="32"/>
        </w:rPr>
        <w:t>5、内部管理制度建设：</w:t>
      </w:r>
    </w:p>
    <w:p w14:paraId="66119234">
      <w:pPr>
        <w:snapToGrid w:val="0"/>
        <w:spacing w:line="560" w:lineRule="exact"/>
        <w:ind w:firstLine="640" w:firstLineChars="200"/>
        <w:rPr>
          <w:rFonts w:ascii="仿宋" w:hAnsi="仿宋" w:eastAsia="仿宋" w:cs="仿宋_GB2312"/>
          <w:sz w:val="32"/>
          <w:szCs w:val="32"/>
        </w:rPr>
      </w:pPr>
      <w:r>
        <w:rPr>
          <w:rFonts w:hint="eastAsia" w:ascii="仿宋" w:hAnsi="仿宋" w:eastAsia="仿宋" w:cs="仿宋_GB2312"/>
          <w:sz w:val="32"/>
          <w:szCs w:val="32"/>
        </w:rPr>
        <w:t>本部门设有内部控制工作手册，包括：内部控制基本制度、预算业务管理制度、收支业务管理制度、政府采购业务管理制度、资产管理制度、建设项目管理制度、合同管理制度、评价与监督管理制度等八项制度，为部门业务正常有序开展打下良好基础。</w:t>
      </w:r>
    </w:p>
    <w:p w14:paraId="3AEBC63C">
      <w:pPr>
        <w:snapToGrid w:val="0"/>
        <w:spacing w:line="560" w:lineRule="exact"/>
        <w:ind w:firstLine="640" w:firstLineChars="200"/>
        <w:rPr>
          <w:rFonts w:ascii="仿宋" w:hAnsi="仿宋" w:eastAsia="仿宋" w:cs="仿宋_GB2312"/>
          <w:sz w:val="32"/>
          <w:szCs w:val="32"/>
        </w:rPr>
      </w:pPr>
      <w:r>
        <w:rPr>
          <w:rFonts w:hint="eastAsia" w:ascii="仿宋" w:hAnsi="仿宋" w:eastAsia="仿宋" w:cs="仿宋_GB2312"/>
          <w:sz w:val="32"/>
          <w:szCs w:val="32"/>
        </w:rPr>
        <w:t xml:space="preserve">6、项目绩效总目标完成情况： </w:t>
      </w:r>
    </w:p>
    <w:p w14:paraId="7DE65E20">
      <w:pPr>
        <w:snapToGrid w:val="0"/>
        <w:spacing w:line="560" w:lineRule="exact"/>
        <w:ind w:firstLine="640" w:firstLineChars="200"/>
        <w:rPr>
          <w:rFonts w:hint="eastAsia" w:ascii="仿宋" w:hAnsi="仿宋" w:eastAsia="仿宋" w:cs="仿宋_GB2312"/>
          <w:sz w:val="32"/>
          <w:szCs w:val="32"/>
          <w:lang w:eastAsia="zh-CN"/>
        </w:rPr>
      </w:pPr>
      <w:r>
        <w:rPr>
          <w:rFonts w:hint="eastAsia" w:ascii="仿宋" w:hAnsi="仿宋" w:eastAsia="仿宋" w:cs="仿宋_GB2312"/>
          <w:sz w:val="32"/>
          <w:szCs w:val="32"/>
        </w:rPr>
        <w:t>202</w:t>
      </w:r>
      <w:r>
        <w:rPr>
          <w:rFonts w:hint="eastAsia" w:ascii="仿宋" w:hAnsi="仿宋" w:eastAsia="仿宋" w:cs="仿宋_GB2312"/>
          <w:sz w:val="32"/>
          <w:szCs w:val="32"/>
          <w:lang w:val="en-US" w:eastAsia="zh-CN"/>
        </w:rPr>
        <w:t>2</w:t>
      </w:r>
      <w:r>
        <w:rPr>
          <w:rFonts w:hint="eastAsia" w:ascii="仿宋" w:hAnsi="仿宋" w:eastAsia="仿宋" w:cs="仿宋_GB2312"/>
          <w:sz w:val="32"/>
          <w:szCs w:val="32"/>
        </w:rPr>
        <w:t>年度本部门共有</w:t>
      </w:r>
      <w:r>
        <w:rPr>
          <w:rFonts w:hint="eastAsia" w:ascii="仿宋" w:hAnsi="仿宋" w:eastAsia="仿宋" w:cs="仿宋_GB2312"/>
          <w:sz w:val="32"/>
          <w:szCs w:val="32"/>
          <w:lang w:val="en-US" w:eastAsia="zh-CN"/>
        </w:rPr>
        <w:t>73</w:t>
      </w:r>
      <w:r>
        <w:rPr>
          <w:rFonts w:hint="eastAsia" w:ascii="仿宋" w:hAnsi="仿宋" w:eastAsia="仿宋" w:cs="仿宋_GB2312"/>
          <w:sz w:val="32"/>
          <w:szCs w:val="32"/>
        </w:rPr>
        <w:t>个项目，其中债券项目共</w:t>
      </w:r>
      <w:r>
        <w:rPr>
          <w:rFonts w:hint="eastAsia" w:ascii="仿宋" w:hAnsi="仿宋" w:eastAsia="仿宋" w:cs="仿宋_GB2312"/>
          <w:sz w:val="32"/>
          <w:szCs w:val="32"/>
          <w:lang w:val="en-US" w:eastAsia="zh-CN"/>
        </w:rPr>
        <w:t>26</w:t>
      </w:r>
      <w:r>
        <w:rPr>
          <w:rFonts w:hint="eastAsia" w:ascii="仿宋" w:hAnsi="仿宋" w:eastAsia="仿宋" w:cs="仿宋_GB2312"/>
          <w:sz w:val="32"/>
          <w:szCs w:val="32"/>
        </w:rPr>
        <w:t>个，优秀项目</w:t>
      </w:r>
      <w:r>
        <w:rPr>
          <w:rFonts w:hint="eastAsia" w:ascii="仿宋" w:hAnsi="仿宋" w:eastAsia="仿宋" w:cs="仿宋_GB2312"/>
          <w:sz w:val="32"/>
          <w:szCs w:val="32"/>
          <w:lang w:val="en-US" w:eastAsia="zh-CN"/>
        </w:rPr>
        <w:t>26</w:t>
      </w:r>
      <w:r>
        <w:rPr>
          <w:rFonts w:hint="eastAsia" w:ascii="仿宋" w:hAnsi="仿宋" w:eastAsia="仿宋" w:cs="仿宋_GB2312"/>
          <w:sz w:val="32"/>
          <w:szCs w:val="32"/>
        </w:rPr>
        <w:t>个；其他项目</w:t>
      </w:r>
      <w:r>
        <w:rPr>
          <w:rFonts w:hint="eastAsia" w:ascii="仿宋" w:hAnsi="仿宋" w:eastAsia="仿宋" w:cs="仿宋_GB2312"/>
          <w:sz w:val="32"/>
          <w:szCs w:val="32"/>
          <w:lang w:val="en-US" w:eastAsia="zh-CN"/>
        </w:rPr>
        <w:t>47</w:t>
      </w:r>
      <w:r>
        <w:rPr>
          <w:rFonts w:hint="eastAsia" w:ascii="仿宋" w:hAnsi="仿宋" w:eastAsia="仿宋" w:cs="仿宋_GB2312"/>
          <w:sz w:val="32"/>
          <w:szCs w:val="32"/>
        </w:rPr>
        <w:t>个，优秀项目</w:t>
      </w:r>
      <w:r>
        <w:rPr>
          <w:rFonts w:hint="eastAsia" w:ascii="仿宋" w:hAnsi="仿宋" w:eastAsia="仿宋" w:cs="仿宋_GB2312"/>
          <w:sz w:val="32"/>
          <w:szCs w:val="32"/>
          <w:lang w:val="en-US" w:eastAsia="zh-CN"/>
        </w:rPr>
        <w:t>47</w:t>
      </w:r>
      <w:r>
        <w:rPr>
          <w:rFonts w:hint="eastAsia" w:ascii="仿宋" w:hAnsi="仿宋" w:eastAsia="仿宋" w:cs="仿宋_GB2312"/>
          <w:sz w:val="32"/>
          <w:szCs w:val="32"/>
        </w:rPr>
        <w:t>个。绩效目标设定为产出指标、预算执行率指标、效益指标和满意度指标。产出指标设置为质量指标、时效指标、数量指标</w:t>
      </w:r>
      <w:r>
        <w:rPr>
          <w:rFonts w:hint="eastAsia" w:ascii="仿宋" w:hAnsi="仿宋" w:eastAsia="仿宋" w:cs="仿宋_GB2312"/>
          <w:sz w:val="32"/>
          <w:szCs w:val="32"/>
          <w:lang w:eastAsia="zh-CN"/>
        </w:rPr>
        <w:t>、成本指标</w:t>
      </w:r>
      <w:r>
        <w:rPr>
          <w:rFonts w:hint="eastAsia" w:ascii="仿宋" w:hAnsi="仿宋" w:eastAsia="仿宋" w:cs="仿宋_GB2312"/>
          <w:sz w:val="32"/>
          <w:szCs w:val="32"/>
        </w:rPr>
        <w:t>；预算执行率指标主要反映的是资金下达数与资金执行数的情况；效益指标一般分为社会效益指标或者生态效益指标，社会效益指标主要体现的是该项目对城区建设、人民生活质量、农村环境治理、城市形象等方面的影响，生态效益指标一般体现的是该项目在保护生态环境、改善环境质量方面的作用；满意度指标主要体现的是服务对象对该项目的满意程度</w:t>
      </w:r>
      <w:r>
        <w:rPr>
          <w:rFonts w:hint="eastAsia" w:ascii="仿宋" w:hAnsi="仿宋" w:eastAsia="仿宋" w:cs="仿宋_GB2312"/>
          <w:sz w:val="32"/>
          <w:szCs w:val="32"/>
          <w:lang w:eastAsia="zh-CN"/>
        </w:rPr>
        <w:t>。</w:t>
      </w:r>
    </w:p>
    <w:p w14:paraId="0325E534">
      <w:pPr>
        <w:widowControl w:val="0"/>
        <w:wordWrap/>
        <w:adjustRightInd/>
        <w:snapToGrid w:val="0"/>
        <w:spacing w:line="560" w:lineRule="exact"/>
        <w:ind w:left="0" w:leftChars="0" w:right="0" w:firstLine="640" w:firstLineChars="200"/>
        <w:textAlignment w:val="auto"/>
        <w:outlineLvl w:val="9"/>
        <w:rPr>
          <w:rFonts w:ascii="黑体" w:hAnsi="黑体" w:eastAsia="黑体" w:cs="黑体"/>
          <w:sz w:val="32"/>
          <w:szCs w:val="32"/>
        </w:rPr>
      </w:pPr>
      <w:r>
        <w:rPr>
          <w:rFonts w:hint="eastAsia" w:ascii="黑体" w:hAnsi="黑体" w:eastAsia="黑体" w:cs="黑体"/>
          <w:sz w:val="32"/>
          <w:szCs w:val="32"/>
        </w:rPr>
        <w:t>二、绩效</w:t>
      </w:r>
      <w:r>
        <w:rPr>
          <w:rFonts w:hint="eastAsia" w:ascii="黑体" w:hAnsi="黑体" w:eastAsia="黑体" w:cs="黑体"/>
          <w:sz w:val="32"/>
          <w:szCs w:val="32"/>
          <w:lang w:eastAsia="zh-CN"/>
        </w:rPr>
        <w:t>自评工作开展</w:t>
      </w:r>
      <w:r>
        <w:rPr>
          <w:rFonts w:hint="eastAsia" w:ascii="黑体" w:hAnsi="黑体" w:eastAsia="黑体" w:cs="黑体"/>
          <w:sz w:val="32"/>
          <w:szCs w:val="32"/>
        </w:rPr>
        <w:t>情况</w:t>
      </w:r>
    </w:p>
    <w:p w14:paraId="2F9C03C2">
      <w:pPr>
        <w:snapToGrid w:val="0"/>
        <w:spacing w:line="360" w:lineRule="auto"/>
        <w:ind w:firstLine="640" w:firstLineChars="200"/>
        <w:rPr>
          <w:rFonts w:hint="eastAsia" w:ascii="仿宋" w:hAnsi="仿宋" w:eastAsia="仿宋" w:cs="仿宋"/>
          <w:sz w:val="32"/>
          <w:szCs w:val="32"/>
        </w:rPr>
      </w:pPr>
      <w:r>
        <w:rPr>
          <w:rFonts w:ascii="仿宋" w:hAnsi="仿宋" w:eastAsia="仿宋" w:cs="仿宋"/>
          <w:sz w:val="32"/>
          <w:szCs w:val="32"/>
        </w:rPr>
        <w:t>为加强财政支出管理，提高财政资金使用效益，根据《</w:t>
      </w:r>
      <w:r>
        <w:rPr>
          <w:rFonts w:hint="eastAsia" w:ascii="仿宋" w:hAnsi="仿宋" w:eastAsia="仿宋" w:cs="仿宋"/>
          <w:sz w:val="32"/>
          <w:szCs w:val="32"/>
        </w:rPr>
        <w:t>藁城区区级部门预算绩效管理工作考核办法（试行）</w:t>
      </w:r>
      <w:r>
        <w:rPr>
          <w:rFonts w:ascii="仿宋" w:hAnsi="仿宋" w:eastAsia="仿宋" w:cs="仿宋"/>
          <w:sz w:val="32"/>
          <w:szCs w:val="32"/>
        </w:rPr>
        <w:t>》（</w:t>
      </w:r>
      <w:r>
        <w:rPr>
          <w:rFonts w:hint="eastAsia" w:ascii="仿宋" w:hAnsi="仿宋" w:eastAsia="仿宋" w:cs="仿宋"/>
          <w:sz w:val="32"/>
          <w:szCs w:val="32"/>
        </w:rPr>
        <w:t>藁</w:t>
      </w:r>
      <w:r>
        <w:rPr>
          <w:rFonts w:ascii="仿宋" w:hAnsi="仿宋" w:eastAsia="仿宋" w:cs="仿宋"/>
          <w:sz w:val="32"/>
          <w:szCs w:val="32"/>
        </w:rPr>
        <w:t>财</w:t>
      </w:r>
      <w:r>
        <w:rPr>
          <w:rFonts w:hint="eastAsia" w:ascii="仿宋" w:hAnsi="仿宋" w:eastAsia="仿宋" w:cs="仿宋"/>
          <w:sz w:val="32"/>
          <w:szCs w:val="32"/>
        </w:rPr>
        <w:t>字</w:t>
      </w:r>
      <w:r>
        <w:rPr>
          <w:rFonts w:ascii="仿宋" w:hAnsi="仿宋" w:eastAsia="仿宋" w:cs="仿宋"/>
          <w:sz w:val="32"/>
          <w:szCs w:val="32"/>
        </w:rPr>
        <w:t>〔20</w:t>
      </w:r>
      <w:r>
        <w:rPr>
          <w:rFonts w:hint="eastAsia" w:ascii="仿宋" w:hAnsi="仿宋" w:eastAsia="仿宋" w:cs="仿宋"/>
          <w:sz w:val="32"/>
          <w:szCs w:val="32"/>
        </w:rPr>
        <w:t>20</w:t>
      </w:r>
      <w:r>
        <w:rPr>
          <w:rFonts w:ascii="仿宋" w:hAnsi="仿宋" w:eastAsia="仿宋" w:cs="仿宋"/>
          <w:sz w:val="32"/>
          <w:szCs w:val="32"/>
        </w:rPr>
        <w:t>〕25号）、《</w:t>
      </w:r>
      <w:r>
        <w:rPr>
          <w:rFonts w:hint="eastAsia" w:ascii="仿宋" w:hAnsi="仿宋" w:eastAsia="仿宋" w:cs="仿宋"/>
          <w:sz w:val="32"/>
          <w:szCs w:val="32"/>
        </w:rPr>
        <w:t>藁城区区级部门预算绩效目标设定规范</w:t>
      </w:r>
      <w:r>
        <w:rPr>
          <w:rFonts w:ascii="仿宋" w:hAnsi="仿宋" w:eastAsia="仿宋" w:cs="仿宋"/>
          <w:sz w:val="32"/>
          <w:szCs w:val="32"/>
        </w:rPr>
        <w:t>》（</w:t>
      </w:r>
      <w:r>
        <w:rPr>
          <w:rFonts w:hint="eastAsia" w:ascii="仿宋" w:hAnsi="仿宋" w:eastAsia="仿宋" w:cs="仿宋"/>
          <w:sz w:val="32"/>
          <w:szCs w:val="32"/>
        </w:rPr>
        <w:t>藁</w:t>
      </w:r>
      <w:r>
        <w:rPr>
          <w:rFonts w:ascii="仿宋" w:hAnsi="仿宋" w:eastAsia="仿宋" w:cs="仿宋"/>
          <w:sz w:val="32"/>
          <w:szCs w:val="32"/>
        </w:rPr>
        <w:t>财</w:t>
      </w:r>
      <w:r>
        <w:rPr>
          <w:rFonts w:hint="eastAsia" w:ascii="仿宋" w:hAnsi="仿宋" w:eastAsia="仿宋" w:cs="仿宋"/>
          <w:sz w:val="32"/>
          <w:szCs w:val="32"/>
        </w:rPr>
        <w:t>字</w:t>
      </w:r>
      <w:r>
        <w:rPr>
          <w:rFonts w:ascii="仿宋" w:hAnsi="仿宋" w:eastAsia="仿宋" w:cs="仿宋"/>
          <w:sz w:val="32"/>
          <w:szCs w:val="32"/>
        </w:rPr>
        <w:t>〔20</w:t>
      </w:r>
      <w:r>
        <w:rPr>
          <w:rFonts w:hint="eastAsia" w:ascii="仿宋" w:hAnsi="仿宋" w:eastAsia="仿宋" w:cs="仿宋"/>
          <w:sz w:val="32"/>
          <w:szCs w:val="32"/>
        </w:rPr>
        <w:t>20</w:t>
      </w:r>
      <w:r>
        <w:rPr>
          <w:rFonts w:ascii="仿宋" w:hAnsi="仿宋" w:eastAsia="仿宋" w:cs="仿宋"/>
          <w:sz w:val="32"/>
          <w:szCs w:val="32"/>
        </w:rPr>
        <w:t>〕2</w:t>
      </w:r>
      <w:r>
        <w:rPr>
          <w:rFonts w:hint="eastAsia" w:ascii="仿宋" w:hAnsi="仿宋" w:eastAsia="仿宋" w:cs="仿宋"/>
          <w:sz w:val="32"/>
          <w:szCs w:val="32"/>
        </w:rPr>
        <w:t>4</w:t>
      </w:r>
      <w:r>
        <w:rPr>
          <w:rFonts w:ascii="仿宋" w:hAnsi="仿宋" w:eastAsia="仿宋" w:cs="仿宋"/>
          <w:sz w:val="32"/>
          <w:szCs w:val="32"/>
        </w:rPr>
        <w:t>号）、《</w:t>
      </w:r>
      <w:r>
        <w:rPr>
          <w:rFonts w:hint="eastAsia" w:ascii="仿宋" w:hAnsi="仿宋" w:eastAsia="仿宋" w:cs="仿宋"/>
          <w:sz w:val="32"/>
          <w:szCs w:val="32"/>
        </w:rPr>
        <w:t>全面推进预算绩效管理工作实施方案</w:t>
      </w:r>
      <w:r>
        <w:rPr>
          <w:rFonts w:ascii="仿宋" w:hAnsi="仿宋" w:eastAsia="仿宋" w:cs="仿宋"/>
          <w:sz w:val="32"/>
          <w:szCs w:val="32"/>
        </w:rPr>
        <w:t>》（</w:t>
      </w:r>
      <w:r>
        <w:rPr>
          <w:rFonts w:hint="eastAsia" w:ascii="仿宋" w:hAnsi="仿宋" w:eastAsia="仿宋" w:cs="仿宋"/>
          <w:sz w:val="32"/>
          <w:szCs w:val="32"/>
        </w:rPr>
        <w:t>藁</w:t>
      </w:r>
      <w:r>
        <w:rPr>
          <w:rFonts w:ascii="仿宋" w:hAnsi="仿宋" w:eastAsia="仿宋" w:cs="仿宋"/>
          <w:sz w:val="32"/>
          <w:szCs w:val="32"/>
        </w:rPr>
        <w:t>财</w:t>
      </w:r>
      <w:r>
        <w:rPr>
          <w:rFonts w:hint="eastAsia" w:ascii="仿宋" w:hAnsi="仿宋" w:eastAsia="仿宋" w:cs="仿宋"/>
          <w:sz w:val="32"/>
          <w:szCs w:val="32"/>
        </w:rPr>
        <w:t>字</w:t>
      </w:r>
      <w:r>
        <w:rPr>
          <w:rFonts w:ascii="仿宋" w:hAnsi="仿宋" w:eastAsia="仿宋" w:cs="仿宋"/>
          <w:sz w:val="32"/>
          <w:szCs w:val="32"/>
        </w:rPr>
        <w:t>〔20</w:t>
      </w:r>
      <w:r>
        <w:rPr>
          <w:rFonts w:hint="eastAsia" w:ascii="仿宋" w:hAnsi="仿宋" w:eastAsia="仿宋" w:cs="仿宋"/>
          <w:sz w:val="32"/>
          <w:szCs w:val="32"/>
        </w:rPr>
        <w:t>20</w:t>
      </w:r>
      <w:r>
        <w:rPr>
          <w:rFonts w:ascii="仿宋" w:hAnsi="仿宋" w:eastAsia="仿宋" w:cs="仿宋"/>
          <w:sz w:val="32"/>
          <w:szCs w:val="32"/>
        </w:rPr>
        <w:t>〕2</w:t>
      </w:r>
      <w:r>
        <w:rPr>
          <w:rFonts w:hint="eastAsia" w:ascii="仿宋" w:hAnsi="仿宋" w:eastAsia="仿宋" w:cs="仿宋"/>
          <w:sz w:val="32"/>
          <w:szCs w:val="32"/>
        </w:rPr>
        <w:t>9</w:t>
      </w:r>
      <w:r>
        <w:rPr>
          <w:rFonts w:ascii="仿宋" w:hAnsi="仿宋" w:eastAsia="仿宋" w:cs="仿宋"/>
          <w:sz w:val="32"/>
          <w:szCs w:val="32"/>
        </w:rPr>
        <w:t>号）等文件精神，结合实际，我单位</w:t>
      </w:r>
      <w:r>
        <w:rPr>
          <w:rFonts w:hint="eastAsia" w:ascii="仿宋" w:hAnsi="仿宋" w:eastAsia="仿宋"/>
          <w:sz w:val="32"/>
          <w:szCs w:val="32"/>
        </w:rPr>
        <w:t>遵循“科学性、规范性、客观性和公正性”的原则，</w:t>
      </w:r>
      <w:r>
        <w:rPr>
          <w:rFonts w:ascii="仿宋" w:hAnsi="仿宋" w:eastAsia="仿宋" w:cs="仿宋"/>
          <w:sz w:val="32"/>
          <w:szCs w:val="32"/>
        </w:rPr>
        <w:t>组织成立了绩效评价工作小组</w:t>
      </w:r>
      <w:r>
        <w:rPr>
          <w:rFonts w:hint="eastAsia" w:ascii="仿宋" w:hAnsi="仿宋" w:eastAsia="仿宋" w:cs="仿宋"/>
          <w:sz w:val="32"/>
          <w:szCs w:val="32"/>
        </w:rPr>
        <w:t>。</w:t>
      </w:r>
    </w:p>
    <w:p w14:paraId="34F0ACCE">
      <w:pPr>
        <w:snapToGrid w:val="0"/>
        <w:spacing w:line="360" w:lineRule="auto"/>
        <w:ind w:firstLine="640" w:firstLineChars="200"/>
        <w:rPr>
          <w:rFonts w:ascii="仿宋" w:hAnsi="仿宋" w:eastAsia="仿宋" w:cs="仿宋"/>
          <w:sz w:val="32"/>
          <w:szCs w:val="32"/>
        </w:rPr>
      </w:pPr>
      <w:r>
        <w:rPr>
          <w:rFonts w:hint="eastAsia" w:ascii="仿宋" w:hAnsi="仿宋" w:eastAsia="仿宋" w:cs="仿宋"/>
          <w:sz w:val="32"/>
          <w:szCs w:val="32"/>
        </w:rPr>
        <w:t>联系相关项目科室负责人召开专门工作会议，分发给各科室需填报项目资料，包括需填报项目清单、财政预算项目库绩效目标表、项目支出绩效评价共性指标体系框架、省住建厅绩效指标规范、绩效共性指标规范等。在会议中明确了绩效自评的工作要求，由各科室负责本科室的需绩效自评项目填报内容，保证填报效果。各科室按要求时间</w:t>
      </w:r>
      <w:r>
        <w:rPr>
          <w:rFonts w:ascii="仿宋" w:hAnsi="仿宋" w:eastAsia="仿宋" w:cs="仿宋"/>
          <w:sz w:val="32"/>
          <w:szCs w:val="32"/>
        </w:rPr>
        <w:t>报送项目绩效自评报告、自评表及相关资料。</w:t>
      </w:r>
    </w:p>
    <w:p w14:paraId="08AD47AD">
      <w:pPr>
        <w:snapToGrid w:val="0"/>
        <w:spacing w:line="360" w:lineRule="auto"/>
        <w:ind w:firstLine="640" w:firstLineChars="200"/>
        <w:rPr>
          <w:rFonts w:hint="eastAsia" w:ascii="仿宋" w:hAnsi="仿宋" w:eastAsia="仿宋" w:cs="仿宋"/>
          <w:sz w:val="32"/>
          <w:szCs w:val="32"/>
          <w:lang w:eastAsia="zh-CN"/>
        </w:rPr>
      </w:pPr>
      <w:r>
        <w:rPr>
          <w:rFonts w:ascii="仿宋" w:hAnsi="仿宋" w:eastAsia="仿宋" w:cs="仿宋"/>
          <w:sz w:val="32"/>
          <w:szCs w:val="32"/>
        </w:rPr>
        <w:t>评价小组采取座谈等方式听取情况，检查</w:t>
      </w:r>
      <w:r>
        <w:rPr>
          <w:rFonts w:hint="eastAsia" w:ascii="仿宋" w:hAnsi="仿宋" w:eastAsia="仿宋" w:cs="仿宋"/>
          <w:sz w:val="32"/>
          <w:szCs w:val="32"/>
        </w:rPr>
        <w:t>项目</w:t>
      </w:r>
      <w:r>
        <w:rPr>
          <w:rFonts w:ascii="仿宋" w:hAnsi="仿宋" w:eastAsia="仿宋" w:cs="仿宋"/>
          <w:sz w:val="32"/>
          <w:szCs w:val="32"/>
        </w:rPr>
        <w:t>支出有关账目，收集整理支出相关资料，并根据各部门报送的绩效自评材料进行分析、总结</w:t>
      </w:r>
      <w:r>
        <w:rPr>
          <w:rFonts w:hint="eastAsia" w:ascii="仿宋" w:hAnsi="仿宋" w:eastAsia="仿宋" w:cs="仿宋"/>
          <w:sz w:val="32"/>
          <w:szCs w:val="32"/>
        </w:rPr>
        <w:t>，</w:t>
      </w:r>
      <w:r>
        <w:rPr>
          <w:rFonts w:ascii="仿宋" w:hAnsi="仿宋" w:eastAsia="仿宋" w:cs="仿宋"/>
          <w:sz w:val="32"/>
          <w:szCs w:val="32"/>
        </w:rPr>
        <w:t>开展绩效评价工作。</w:t>
      </w:r>
    </w:p>
    <w:p w14:paraId="6585EFA9">
      <w:pPr>
        <w:widowControl w:val="0"/>
        <w:numPr>
          <w:ilvl w:val="0"/>
          <w:numId w:val="1"/>
        </w:numPr>
        <w:wordWrap/>
        <w:adjustRightInd/>
        <w:snapToGrid w:val="0"/>
        <w:spacing w:line="560" w:lineRule="exact"/>
        <w:ind w:left="-10" w:leftChars="0" w:right="0" w:firstLine="640" w:firstLineChars="0"/>
        <w:textAlignment w:val="auto"/>
        <w:outlineLvl w:val="9"/>
        <w:rPr>
          <w:rFonts w:hint="eastAsia" w:ascii="黑体" w:hAnsi="黑体" w:eastAsia="黑体" w:cs="黑体"/>
          <w:sz w:val="32"/>
          <w:szCs w:val="32"/>
          <w:lang w:eastAsia="zh-CN"/>
        </w:rPr>
      </w:pPr>
      <w:r>
        <w:rPr>
          <w:rFonts w:hint="eastAsia" w:ascii="黑体" w:hAnsi="黑体" w:eastAsia="黑体" w:cs="黑体"/>
          <w:sz w:val="32"/>
          <w:szCs w:val="32"/>
          <w:lang w:eastAsia="zh-CN"/>
        </w:rPr>
        <w:t>部门整体支出绩效目标实现情况及指标分析</w:t>
      </w:r>
    </w:p>
    <w:p w14:paraId="26F700EE">
      <w:pPr>
        <w:ind w:firstLine="640" w:firstLineChars="200"/>
        <w:rPr>
          <w:rFonts w:hint="eastAsia" w:ascii="仿宋" w:hAnsi="仿宋" w:eastAsia="仿宋" w:cs="仿宋"/>
          <w:sz w:val="32"/>
          <w:szCs w:val="32"/>
          <w:lang w:eastAsia="zh-CN"/>
        </w:rPr>
      </w:pPr>
      <w:r>
        <w:rPr>
          <w:rFonts w:hint="eastAsia" w:ascii="仿宋" w:hAnsi="仿宋" w:eastAsia="仿宋" w:cs="仿宋"/>
          <w:sz w:val="32"/>
          <w:szCs w:val="32"/>
          <w:lang w:val="en-US" w:eastAsia="zh-CN"/>
        </w:rPr>
        <w:t>城市管理综合行政执法局为</w:t>
      </w:r>
      <w:r>
        <w:rPr>
          <w:rFonts w:hint="eastAsia" w:ascii="仿宋" w:hAnsi="仿宋" w:eastAsia="仿宋" w:cs="仿宋"/>
          <w:sz w:val="32"/>
          <w:szCs w:val="32"/>
          <w:lang w:eastAsia="zh-CN"/>
        </w:rPr>
        <w:t>贯彻和落实中央和省委、市委及区委关于城市管理工作的方针政策和决策部署，坚持和加强城市管理工作的集中统一领导，</w:t>
      </w:r>
      <w:r>
        <w:rPr>
          <w:rFonts w:hint="eastAsia" w:ascii="仿宋" w:hAnsi="仿宋" w:eastAsia="仿宋" w:cs="仿宋"/>
          <w:sz w:val="32"/>
          <w:szCs w:val="32"/>
          <w:lang w:val="en-US" w:eastAsia="zh-CN"/>
        </w:rPr>
        <w:t>2022年城管局</w:t>
      </w:r>
      <w:r>
        <w:rPr>
          <w:rFonts w:hint="eastAsia" w:ascii="仿宋" w:hAnsi="仿宋" w:eastAsia="仿宋" w:cs="仿宋"/>
          <w:sz w:val="32"/>
          <w:szCs w:val="32"/>
          <w:lang w:eastAsia="zh-CN"/>
        </w:rPr>
        <w:t>整体绩效如下：</w:t>
      </w:r>
    </w:p>
    <w:p w14:paraId="7EC7A6AC">
      <w:pPr>
        <w:ind w:firstLine="640" w:firstLineChars="200"/>
        <w:rPr>
          <w:rFonts w:hint="eastAsia" w:ascii="仿宋" w:hAnsi="仿宋" w:eastAsia="仿宋" w:cs="仿宋"/>
          <w:sz w:val="32"/>
          <w:szCs w:val="32"/>
          <w:lang w:eastAsia="zh-CN"/>
        </w:rPr>
      </w:pPr>
      <w:r>
        <w:rPr>
          <w:rFonts w:hint="eastAsia" w:ascii="仿宋" w:hAnsi="仿宋" w:eastAsia="仿宋" w:cs="仿宋"/>
          <w:sz w:val="32"/>
          <w:szCs w:val="32"/>
          <w:lang w:eastAsia="zh-CN"/>
        </w:rPr>
        <w:t>负责主城区市容管理、监察并对各乡镇、开发区城市管理综合行政执法工作监督指导，机动执法；组织开展市容维护行动，依法拆除各类违建，规范牌匾，切实提升市貌；负责市区道路、桥梁维修、养护管理，确保市政设施齐整、完好；积极组织宣传垃圾分类，深入群众调查研究，通过建设示范单位等，提高居民参与率和投放准确率；维护公园设施保障居民娱乐健身需求；对城区进行绿化和日常养护，提升城市形象；保障数字城管系统正常运行，提高城市智能化管理水平。建立健全运行机制，扩展服务功能，改善服务手段，提升服务能力。认真落实垃圾处理相关政策，完成生活垃圾的减量化、无害化、资源化处理；建设停车场，解决停车难的问题；减少道路扬尘、维护环境卫生，落实国家级卫生城市创建工作；规范燃气热力市场，维护燃气热力市场秩序。加强建筑市场管理；做好行业主管部门监督检查区污水处理厂日常运行情况的职责，并对污水处理厂水质、水量进行监督管理，负责中水回用工程后续建设工作等；负责主城区内建筑施工噪声污染、扬尘污染等的行政处罚。深化改革创新，防范化解重大风险，加强作风建设，积极进取、奋发有为，努力开创新时代城管工作新局面。</w:t>
      </w:r>
    </w:p>
    <w:p w14:paraId="0025346D">
      <w:pPr>
        <w:widowControl w:val="0"/>
        <w:numPr>
          <w:ilvl w:val="0"/>
          <w:numId w:val="1"/>
        </w:numPr>
        <w:wordWrap/>
        <w:adjustRightInd/>
        <w:snapToGrid w:val="0"/>
        <w:spacing w:line="560" w:lineRule="exact"/>
        <w:ind w:left="-10" w:leftChars="0" w:right="0" w:firstLine="640" w:firstLineChars="0"/>
        <w:textAlignment w:val="auto"/>
        <w:outlineLvl w:val="9"/>
        <w:rPr>
          <w:rFonts w:hint="eastAsia" w:ascii="黑体" w:hAnsi="黑体" w:eastAsia="黑体" w:cs="黑体"/>
          <w:sz w:val="32"/>
          <w:szCs w:val="32"/>
          <w:lang w:eastAsia="zh-CN"/>
        </w:rPr>
      </w:pPr>
      <w:r>
        <w:rPr>
          <w:rFonts w:hint="eastAsia" w:ascii="黑体" w:hAnsi="黑体" w:eastAsia="黑体" w:cs="黑体"/>
          <w:sz w:val="32"/>
          <w:szCs w:val="32"/>
          <w:lang w:eastAsia="zh-CN"/>
        </w:rPr>
        <w:t>评价结论和评价等级</w:t>
      </w:r>
    </w:p>
    <w:p w14:paraId="4F1C48CB">
      <w:pPr>
        <w:snapToGrid w:val="0"/>
        <w:spacing w:line="560" w:lineRule="exact"/>
        <w:ind w:firstLine="640" w:firstLineChars="200"/>
        <w:rPr>
          <w:rFonts w:hint="eastAsia" w:ascii="黑体" w:hAnsi="黑体" w:eastAsia="黑体" w:cs="黑体"/>
          <w:b w:val="0"/>
          <w:bCs w:val="0"/>
          <w:sz w:val="32"/>
          <w:szCs w:val="32"/>
          <w:lang w:eastAsia="zh-CN"/>
        </w:rPr>
      </w:pPr>
      <w:r>
        <w:rPr>
          <w:rFonts w:hint="eastAsia" w:ascii="仿宋" w:hAnsi="仿宋" w:eastAsia="仿宋" w:cs="仿宋_GB2312"/>
          <w:sz w:val="32"/>
          <w:szCs w:val="32"/>
        </w:rPr>
        <w:t>绩效目标设定为产出指标、预算执行率指标、效益指标和满意度指标。产出指标设置为质量指标、时效指标、数量指标等，能够较为清晰、全面地反映项目绩效的完成情况；预算执行率指标主要反映的是资金下达数与资金执行数的情况，可以较为准确、科学合理的体现财务室的资金执行情况，清晰明了的反映项目的绩效完成情况；效益指标一般分为社会效益指标或者生态效益指标，社会效益指标主要体现的是该项目对城区建设、人民生活质量、农村环境治理、城市形象等方面的影响，生态效益指标一般体现的是该项目在保护生态环境、改善环境质量方面的作用。效益指标可以较为全面恰当的体现绩效对社会、生态的作用；满意度指标主要体现的是服务对象对该项目的满意程度，一般通过问卷、询问等方式来进项调查统计，可以较为清晰地反映该项目的完成情况和实际完成效果。202</w:t>
      </w:r>
      <w:r>
        <w:rPr>
          <w:rFonts w:hint="eastAsia" w:ascii="仿宋" w:hAnsi="仿宋" w:eastAsia="仿宋" w:cs="仿宋_GB2312"/>
          <w:sz w:val="32"/>
          <w:szCs w:val="32"/>
          <w:lang w:val="en-US" w:eastAsia="zh-CN"/>
        </w:rPr>
        <w:t>2</w:t>
      </w:r>
      <w:r>
        <w:rPr>
          <w:rFonts w:hint="eastAsia" w:ascii="仿宋" w:hAnsi="仿宋" w:eastAsia="仿宋" w:cs="仿宋_GB2312"/>
          <w:sz w:val="32"/>
          <w:szCs w:val="32"/>
        </w:rPr>
        <w:t>年度本部门共有</w:t>
      </w:r>
      <w:r>
        <w:rPr>
          <w:rFonts w:hint="eastAsia" w:ascii="仿宋" w:hAnsi="仿宋" w:eastAsia="仿宋" w:cs="仿宋_GB2312"/>
          <w:sz w:val="32"/>
          <w:szCs w:val="32"/>
          <w:lang w:val="en-US" w:eastAsia="zh-CN"/>
        </w:rPr>
        <w:t>72</w:t>
      </w:r>
      <w:r>
        <w:rPr>
          <w:rFonts w:hint="eastAsia" w:ascii="仿宋" w:hAnsi="仿宋" w:eastAsia="仿宋" w:cs="仿宋_GB2312"/>
          <w:sz w:val="32"/>
          <w:szCs w:val="32"/>
        </w:rPr>
        <w:t>个项目，其中债券项目共</w:t>
      </w:r>
      <w:r>
        <w:rPr>
          <w:rFonts w:hint="eastAsia" w:ascii="仿宋" w:hAnsi="仿宋" w:eastAsia="仿宋" w:cs="仿宋_GB2312"/>
          <w:sz w:val="32"/>
          <w:szCs w:val="32"/>
          <w:lang w:val="en-US" w:eastAsia="zh-CN"/>
        </w:rPr>
        <w:t>25</w:t>
      </w:r>
      <w:r>
        <w:rPr>
          <w:rFonts w:hint="eastAsia" w:ascii="仿宋" w:hAnsi="仿宋" w:eastAsia="仿宋" w:cs="仿宋_GB2312"/>
          <w:sz w:val="32"/>
          <w:szCs w:val="32"/>
        </w:rPr>
        <w:t>个，优秀项目</w:t>
      </w:r>
      <w:r>
        <w:rPr>
          <w:rFonts w:hint="eastAsia" w:ascii="仿宋" w:hAnsi="仿宋" w:eastAsia="仿宋" w:cs="仿宋_GB2312"/>
          <w:sz w:val="32"/>
          <w:szCs w:val="32"/>
          <w:lang w:val="en-US" w:eastAsia="zh-CN"/>
        </w:rPr>
        <w:t>25</w:t>
      </w:r>
      <w:r>
        <w:rPr>
          <w:rFonts w:hint="eastAsia" w:ascii="仿宋" w:hAnsi="仿宋" w:eastAsia="仿宋" w:cs="仿宋_GB2312"/>
          <w:sz w:val="32"/>
          <w:szCs w:val="32"/>
        </w:rPr>
        <w:t>个</w:t>
      </w:r>
      <w:r>
        <w:rPr>
          <w:rFonts w:hint="eastAsia" w:ascii="仿宋" w:hAnsi="仿宋" w:eastAsia="仿宋" w:cs="仿宋_GB2312"/>
          <w:sz w:val="32"/>
          <w:szCs w:val="32"/>
          <w:lang w:eastAsia="zh-CN"/>
        </w:rPr>
        <w:t>；</w:t>
      </w:r>
      <w:r>
        <w:rPr>
          <w:rFonts w:hint="eastAsia" w:ascii="仿宋" w:hAnsi="仿宋" w:eastAsia="仿宋" w:cs="仿宋_GB2312"/>
          <w:sz w:val="32"/>
          <w:szCs w:val="32"/>
        </w:rPr>
        <w:t>其他项目</w:t>
      </w:r>
      <w:r>
        <w:rPr>
          <w:rFonts w:hint="eastAsia" w:ascii="仿宋" w:hAnsi="仿宋" w:eastAsia="仿宋" w:cs="仿宋_GB2312"/>
          <w:sz w:val="32"/>
          <w:szCs w:val="32"/>
          <w:lang w:val="en-US" w:eastAsia="zh-CN"/>
        </w:rPr>
        <w:t>47</w:t>
      </w:r>
      <w:r>
        <w:rPr>
          <w:rFonts w:hint="eastAsia" w:ascii="仿宋" w:hAnsi="仿宋" w:eastAsia="仿宋" w:cs="仿宋_GB2312"/>
          <w:sz w:val="32"/>
          <w:szCs w:val="32"/>
        </w:rPr>
        <w:t>个，优秀项目</w:t>
      </w:r>
      <w:r>
        <w:rPr>
          <w:rFonts w:hint="eastAsia" w:ascii="仿宋" w:hAnsi="仿宋" w:eastAsia="仿宋" w:cs="仿宋_GB2312"/>
          <w:sz w:val="32"/>
          <w:szCs w:val="32"/>
          <w:lang w:val="en-US" w:eastAsia="zh-CN"/>
        </w:rPr>
        <w:t>47</w:t>
      </w:r>
      <w:r>
        <w:rPr>
          <w:rFonts w:hint="eastAsia" w:ascii="仿宋" w:hAnsi="仿宋" w:eastAsia="仿宋" w:cs="仿宋_GB2312"/>
          <w:sz w:val="32"/>
          <w:szCs w:val="32"/>
        </w:rPr>
        <w:t>个</w:t>
      </w:r>
      <w:r>
        <w:rPr>
          <w:rFonts w:hint="eastAsia" w:ascii="仿宋" w:hAnsi="仿宋" w:eastAsia="仿宋" w:cs="仿宋_GB2312"/>
          <w:sz w:val="32"/>
          <w:szCs w:val="32"/>
          <w:lang w:eastAsia="zh-CN"/>
        </w:rPr>
        <w:t>。</w:t>
      </w:r>
    </w:p>
    <w:p w14:paraId="1EE9C4E4">
      <w:pPr>
        <w:widowControl w:val="0"/>
        <w:wordWrap/>
        <w:adjustRightInd/>
        <w:snapToGrid w:val="0"/>
        <w:spacing w:line="560" w:lineRule="exact"/>
        <w:ind w:left="0" w:leftChars="0" w:right="0" w:firstLine="640" w:firstLineChars="200"/>
        <w:textAlignment w:val="auto"/>
        <w:outlineLvl w:val="9"/>
        <w:rPr>
          <w:rFonts w:hint="eastAsia" w:ascii="仿宋" w:hAnsi="仿宋" w:eastAsia="仿宋" w:cs="仿宋_GB2312"/>
          <w:sz w:val="32"/>
          <w:szCs w:val="32"/>
        </w:rPr>
      </w:pPr>
      <w:r>
        <w:rPr>
          <w:rFonts w:hint="eastAsia" w:ascii="黑体" w:hAnsi="黑体" w:eastAsia="黑体" w:cs="黑体"/>
          <w:b w:val="0"/>
          <w:bCs w:val="0"/>
          <w:sz w:val="32"/>
          <w:szCs w:val="32"/>
          <w:lang w:eastAsia="zh-CN"/>
        </w:rPr>
        <w:t>五</w:t>
      </w:r>
      <w:r>
        <w:rPr>
          <w:rFonts w:hint="eastAsia" w:ascii="黑体" w:hAnsi="黑体" w:eastAsia="黑体" w:cs="黑体"/>
          <w:b w:val="0"/>
          <w:bCs w:val="0"/>
          <w:sz w:val="32"/>
          <w:szCs w:val="32"/>
        </w:rPr>
        <w:t>、整改措</w:t>
      </w:r>
      <w:r>
        <w:rPr>
          <w:rFonts w:hint="eastAsia" w:ascii="黑体" w:hAnsi="黑体" w:eastAsia="黑体" w:cs="黑体"/>
          <w:sz w:val="32"/>
          <w:szCs w:val="32"/>
        </w:rPr>
        <w:t>施及结果应用</w:t>
      </w:r>
    </w:p>
    <w:p w14:paraId="7DC636C3">
      <w:pPr>
        <w:snapToGrid w:val="0"/>
        <w:spacing w:line="560" w:lineRule="exact"/>
        <w:ind w:firstLine="640" w:firstLineChars="200"/>
        <w:rPr>
          <w:rFonts w:ascii="仿宋" w:hAnsi="仿宋" w:eastAsia="仿宋" w:cs="仿宋_GB2312"/>
          <w:sz w:val="32"/>
          <w:szCs w:val="32"/>
        </w:rPr>
      </w:pPr>
      <w:r>
        <w:rPr>
          <w:rFonts w:hint="eastAsia" w:ascii="仿宋" w:hAnsi="仿宋" w:eastAsia="仿宋" w:cs="仿宋_GB2312"/>
          <w:sz w:val="32"/>
          <w:szCs w:val="32"/>
          <w:lang w:val="en-US" w:eastAsia="zh-CN"/>
        </w:rPr>
        <w:t>1</w:t>
      </w:r>
      <w:r>
        <w:rPr>
          <w:rFonts w:hint="eastAsia" w:ascii="仿宋" w:hAnsi="仿宋" w:eastAsia="仿宋" w:cs="仿宋_GB2312"/>
          <w:sz w:val="32"/>
          <w:szCs w:val="32"/>
        </w:rPr>
        <w:t>、针对存在的问题本部门需进一步细化部门项目指标，提高绩效指标设置的科学性，项目绩效评价指标做到详细可操作，更加合理地安排预算资金，减少预算调整事项。</w:t>
      </w:r>
    </w:p>
    <w:p w14:paraId="09690A61">
      <w:pPr>
        <w:snapToGrid w:val="0"/>
        <w:spacing w:line="560" w:lineRule="exact"/>
        <w:ind w:firstLine="640" w:firstLineChars="200"/>
        <w:rPr>
          <w:rFonts w:ascii="仿宋" w:hAnsi="仿宋" w:eastAsia="仿宋" w:cs="仿宋_GB2312"/>
          <w:sz w:val="32"/>
          <w:szCs w:val="32"/>
        </w:rPr>
      </w:pPr>
      <w:r>
        <w:rPr>
          <w:rFonts w:hint="eastAsia" w:ascii="仿宋" w:hAnsi="仿宋" w:eastAsia="仿宋" w:cs="仿宋_GB2312"/>
          <w:sz w:val="32"/>
          <w:szCs w:val="32"/>
          <w:lang w:val="en-US" w:eastAsia="zh-CN"/>
        </w:rPr>
        <w:t>2</w:t>
      </w:r>
      <w:r>
        <w:rPr>
          <w:rFonts w:hint="eastAsia" w:ascii="仿宋" w:hAnsi="仿宋" w:eastAsia="仿宋" w:cs="仿宋_GB2312"/>
          <w:sz w:val="32"/>
          <w:szCs w:val="32"/>
        </w:rPr>
        <w:t>、</w:t>
      </w:r>
      <w:r>
        <w:rPr>
          <w:rFonts w:ascii="仿宋" w:hAnsi="仿宋" w:eastAsia="仿宋" w:cs="仿宋_GB2312"/>
          <w:sz w:val="32"/>
          <w:szCs w:val="32"/>
        </w:rPr>
        <w:t>在日常工作中加强对绩效工作相关数据的收集、汇总及保存，保证数据的及时性、准确性，从而提高预算绩效管理工作效率。</w:t>
      </w:r>
    </w:p>
    <w:p w14:paraId="6794A792">
      <w:pPr>
        <w:widowControl w:val="0"/>
        <w:wordWrap/>
        <w:adjustRightInd/>
        <w:snapToGrid w:val="0"/>
        <w:spacing w:line="560" w:lineRule="exact"/>
        <w:ind w:left="0" w:leftChars="0" w:right="0" w:firstLine="640" w:firstLineChars="200"/>
        <w:textAlignment w:val="auto"/>
        <w:outlineLvl w:val="9"/>
        <w:rPr>
          <w:rFonts w:hint="eastAsia" w:ascii="黑体" w:hAnsi="黑体" w:eastAsia="黑体" w:cs="黑体"/>
          <w:b w:val="0"/>
          <w:bCs w:val="0"/>
          <w:sz w:val="32"/>
          <w:szCs w:val="32"/>
          <w:lang w:eastAsia="zh-CN"/>
        </w:rPr>
      </w:pPr>
      <w:r>
        <w:rPr>
          <w:rFonts w:hint="eastAsia" w:ascii="仿宋" w:hAnsi="仿宋" w:eastAsia="仿宋" w:cs="仿宋_GB2312"/>
          <w:sz w:val="32"/>
          <w:szCs w:val="32"/>
          <w:lang w:val="en-US" w:eastAsia="zh-CN"/>
        </w:rPr>
        <w:t>3</w:t>
      </w:r>
      <w:r>
        <w:rPr>
          <w:rFonts w:hint="eastAsia" w:ascii="仿宋" w:hAnsi="仿宋" w:eastAsia="仿宋" w:cs="仿宋_GB2312"/>
          <w:sz w:val="32"/>
          <w:szCs w:val="32"/>
        </w:rPr>
        <w:t>、</w:t>
      </w:r>
      <w:r>
        <w:rPr>
          <w:rFonts w:ascii="仿宋" w:hAnsi="仿宋" w:eastAsia="仿宋" w:cs="仿宋_GB2312"/>
          <w:sz w:val="32"/>
          <w:szCs w:val="32"/>
        </w:rPr>
        <w:t>加强绩效目标管理，以绩效目标为导向，优化资源配置为目的，提高财政资金使用绩效。做到预算编制严谨、预算执行到位，进一步优化预算绩效指标体系，设置可量化可衡量的预算绩效指标</w:t>
      </w:r>
      <w:r>
        <w:rPr>
          <w:rFonts w:hint="eastAsia" w:ascii="仿宋" w:hAnsi="仿宋" w:eastAsia="仿宋" w:cs="仿宋_GB2312"/>
          <w:sz w:val="32"/>
          <w:szCs w:val="32"/>
        </w:rPr>
        <w:t>。对支出有延误的项目可以适当裁减预算资金，督促加快支出进度。</w:t>
      </w:r>
    </w:p>
    <w:p w14:paraId="211556AC">
      <w:pPr>
        <w:widowControl w:val="0"/>
        <w:numPr>
          <w:ilvl w:val="0"/>
          <w:numId w:val="0"/>
        </w:numPr>
        <w:wordWrap/>
        <w:adjustRightInd/>
        <w:snapToGrid w:val="0"/>
        <w:spacing w:line="560" w:lineRule="exact"/>
        <w:ind w:left="630" w:leftChars="0" w:right="0" w:rightChars="0"/>
        <w:textAlignment w:val="auto"/>
        <w:outlineLvl w:val="9"/>
        <w:rPr>
          <w:rFonts w:hint="eastAsia" w:ascii="仿宋" w:hAnsi="仿宋" w:eastAsia="仿宋" w:cs="仿宋"/>
          <w:sz w:val="32"/>
          <w:szCs w:val="32"/>
          <w:lang w:eastAsia="zh-CN"/>
        </w:rPr>
      </w:pPr>
    </w:p>
    <w:sectPr>
      <w:headerReference r:id="rId3" w:type="default"/>
      <w:footerReference r:id="rId4" w:type="default"/>
      <w:pgSz w:w="11906" w:h="16838"/>
      <w:pgMar w:top="2041" w:right="1304" w:bottom="1701" w:left="1531" w:header="851" w:footer="992" w:gutter="0"/>
      <w:pgNumType w:fmt="numberInDash"/>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7A"/>
    <w:family w:val="auto"/>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
    <w:panose1 w:val="02010609060101010101"/>
    <w:charset w:val="86"/>
    <w:family w:val="auto"/>
    <w:pitch w:val="default"/>
    <w:sig w:usb0="800002BF" w:usb1="38CF7CFA" w:usb2="00000016" w:usb3="00000000" w:csb0="00040001" w:csb1="00000000"/>
  </w:font>
  <w:font w:name="仿宋_GB2312">
    <w:altName w:val="仿宋"/>
    <w:panose1 w:val="00000000000000000000"/>
    <w:charset w:val="86"/>
    <w:family w:val="modern"/>
    <w:pitch w:val="default"/>
    <w:sig w:usb0="00000000" w:usb1="00000000" w:usb2="00000010" w:usb3="00000000" w:csb0="00040000" w:csb1="00000000"/>
  </w:font>
  <w:font w:name="楷体_GB2312">
    <w:altName w:val="楷体"/>
    <w:panose1 w:val="00000000000000000000"/>
    <w:charset w:val="86"/>
    <w:family w:val="auto"/>
    <w:pitch w:val="default"/>
    <w:sig w:usb0="00000000" w:usb1="00000000" w:usb2="00000000" w:usb3="00000000" w:csb0="00040000"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B8A91C5">
    <w:r>
      <w:rPr>
        <w:rFonts w:ascii="Times New Roman" w:hAnsi="Times New Roman" w:eastAsia="宋体" w:cs="Times New Roman"/>
        <w:kern w:val="2"/>
        <w:sz w:val="21"/>
        <w:szCs w:val="24"/>
        <w:lang w:val="en-US" w:eastAsia="zh-CN" w:bidi="ar-SA"/>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Quad Arrow 307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7FC4B16F">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wps:txbx>
                    <wps:bodyPr wrap="none" lIns="0" tIns="0" rIns="0" bIns="0" upright="1">
                      <a:spAutoFit/>
                    </wps:bodyPr>
                  </wps:wsp>
                </a:graphicData>
              </a:graphic>
            </wp:anchor>
          </w:drawing>
        </mc:Choice>
        <mc:Fallback>
          <w:pict>
            <v:shape id="Quad Arrow 3073"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">
              <v:fill on="f" focussize="0,0"/>
              <v:stroke on="f"/>
              <v:imagedata o:title=""/>
              <o:lock v:ext="edit" aspectratio="f"/>
              <v:textbox inset="0mm,0mm,0mm,0mm" style="mso-fit-shape-to-text:t;">
                <w:txbxContent>
                  <w:p w14:paraId="7FC4B16F">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10930C8">
    <w:pPr>
      <w:pStyle w:val="3"/>
      <w:pBdr>
        <w:bottom w:val="none" w:color="auto" w:sz="0" w:space="1"/>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B79F1EC4"/>
    <w:multiLevelType w:val="singleLevel"/>
    <w:tmpl w:val="B79F1EC4"/>
    <w:lvl w:ilvl="0" w:tentative="0">
      <w:start w:val="3"/>
      <w:numFmt w:val="chineseCounting"/>
      <w:suff w:val="nothing"/>
      <w:lvlText w:val="%1、"/>
      <w:lvlJc w:val="left"/>
      <w:pPr>
        <w:ind w:left="-10"/>
      </w:pPr>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80"/>
  <w:bordersDoNotSurroundHeader w:val="1"/>
  <w:bordersDoNotSurroundFooter w:val="1"/>
  <w:documentProtection w:enforcement="0"/>
  <w:defaultTabStop w:val="420"/>
  <w:drawingGridHorizontalSpacing w:val="105"/>
  <w:drawingGridVerticalSpacing w:val="156"/>
  <w:displayHorizontalDrawingGridEvery w:val="0"/>
  <w:displayVerticalDrawingGridEvery w:val="2"/>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TMzZmIyODEyYmQwZGE2MGU2MDg2NjQ2ZDRlZTY2ODcifQ=="/>
  </w:docVars>
  <w:rsids>
    <w:rsidRoot w:val="00EF16A3"/>
    <w:rsid w:val="000D193E"/>
    <w:rsid w:val="000D29F1"/>
    <w:rsid w:val="001627CF"/>
    <w:rsid w:val="001646B1"/>
    <w:rsid w:val="00176210"/>
    <w:rsid w:val="001D2D4C"/>
    <w:rsid w:val="00383AC5"/>
    <w:rsid w:val="003B412A"/>
    <w:rsid w:val="00432709"/>
    <w:rsid w:val="0043554E"/>
    <w:rsid w:val="004919BA"/>
    <w:rsid w:val="00491FCD"/>
    <w:rsid w:val="004E6C05"/>
    <w:rsid w:val="004F6F9F"/>
    <w:rsid w:val="00546BCB"/>
    <w:rsid w:val="005B610E"/>
    <w:rsid w:val="005C236C"/>
    <w:rsid w:val="005E6EC9"/>
    <w:rsid w:val="00656B2A"/>
    <w:rsid w:val="00665896"/>
    <w:rsid w:val="0071336C"/>
    <w:rsid w:val="0071475B"/>
    <w:rsid w:val="0077251A"/>
    <w:rsid w:val="00793214"/>
    <w:rsid w:val="007D43DA"/>
    <w:rsid w:val="007E50DB"/>
    <w:rsid w:val="007E661D"/>
    <w:rsid w:val="007F5EE6"/>
    <w:rsid w:val="007F7CC2"/>
    <w:rsid w:val="0081530B"/>
    <w:rsid w:val="008C31C3"/>
    <w:rsid w:val="008E0E58"/>
    <w:rsid w:val="00941865"/>
    <w:rsid w:val="00966800"/>
    <w:rsid w:val="00986803"/>
    <w:rsid w:val="0099577A"/>
    <w:rsid w:val="009F1522"/>
    <w:rsid w:val="00A06D88"/>
    <w:rsid w:val="00AB70A8"/>
    <w:rsid w:val="00AF5C06"/>
    <w:rsid w:val="00B723C7"/>
    <w:rsid w:val="00B8177D"/>
    <w:rsid w:val="00B86365"/>
    <w:rsid w:val="00BE032C"/>
    <w:rsid w:val="00C242EC"/>
    <w:rsid w:val="00CE156F"/>
    <w:rsid w:val="00DE50A2"/>
    <w:rsid w:val="00DF6FF4"/>
    <w:rsid w:val="00E03726"/>
    <w:rsid w:val="00E17D5D"/>
    <w:rsid w:val="00E61BFC"/>
    <w:rsid w:val="00E841B7"/>
    <w:rsid w:val="00ED5E84"/>
    <w:rsid w:val="00EF16A3"/>
    <w:rsid w:val="00F57E52"/>
    <w:rsid w:val="00FB4297"/>
    <w:rsid w:val="051D4810"/>
    <w:rsid w:val="055B525F"/>
    <w:rsid w:val="0A5537E2"/>
    <w:rsid w:val="0E173EBB"/>
    <w:rsid w:val="10310952"/>
    <w:rsid w:val="106273C7"/>
    <w:rsid w:val="13B61930"/>
    <w:rsid w:val="148B7BBB"/>
    <w:rsid w:val="1BAF1154"/>
    <w:rsid w:val="1C655171"/>
    <w:rsid w:val="1F0B40BA"/>
    <w:rsid w:val="20276775"/>
    <w:rsid w:val="22522846"/>
    <w:rsid w:val="23F613D1"/>
    <w:rsid w:val="2B47579D"/>
    <w:rsid w:val="2F561D90"/>
    <w:rsid w:val="32F3504D"/>
    <w:rsid w:val="36C21C3F"/>
    <w:rsid w:val="3AEF6FE7"/>
    <w:rsid w:val="457A1A95"/>
    <w:rsid w:val="45F7107F"/>
    <w:rsid w:val="493B718D"/>
    <w:rsid w:val="493F3410"/>
    <w:rsid w:val="4C9444D5"/>
    <w:rsid w:val="4CB66E9B"/>
    <w:rsid w:val="51054867"/>
    <w:rsid w:val="53A42ADD"/>
    <w:rsid w:val="5C4A315B"/>
    <w:rsid w:val="60045098"/>
    <w:rsid w:val="604B487B"/>
    <w:rsid w:val="61E0706D"/>
    <w:rsid w:val="62E957BE"/>
    <w:rsid w:val="661D3074"/>
    <w:rsid w:val="6BDE7164"/>
    <w:rsid w:val="6DC23D16"/>
    <w:rsid w:val="71644801"/>
    <w:rsid w:val="72FB751F"/>
    <w:rsid w:val="7E9B1759"/>
  </w:rsids>
  <m:mathPr>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0" w:name="index 1"/>
    <w:lsdException w:uiPriority="0" w:name="index 2"/>
    <w:lsdException w:uiPriority="0" w:name="index 3"/>
    <w:lsdException w:uiPriority="0" w:name="index 4"/>
    <w:lsdException w:uiPriority="0" w:name="index 5"/>
    <w:lsdException w:uiPriority="0" w:name="index 6"/>
    <w:lsdException w:uiPriority="0" w:name="index 7"/>
    <w:lsdException w:uiPriority="0" w:name="index 8"/>
    <w:lsdException w:uiPriority="0"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0" w:name="Normal Indent"/>
    <w:lsdException w:uiPriority="0" w:name="footnote text"/>
    <w:lsdException w:uiPriority="0" w:name="annotation text"/>
    <w:lsdException w:qFormat="1" w:uiPriority="99" w:semiHidden="0" w:name="header"/>
    <w:lsdException w:qFormat="1" w:uiPriority="99" w:semiHidden="0" w:name="footer"/>
    <w:lsdException w:uiPriority="0" w:name="index heading"/>
    <w:lsdException w:qFormat="1" w:uiPriority="35" w:name="caption"/>
    <w:lsdException w:uiPriority="0" w:name="table of figures"/>
    <w:lsdException w:uiPriority="0" w:name="envelope address"/>
    <w:lsdException w:uiPriority="0" w:name="envelope return"/>
    <w:lsdException w:uiPriority="0" w:name="footnote reference"/>
    <w:lsdException w:uiPriority="0" w:name="annotation reference"/>
    <w:lsdException w:uiPriority="0" w:name="line number"/>
    <w:lsdException w:uiPriority="0" w:name="page number"/>
    <w:lsdException w:uiPriority="0" w:name="endnote reference"/>
    <w:lsdException w:uiPriority="0" w:name="endnote text"/>
    <w:lsdException w:uiPriority="0" w:name="table of authorities"/>
    <w:lsdException w:uiPriority="0" w:name="macro"/>
    <w:lsdException w:uiPriority="0" w:name="toa heading"/>
    <w:lsdException w:uiPriority="0" w:name="List"/>
    <w:lsdException w:uiPriority="0" w:name="List Bullet"/>
    <w:lsdException w:uiPriority="0" w:name="List Number"/>
    <w:lsdException w:uiPriority="0" w:name="List 2"/>
    <w:lsdException w:uiPriority="0" w:name="List 3"/>
    <w:lsdException w:uiPriority="0" w:name="List 4"/>
    <w:lsdException w:uiPriority="0" w:name="List 5"/>
    <w:lsdException w:uiPriority="0" w:name="List Bullet 2"/>
    <w:lsdException w:uiPriority="0" w:name="List Bullet 3"/>
    <w:lsdException w:uiPriority="0" w:name="List Bullet 4"/>
    <w:lsdException w:uiPriority="0" w:name="List Bullet 5"/>
    <w:lsdException w:uiPriority="0" w:name="List Number 2"/>
    <w:lsdException w:uiPriority="0" w:name="List Number 3"/>
    <w:lsdException w:uiPriority="0" w:name="List Number 4"/>
    <w:lsdException w:uiPriority="0" w:name="List Number 5"/>
    <w:lsdException w:qFormat="1" w:unhideWhenUsed="0" w:uiPriority="10" w:semiHidden="0" w:name="Title"/>
    <w:lsdException w:uiPriority="0" w:name="Closing"/>
    <w:lsdException w:uiPriority="0" w:name="Signature"/>
    <w:lsdException w:qFormat="1" w:uiPriority="1" w:semiHidden="0" w:name="Default Paragraph Font"/>
    <w:lsdException w:uiPriority="0" w:name="Body Text"/>
    <w:lsdException w:uiPriority="0" w:name="Body Text Indent"/>
    <w:lsdException w:uiPriority="0" w:name="List Continue"/>
    <w:lsdException w:uiPriority="0" w:name="List Continue 2"/>
    <w:lsdException w:uiPriority="0" w:name="List Continue 3"/>
    <w:lsdException w:uiPriority="0" w:name="List Continue 4"/>
    <w:lsdException w:uiPriority="0" w:name="List Continue 5"/>
    <w:lsdException w:uiPriority="0" w:name="Message Header"/>
    <w:lsdException w:qFormat="1" w:unhideWhenUsed="0" w:uiPriority="11" w:semiHidden="0" w:name="Subtitle"/>
    <w:lsdException w:uiPriority="0" w:name="Salutation"/>
    <w:lsdException w:uiPriority="0" w:name="Date"/>
    <w:lsdException w:uiPriority="0" w:name="Body Text First Indent"/>
    <w:lsdException w:uiPriority="0" w:name="Body Text First Indent 2"/>
    <w:lsdException w:uiPriority="0" w:name="Note Heading"/>
    <w:lsdException w:uiPriority="0" w:name="Body Text 2"/>
    <w:lsdException w:uiPriority="0" w:name="Body Text 3"/>
    <w:lsdException w:uiPriority="0" w:name="Body Text Indent 2"/>
    <w:lsdException w:uiPriority="0" w:name="Body Text Indent 3"/>
    <w:lsdException w:uiPriority="0" w:name="Block Text"/>
    <w:lsdException w:uiPriority="0" w:name="Hyperlink"/>
    <w:lsdException w:uiPriority="0" w:name="FollowedHyperlink"/>
    <w:lsdException w:qFormat="1" w:unhideWhenUsed="0" w:uiPriority="22" w:semiHidden="0" w:name="Strong"/>
    <w:lsdException w:qFormat="1" w:unhideWhenUsed="0" w:uiPriority="20" w:semiHidden="0" w:name="Emphasis"/>
    <w:lsdException w:uiPriority="0" w:name="Document Map"/>
    <w:lsdException w:uiPriority="0" w:name="Plain Text"/>
    <w:lsdException w:uiPriority="0" w:name="E-mail Signature"/>
    <w:lsdException w:uiPriority="0" w:name="Normal (Web)"/>
    <w:lsdException w:uiPriority="0" w:name="HTML Acronym"/>
    <w:lsdException w:uiPriority="0" w:name="HTML Address"/>
    <w:lsdException w:uiPriority="0" w:name="HTML Cite"/>
    <w:lsdException w:uiPriority="0" w:name="HTML Code"/>
    <w:lsdException w:uiPriority="0" w:name="HTML Definition"/>
    <w:lsdException w:uiPriority="0" w:name="HTML Keyboard"/>
    <w:lsdException w:uiPriority="0" w:name="HTML Preformatted"/>
    <w:lsdException w:uiPriority="0" w:name="HTML Sample"/>
    <w:lsdException w:uiPriority="0" w:name="HTML Typewriter"/>
    <w:lsdException w:uiPriority="0" w:name="HTML Variable"/>
    <w:lsdException w:qFormat="1" w:uiPriority="99" w:semiHidden="0" w:name="Normal Table"/>
    <w:lsdException w:uiPriority="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iPriority="0" w:name="Balloon Text"/>
    <w:lsdException w:unhideWhenUsed="0" w:uiPriority="59"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5">
    <w:name w:val="Default Paragraph Font"/>
    <w:unhideWhenUsed/>
    <w:qFormat/>
    <w:uiPriority w:val="1"/>
  </w:style>
  <w:style w:type="table" w:default="1" w:styleId="4">
    <w:name w:val="Normal Table"/>
    <w:unhideWhenUsed/>
    <w:qFormat/>
    <w:uiPriority w:val="99"/>
    <w:tblPr>
      <w:tblCellMar>
        <w:top w:w="0" w:type="dxa"/>
        <w:left w:w="108" w:type="dxa"/>
        <w:bottom w:w="0" w:type="dxa"/>
        <w:right w:w="108" w:type="dxa"/>
      </w:tblCellMar>
    </w:tblPr>
  </w:style>
  <w:style w:type="paragraph" w:styleId="2">
    <w:name w:val="footer"/>
    <w:basedOn w:val="1"/>
    <w:link w:val="7"/>
    <w:unhideWhenUsed/>
    <w:qFormat/>
    <w:uiPriority w:val="99"/>
    <w:pPr>
      <w:tabs>
        <w:tab w:val="center" w:pos="4153"/>
        <w:tab w:val="right" w:pos="8306"/>
      </w:tabs>
      <w:snapToGrid w:val="0"/>
      <w:jc w:val="left"/>
    </w:pPr>
    <w:rPr>
      <w:sz w:val="18"/>
      <w:szCs w:val="18"/>
    </w:rPr>
  </w:style>
  <w:style w:type="paragraph" w:styleId="3">
    <w:name w:val="header"/>
    <w:basedOn w:val="1"/>
    <w:link w:val="6"/>
    <w:unhideWhenUsed/>
    <w:qFormat/>
    <w:uiPriority w:val="99"/>
    <w:pPr>
      <w:pBdr>
        <w:bottom w:val="single" w:color="auto" w:sz="6" w:space="1"/>
      </w:pBdr>
      <w:tabs>
        <w:tab w:val="center" w:pos="4153"/>
        <w:tab w:val="right" w:pos="8306"/>
      </w:tabs>
      <w:snapToGrid w:val="0"/>
      <w:jc w:val="center"/>
    </w:pPr>
    <w:rPr>
      <w:sz w:val="18"/>
      <w:szCs w:val="18"/>
    </w:rPr>
  </w:style>
  <w:style w:type="character" w:customStyle="1" w:styleId="6">
    <w:name w:val="页眉 Char"/>
    <w:basedOn w:val="5"/>
    <w:link w:val="3"/>
    <w:qFormat/>
    <w:uiPriority w:val="99"/>
    <w:rPr>
      <w:sz w:val="18"/>
      <w:szCs w:val="18"/>
    </w:rPr>
  </w:style>
  <w:style w:type="character" w:customStyle="1" w:styleId="7">
    <w:name w:val="页脚 Char"/>
    <w:basedOn w:val="5"/>
    <w:link w:val="2"/>
    <w:qFormat/>
    <w:uiPriority w:val="99"/>
    <w:rPr>
      <w:sz w:val="18"/>
      <w:szCs w:val="18"/>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Lenovo</Company>
  <Pages>8</Pages>
  <Words>3611</Words>
  <Characters>3717</Characters>
  <Lines>3</Lines>
  <Paragraphs>1</Paragraphs>
  <TotalTime>164</TotalTime>
  <ScaleCrop>false</ScaleCrop>
  <LinksUpToDate>false</LinksUpToDate>
  <CharactersWithSpaces>3722</CharactersWithSpaces>
  <Application>WPS Office_12.1.0.18276_F1E327BC-269C-435d-A152-05C5408002CA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2019-11-14T00:58:00Z</dcterms:created>
  <dc:creator>user</dc:creator>
  <cp:lastModifiedBy> </cp:lastModifiedBy>
  <cp:lastPrinted>2023-04-27T03:07:00Z</cp:lastPrinted>
  <dcterms:modified xsi:type="dcterms:W3CDTF">2024-09-19T11:02:59Z</dcterms:modified>
  <dc:title>附件2： </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2052-12.1.0.18276</vt:lpwstr>
  </property>
  <property fmtid="{D5CDD505-2E9C-101B-9397-08002B2CF9AE}" pid="3" name="ICV">
    <vt:lpwstr>2C6C42A87B0D4BB695AD836FAEB3BD1D</vt:lpwstr>
  </property>
</Properties>
</file>