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ascii="仿宋" w:hAnsi="仿宋" w:eastAsia="仿宋" w:cs="仿宋"/>
          <w:sz w:val="32"/>
          <w:szCs w:val="32"/>
        </w:rPr>
      </w:pP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keepNext w:val="0"/>
        <w:keepLines w:val="0"/>
        <w:pageBreakBefore w:val="0"/>
        <w:widowControl w:val="0"/>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楷体" w:hAnsi="楷体" w:eastAsia="楷体" w:cs="楷体"/>
          <w:sz w:val="32"/>
          <w:szCs w:val="32"/>
        </w:rPr>
        <w:t>(一)</w:t>
      </w:r>
      <w:r>
        <w:rPr>
          <w:rFonts w:hint="eastAsia" w:ascii="仿宋" w:hAnsi="仿宋" w:eastAsia="仿宋" w:cs="仿宋"/>
          <w:sz w:val="32"/>
          <w:szCs w:val="32"/>
        </w:rPr>
        <w:t>贯彻落实省市城镇职工和城乡居民医疗保险、生育保险、长期护理保险、医疗救助等医疗保障法规、政府规章以及政策、制度、规划和标准。</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sz w:val="32"/>
          <w:szCs w:val="32"/>
        </w:rPr>
      </w:pPr>
      <w:r>
        <w:rPr>
          <w:rFonts w:hint="eastAsia" w:ascii="楷体" w:hAnsi="楷体" w:eastAsia="楷体" w:cs="楷体"/>
          <w:sz w:val="32"/>
          <w:szCs w:val="32"/>
        </w:rPr>
        <w:t>(二)</w:t>
      </w:r>
      <w:r>
        <w:rPr>
          <w:rFonts w:hint="eastAsia" w:ascii="仿宋" w:hAnsi="仿宋" w:eastAsia="仿宋" w:cs="仿宋"/>
          <w:sz w:val="32"/>
          <w:szCs w:val="32"/>
        </w:rPr>
        <w:t>贯彻落实省市医疗保障基金监督管理办法、医疗保障基金安全防控机制，做好医疗保障基金支付方式改革。</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楷体" w:hAnsi="楷体" w:eastAsia="楷体" w:cs="楷体"/>
          <w:sz w:val="32"/>
          <w:szCs w:val="32"/>
        </w:rPr>
        <w:t>(三)</w:t>
      </w:r>
      <w:r>
        <w:rPr>
          <w:rFonts w:hint="eastAsia" w:ascii="仿宋" w:hAnsi="仿宋" w:eastAsia="仿宋" w:cs="仿宋"/>
          <w:sz w:val="32"/>
          <w:szCs w:val="32"/>
        </w:rPr>
        <w:t>贯彻执行省市城镇职工、城乡居民参保筹资和保障待遇政策，执行好城乡医疗保障政策标准。</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楷体" w:hAnsi="楷体" w:eastAsia="楷体" w:cs="楷体"/>
          <w:sz w:val="32"/>
          <w:szCs w:val="32"/>
        </w:rPr>
        <w:t>(四)</w:t>
      </w:r>
      <w:r>
        <w:rPr>
          <w:rFonts w:hint="eastAsia" w:ascii="仿宋" w:hAnsi="仿宋" w:eastAsia="仿宋" w:cs="仿宋"/>
          <w:sz w:val="32"/>
          <w:szCs w:val="32"/>
        </w:rPr>
        <w:t>贯彻执行城乡统一的药品、医用药材、医疗服务项目、医疗服务设施等医保支付标准。</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楷体" w:hAnsi="楷体" w:eastAsia="楷体" w:cs="楷体"/>
          <w:sz w:val="32"/>
          <w:szCs w:val="32"/>
        </w:rPr>
        <w:t>(五)</w:t>
      </w:r>
      <w:r>
        <w:rPr>
          <w:rFonts w:hint="eastAsia" w:ascii="仿宋" w:hAnsi="仿宋" w:eastAsia="仿宋" w:cs="仿宋"/>
          <w:sz w:val="32"/>
          <w:szCs w:val="32"/>
        </w:rPr>
        <w:t>贯彻执行药品、医用耗材价格和医疗服务项目、医疗服务设施收费等政策。依法管理药品、医用耗材、医疗服务价格政策执行情况。</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楷体" w:hAnsi="楷体" w:eastAsia="楷体" w:cs="楷体"/>
          <w:sz w:val="32"/>
          <w:szCs w:val="32"/>
        </w:rPr>
        <w:t>(六)</w:t>
      </w:r>
      <w:r>
        <w:rPr>
          <w:rFonts w:hint="eastAsia" w:ascii="仿宋" w:hAnsi="仿宋" w:eastAsia="仿宋" w:cs="仿宋"/>
          <w:sz w:val="32"/>
          <w:szCs w:val="32"/>
        </w:rPr>
        <w:t>贯彻执行定点医药机构协议和支付管理办法。执行好医疗保障信用评价体系和信息披露制度，监督管理定点医药机构的医疗服务行为、医疗费用和医药价格，依法查处医疗保障领域违法违规行为。</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楷体" w:hAnsi="楷体" w:eastAsia="楷体" w:cs="楷体"/>
          <w:sz w:val="32"/>
          <w:szCs w:val="32"/>
        </w:rPr>
        <w:t>(七)</w:t>
      </w:r>
      <w:r>
        <w:rPr>
          <w:rFonts w:hint="eastAsia" w:ascii="仿宋" w:hAnsi="仿宋" w:eastAsia="仿宋" w:cs="仿宋"/>
          <w:sz w:val="32"/>
          <w:szCs w:val="32"/>
        </w:rPr>
        <w:t>负责医疗保障经办管理、公共服务体系和信息化建设。执行好异地就医管理、费用结算政策和医疗保障关系转移接续制度。</w:t>
      </w:r>
    </w:p>
    <w:p>
      <w:pPr>
        <w:keepNext w:val="0"/>
        <w:keepLines w:val="0"/>
        <w:pageBreakBefore w:val="0"/>
        <w:widowControl w:val="0"/>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eastAsia"/>
          <w:sz w:val="32"/>
          <w:szCs w:val="32"/>
        </w:rPr>
      </w:pPr>
      <w:r>
        <w:rPr>
          <w:rFonts w:hint="eastAsia" w:ascii="楷体" w:hAnsi="楷体" w:eastAsia="楷体" w:cs="楷体"/>
          <w:sz w:val="32"/>
          <w:szCs w:val="32"/>
        </w:rPr>
        <w:t>(八)</w:t>
      </w:r>
      <w:r>
        <w:rPr>
          <w:rFonts w:hint="eastAsia" w:ascii="仿宋" w:hAnsi="仿宋" w:eastAsia="仿宋" w:cs="仿宋"/>
          <w:sz w:val="32"/>
          <w:szCs w:val="32"/>
        </w:rPr>
        <w:t>完成区委、区政府交办的其他任务</w:t>
      </w:r>
      <w:r>
        <w:rPr>
          <w:rFonts w:hint="eastAsia"/>
          <w:sz w:val="32"/>
          <w:szCs w:val="32"/>
        </w:rPr>
        <w:t>。</w:t>
      </w:r>
    </w:p>
    <w:p>
      <w:pPr>
        <w:keepNext w:val="0"/>
        <w:keepLines w:val="0"/>
        <w:pageBreakBefore w:val="0"/>
        <w:widowControl w:val="0"/>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spacing w:line="588" w:lineRule="exact"/>
        <w:ind w:firstLine="640" w:firstLineChars="200"/>
        <w:textAlignment w:val="auto"/>
        <w:rPr>
          <w:rFonts w:hint="default" w:ascii="仿宋" w:eastAsia="仿宋"/>
          <w:sz w:val="32"/>
          <w:szCs w:val="32"/>
          <w:lang w:val="en-US" w:eastAsia="zh-CN"/>
        </w:rPr>
      </w:pPr>
      <w:r>
        <w:rPr>
          <w:rFonts w:hint="eastAsia" w:ascii="仿宋" w:eastAsia="仿宋"/>
          <w:sz w:val="32"/>
          <w:szCs w:val="32"/>
          <w:lang w:val="en-US" w:eastAsia="zh-CN"/>
        </w:rPr>
        <w:t>对2022年绩效目标的执行情况进行客观公正的评价，我单位成立了绩效评价小组，评价小组严格按照区财政局关于绩效管理办法执行绩效目标自评工作，从深化预算改革和加强绩效管理的实际需要出发，对各项目资金进行客观公正的评分。</w:t>
      </w:r>
    </w:p>
    <w:p>
      <w:pPr>
        <w:keepNext w:val="0"/>
        <w:keepLines w:val="0"/>
        <w:pageBreakBefore w:val="0"/>
        <w:widowControl w:val="0"/>
        <w:numPr>
          <w:ilvl w:val="0"/>
          <w:numId w:val="1"/>
        </w:numPr>
        <w:kinsoku/>
        <w:wordWrap/>
        <w:overflowPunct/>
        <w:topLinePunct w:val="0"/>
        <w:autoSpaceDE/>
        <w:autoSpaceDN/>
        <w:bidi w:val="0"/>
        <w:adjustRightInd/>
        <w:snapToGrid w:val="0"/>
        <w:spacing w:line="588"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keepNext w:val="0"/>
        <w:keepLines w:val="0"/>
        <w:pageBreakBefore w:val="0"/>
        <w:widowControl w:val="0"/>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我单位2022年共有6个预算项目，共计115584021.7元。分项目支出如下：</w:t>
      </w:r>
    </w:p>
    <w:p>
      <w:pPr>
        <w:keepNext w:val="0"/>
        <w:keepLines w:val="0"/>
        <w:pageBreakBefore w:val="0"/>
        <w:widowControl w:val="0"/>
        <w:numPr>
          <w:ilvl w:val="0"/>
          <w:numId w:val="2"/>
        </w:numPr>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城乡居民医疗保险本级配套资金80704464元。</w:t>
      </w:r>
    </w:p>
    <w:p>
      <w:pPr>
        <w:keepNext w:val="0"/>
        <w:keepLines w:val="0"/>
        <w:pageBreakBefore w:val="0"/>
        <w:widowControl w:val="0"/>
        <w:numPr>
          <w:ilvl w:val="0"/>
          <w:numId w:val="2"/>
        </w:numPr>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default" w:ascii="仿宋" w:hAnsi="仿宋" w:eastAsia="仿宋" w:cs="仿宋_GB2312"/>
          <w:sz w:val="32"/>
          <w:szCs w:val="32"/>
          <w:lang w:val="en-US" w:eastAsia="zh-CN"/>
        </w:rPr>
      </w:pPr>
      <w:r>
        <w:rPr>
          <w:rFonts w:hint="default" w:ascii="仿宋" w:hAnsi="仿宋" w:eastAsia="仿宋" w:cs="仿宋_GB2312"/>
          <w:sz w:val="32"/>
          <w:szCs w:val="32"/>
          <w:lang w:val="en-US" w:eastAsia="zh-CN"/>
        </w:rPr>
        <w:t>城乡医疗救助</w:t>
      </w:r>
      <w:r>
        <w:rPr>
          <w:rFonts w:hint="eastAsia" w:ascii="仿宋" w:hAnsi="仿宋" w:eastAsia="仿宋" w:cs="仿宋_GB2312"/>
          <w:sz w:val="32"/>
          <w:szCs w:val="32"/>
          <w:lang w:val="en-US" w:eastAsia="zh-CN"/>
        </w:rPr>
        <w:t>23000000元。</w:t>
      </w:r>
    </w:p>
    <w:p>
      <w:pPr>
        <w:keepNext w:val="0"/>
        <w:keepLines w:val="0"/>
        <w:pageBreakBefore w:val="0"/>
        <w:widowControl w:val="0"/>
        <w:numPr>
          <w:ilvl w:val="0"/>
          <w:numId w:val="2"/>
        </w:numPr>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default" w:ascii="仿宋" w:hAnsi="仿宋" w:eastAsia="仿宋" w:cs="仿宋_GB2312"/>
          <w:sz w:val="32"/>
          <w:szCs w:val="32"/>
          <w:lang w:val="en-US" w:eastAsia="zh-CN"/>
        </w:rPr>
      </w:pPr>
      <w:r>
        <w:rPr>
          <w:rFonts w:hint="default" w:ascii="仿宋" w:hAnsi="仿宋" w:eastAsia="仿宋" w:cs="仿宋_GB2312"/>
          <w:sz w:val="32"/>
          <w:szCs w:val="32"/>
          <w:lang w:val="en-US" w:eastAsia="zh-CN"/>
        </w:rPr>
        <w:t>冀财社[2021]164号关于提前下达2022年中央财政医疗服务与保障能力提升补助资金</w:t>
      </w:r>
      <w:r>
        <w:rPr>
          <w:rFonts w:hint="eastAsia" w:ascii="仿宋" w:hAnsi="仿宋" w:eastAsia="仿宋" w:cs="仿宋_GB2312"/>
          <w:sz w:val="32"/>
          <w:szCs w:val="32"/>
          <w:lang w:val="en-US" w:eastAsia="zh-CN"/>
        </w:rPr>
        <w:t>150000元。</w:t>
      </w:r>
    </w:p>
    <w:p>
      <w:pPr>
        <w:keepNext w:val="0"/>
        <w:keepLines w:val="0"/>
        <w:pageBreakBefore w:val="0"/>
        <w:widowControl w:val="0"/>
        <w:numPr>
          <w:ilvl w:val="0"/>
          <w:numId w:val="2"/>
        </w:numPr>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default" w:ascii="仿宋" w:hAnsi="仿宋" w:eastAsia="仿宋" w:cs="仿宋_GB2312"/>
          <w:sz w:val="32"/>
          <w:szCs w:val="32"/>
          <w:lang w:val="en-US" w:eastAsia="zh-CN"/>
        </w:rPr>
      </w:pPr>
      <w:r>
        <w:rPr>
          <w:rFonts w:hint="default" w:ascii="仿宋" w:hAnsi="仿宋" w:eastAsia="仿宋" w:cs="仿宋_GB2312"/>
          <w:sz w:val="32"/>
          <w:szCs w:val="32"/>
          <w:lang w:val="en-US" w:eastAsia="zh-CN"/>
        </w:rPr>
        <w:t>离休、建国前老工人、1-6级伤残军人医疗费</w:t>
      </w:r>
      <w:r>
        <w:rPr>
          <w:rFonts w:hint="eastAsia" w:ascii="仿宋" w:hAnsi="仿宋" w:eastAsia="仿宋" w:cs="仿宋_GB2312"/>
          <w:sz w:val="32"/>
          <w:szCs w:val="32"/>
          <w:lang w:val="en-US" w:eastAsia="zh-CN"/>
        </w:rPr>
        <w:t>7999559.2元。</w:t>
      </w:r>
    </w:p>
    <w:p>
      <w:pPr>
        <w:keepNext w:val="0"/>
        <w:keepLines w:val="0"/>
        <w:pageBreakBefore w:val="0"/>
        <w:widowControl w:val="0"/>
        <w:numPr>
          <w:ilvl w:val="0"/>
          <w:numId w:val="2"/>
        </w:numPr>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default" w:ascii="仿宋" w:hAnsi="仿宋" w:eastAsia="仿宋" w:cs="仿宋_GB2312"/>
          <w:sz w:val="32"/>
          <w:szCs w:val="32"/>
          <w:lang w:val="en-US" w:eastAsia="zh-CN"/>
        </w:rPr>
      </w:pPr>
      <w:r>
        <w:rPr>
          <w:rFonts w:hint="default" w:ascii="仿宋" w:hAnsi="仿宋" w:eastAsia="仿宋" w:cs="仿宋_GB2312"/>
          <w:sz w:val="32"/>
          <w:szCs w:val="32"/>
          <w:lang w:val="en-US" w:eastAsia="zh-CN"/>
        </w:rPr>
        <w:t>石财社[2021]125号关于提前下达2022年市级医疗救助补助资金</w:t>
      </w:r>
      <w:r>
        <w:rPr>
          <w:rFonts w:hint="eastAsia" w:ascii="仿宋" w:hAnsi="仿宋" w:eastAsia="仿宋" w:cs="仿宋_GB2312"/>
          <w:sz w:val="32"/>
          <w:szCs w:val="32"/>
          <w:lang w:val="en-US" w:eastAsia="zh-CN"/>
        </w:rPr>
        <w:t>3380000元。</w:t>
      </w:r>
    </w:p>
    <w:p>
      <w:pPr>
        <w:keepNext w:val="0"/>
        <w:keepLines w:val="0"/>
        <w:pageBreakBefore w:val="0"/>
        <w:widowControl w:val="0"/>
        <w:numPr>
          <w:ilvl w:val="0"/>
          <w:numId w:val="2"/>
        </w:numPr>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default" w:ascii="仿宋" w:hAnsi="仿宋" w:eastAsia="仿宋" w:cs="仿宋_GB2312"/>
          <w:sz w:val="32"/>
          <w:szCs w:val="32"/>
          <w:lang w:val="en-US" w:eastAsia="zh-CN"/>
        </w:rPr>
      </w:pPr>
      <w:r>
        <w:rPr>
          <w:rFonts w:hint="default" w:ascii="仿宋" w:hAnsi="仿宋" w:eastAsia="仿宋" w:cs="仿宋_GB2312"/>
          <w:sz w:val="32"/>
          <w:szCs w:val="32"/>
          <w:lang w:val="en-US" w:eastAsia="zh-CN"/>
        </w:rPr>
        <w:t>职工及城乡居民医疗管理经费</w:t>
      </w:r>
      <w:r>
        <w:rPr>
          <w:rFonts w:hint="eastAsia" w:ascii="仿宋" w:hAnsi="仿宋" w:eastAsia="仿宋" w:cs="仿宋_GB2312"/>
          <w:sz w:val="32"/>
          <w:szCs w:val="32"/>
          <w:lang w:val="en-US" w:eastAsia="zh-CN"/>
        </w:rPr>
        <w:t>349998.5元。</w:t>
      </w:r>
    </w:p>
    <w:p>
      <w:pPr>
        <w:keepNext w:val="0"/>
        <w:keepLines w:val="0"/>
        <w:pageBreakBefore w:val="0"/>
        <w:widowControl w:val="0"/>
        <w:numPr>
          <w:ilvl w:val="0"/>
          <w:numId w:val="1"/>
        </w:numPr>
        <w:kinsoku/>
        <w:wordWrap/>
        <w:overflowPunct/>
        <w:topLinePunct w:val="0"/>
        <w:autoSpaceDE/>
        <w:autoSpaceDN/>
        <w:bidi w:val="0"/>
        <w:adjustRightInd/>
        <w:snapToGrid w:val="0"/>
        <w:spacing w:line="588"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val="0"/>
        <w:spacing w:line="588" w:lineRule="exact"/>
        <w:ind w:right="0" w:rightChars="0" w:firstLine="640" w:firstLineChars="200"/>
        <w:textAlignment w:val="auto"/>
        <w:outlineLvl w:val="9"/>
        <w:rPr>
          <w:rFonts w:hint="eastAsia" w:ascii="仿宋" w:hAnsi="仿宋" w:eastAsia="仿宋" w:cs="仿宋_GB2312"/>
          <w:sz w:val="32"/>
          <w:szCs w:val="32"/>
          <w:lang w:val="en-US" w:eastAsia="zh-CN"/>
        </w:rPr>
      </w:pPr>
      <w:r>
        <w:rPr>
          <w:rFonts w:hint="eastAsia" w:ascii="仿宋" w:hAnsi="仿宋" w:eastAsia="仿宋" w:cs="仿宋"/>
          <w:sz w:val="32"/>
          <w:szCs w:val="32"/>
          <w:lang w:val="en-US" w:eastAsia="zh-CN"/>
        </w:rPr>
        <w:t>本年我单位共有6个项目，年初预算</w:t>
      </w:r>
      <w:r>
        <w:rPr>
          <w:rFonts w:hint="eastAsia" w:ascii="仿宋" w:hAnsi="仿宋" w:eastAsia="仿宋" w:cs="仿宋_GB2312"/>
          <w:sz w:val="32"/>
          <w:szCs w:val="32"/>
          <w:lang w:val="en-US" w:eastAsia="zh-CN"/>
        </w:rPr>
        <w:t>115584021.7元，项目实施单位均为藁城区医疗保障局。</w:t>
      </w:r>
    </w:p>
    <w:p>
      <w:pPr>
        <w:keepNext w:val="0"/>
        <w:keepLines w:val="0"/>
        <w:pageBreakBefore w:val="0"/>
        <w:widowControl w:val="0"/>
        <w:numPr>
          <w:ilvl w:val="0"/>
          <w:numId w:val="3"/>
        </w:numPr>
        <w:kinsoku/>
        <w:wordWrap/>
        <w:overflowPunct/>
        <w:topLinePunct w:val="0"/>
        <w:autoSpaceDE/>
        <w:autoSpaceDN/>
        <w:bidi w:val="0"/>
        <w:adjustRightInd/>
        <w:snapToGrid w:val="0"/>
        <w:spacing w:line="588" w:lineRule="exact"/>
        <w:ind w:right="0" w:rightChars="0" w:firstLine="640" w:firstLineChars="200"/>
        <w:textAlignment w:val="auto"/>
        <w:outlineLvl w:val="9"/>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城乡居民医疗保险本级配套资金：本年度居民医保参保人数666865人，参保率100.03%，区级配套金额122元每人，已按照文件执行，本项目各项指标均完成，本项目得分100分。</w:t>
      </w:r>
    </w:p>
    <w:p>
      <w:pPr>
        <w:keepNext w:val="0"/>
        <w:keepLines w:val="0"/>
        <w:pageBreakBefore w:val="0"/>
        <w:widowControl w:val="0"/>
        <w:numPr>
          <w:ilvl w:val="0"/>
          <w:numId w:val="3"/>
        </w:numPr>
        <w:kinsoku/>
        <w:wordWrap/>
        <w:overflowPunct/>
        <w:topLinePunct w:val="0"/>
        <w:autoSpaceDE/>
        <w:autoSpaceDN/>
        <w:bidi w:val="0"/>
        <w:adjustRightInd/>
        <w:snapToGrid w:val="0"/>
        <w:spacing w:line="588" w:lineRule="exact"/>
        <w:ind w:right="0" w:rightChars="0" w:firstLine="640" w:firstLineChars="200"/>
        <w:textAlignment w:val="auto"/>
        <w:outlineLvl w:val="9"/>
        <w:rPr>
          <w:rFonts w:hint="default" w:ascii="仿宋" w:hAnsi="仿宋" w:eastAsia="仿宋" w:cs="仿宋_GB2312"/>
          <w:sz w:val="32"/>
          <w:szCs w:val="32"/>
          <w:lang w:val="en-US" w:eastAsia="zh-CN"/>
        </w:rPr>
      </w:pPr>
      <w:r>
        <w:rPr>
          <w:rFonts w:hint="default" w:ascii="仿宋" w:hAnsi="仿宋" w:eastAsia="仿宋" w:cs="仿宋_GB2312"/>
          <w:sz w:val="32"/>
          <w:szCs w:val="32"/>
          <w:lang w:val="en-US" w:eastAsia="zh-CN"/>
        </w:rPr>
        <w:t>城乡医疗救助</w:t>
      </w:r>
      <w:r>
        <w:rPr>
          <w:rFonts w:hint="eastAsia" w:ascii="仿宋" w:hAnsi="仿宋" w:eastAsia="仿宋" w:cs="仿宋_GB2312"/>
          <w:sz w:val="32"/>
          <w:szCs w:val="32"/>
          <w:lang w:val="en-US" w:eastAsia="zh-CN"/>
        </w:rPr>
        <w:t>、石财社[2021]125号关于提前下达2022年市级医疗救助补助资金：本年度对</w:t>
      </w:r>
      <w:r>
        <w:rPr>
          <w:rFonts w:hint="eastAsia" w:ascii="仿宋_GB2312" w:hAnsi="仿宋_GB2312" w:eastAsia="仿宋_GB2312" w:cs="仿宋_GB2312"/>
          <w:sz w:val="32"/>
          <w:szCs w:val="32"/>
          <w:lang w:val="en-US" w:eastAsia="zh-CN"/>
        </w:rPr>
        <w:t>所有符合资助人员参保个人缴费实行分级定额财政资助，资助金额达356.9万元，享受财政资助政策达100%，因病致贫“一站式”享受报销资助人数15158人，人均发放额3304元。本项目得分100分。</w:t>
      </w:r>
    </w:p>
    <w:p>
      <w:pPr>
        <w:keepNext w:val="0"/>
        <w:keepLines w:val="0"/>
        <w:pageBreakBefore w:val="0"/>
        <w:widowControl w:val="0"/>
        <w:numPr>
          <w:ilvl w:val="0"/>
          <w:numId w:val="3"/>
        </w:numPr>
        <w:kinsoku/>
        <w:wordWrap/>
        <w:overflowPunct/>
        <w:topLinePunct w:val="0"/>
        <w:autoSpaceDE/>
        <w:autoSpaceDN/>
        <w:bidi w:val="0"/>
        <w:adjustRightInd/>
        <w:snapToGrid w:val="0"/>
        <w:spacing w:line="588" w:lineRule="exact"/>
        <w:ind w:right="0" w:rightChars="0" w:firstLine="640" w:firstLineChars="200"/>
        <w:textAlignment w:val="auto"/>
        <w:outlineLvl w:val="9"/>
        <w:rPr>
          <w:rFonts w:hint="default" w:ascii="仿宋" w:hAnsi="仿宋" w:eastAsia="仿宋" w:cs="仿宋_GB2312"/>
          <w:sz w:val="32"/>
          <w:szCs w:val="32"/>
          <w:lang w:val="en-US" w:eastAsia="zh-CN"/>
        </w:rPr>
      </w:pPr>
      <w:r>
        <w:rPr>
          <w:rFonts w:hint="default" w:ascii="仿宋" w:hAnsi="仿宋" w:eastAsia="仿宋" w:cs="仿宋_GB2312"/>
          <w:sz w:val="32"/>
          <w:szCs w:val="32"/>
          <w:lang w:val="en-US" w:eastAsia="zh-CN"/>
        </w:rPr>
        <w:t>冀财社[2021]164号关于提前下达2022年中央财政医疗服务与保障能力提升补助资金</w:t>
      </w:r>
      <w:r>
        <w:rPr>
          <w:rFonts w:hint="eastAsia" w:ascii="仿宋" w:hAnsi="仿宋" w:eastAsia="仿宋" w:cs="仿宋_GB2312"/>
          <w:sz w:val="32"/>
          <w:szCs w:val="32"/>
          <w:lang w:val="en-US" w:eastAsia="zh-CN"/>
        </w:rPr>
        <w:t>：本项资金主要用于医保信息化标准化、基金监管、支付方式改革、药品和耗材集中带量采购等方面，本年度我单位完成2次对所有定点医药机构（定点医疗机构52家、定点药店121家）的全覆盖现场检查，完成对长安区6家医疗机构的交叉检查工作；保证了医保信息系统正常运行率维持在98%。本项目得分100分。</w:t>
      </w:r>
    </w:p>
    <w:p>
      <w:pPr>
        <w:keepNext w:val="0"/>
        <w:keepLines w:val="0"/>
        <w:pageBreakBefore w:val="0"/>
        <w:widowControl w:val="0"/>
        <w:numPr>
          <w:ilvl w:val="0"/>
          <w:numId w:val="3"/>
        </w:numPr>
        <w:kinsoku/>
        <w:wordWrap/>
        <w:overflowPunct/>
        <w:topLinePunct w:val="0"/>
        <w:autoSpaceDE/>
        <w:autoSpaceDN/>
        <w:bidi w:val="0"/>
        <w:adjustRightInd/>
        <w:snapToGrid w:val="0"/>
        <w:spacing w:line="588" w:lineRule="exact"/>
        <w:ind w:right="0" w:rightChars="0" w:firstLine="640" w:firstLineChars="200"/>
        <w:textAlignment w:val="auto"/>
        <w:outlineLvl w:val="9"/>
        <w:rPr>
          <w:rFonts w:hint="default" w:ascii="仿宋" w:hAnsi="仿宋" w:eastAsia="仿宋" w:cs="仿宋_GB2312"/>
          <w:sz w:val="32"/>
          <w:szCs w:val="32"/>
          <w:lang w:val="en-US" w:eastAsia="zh-CN"/>
        </w:rPr>
      </w:pPr>
      <w:r>
        <w:rPr>
          <w:rFonts w:hint="default" w:ascii="仿宋" w:hAnsi="仿宋" w:eastAsia="仿宋" w:cs="仿宋_GB2312"/>
          <w:sz w:val="32"/>
          <w:szCs w:val="32"/>
          <w:lang w:val="en-US" w:eastAsia="zh-CN"/>
        </w:rPr>
        <w:t>离休、建国前老工人、1-6级伤残军人医疗费</w:t>
      </w:r>
      <w:r>
        <w:rPr>
          <w:rFonts w:hint="eastAsia" w:ascii="仿宋" w:hAnsi="仿宋" w:eastAsia="仿宋" w:cs="仿宋_GB2312"/>
          <w:sz w:val="32"/>
          <w:szCs w:val="32"/>
          <w:lang w:val="en-US" w:eastAsia="zh-CN"/>
        </w:rPr>
        <w:t>：本项目用于离退休、建国前老工人、省级劳模、1-6级伤残军人医药费用支付，本年应享受待遇人口225人，实际享受待遇208人，共报销</w:t>
      </w:r>
      <w:r>
        <w:rPr>
          <w:rFonts w:hint="eastAsia" w:ascii="仿宋" w:hAnsi="仿宋" w:eastAsia="仿宋"/>
          <w:sz w:val="32"/>
          <w:szCs w:val="32"/>
          <w:lang w:val="en-US" w:eastAsia="zh-CN"/>
        </w:rPr>
        <w:t>7999559.2元，其中离休人员报销419人次，报销金额5587159.7元；1-6级伤残军人报销392人次，报销金额2342834.4元；建国前老工人报销4人次，报销金额69565.1元。本项目得分10分。</w:t>
      </w:r>
    </w:p>
    <w:p>
      <w:pPr>
        <w:keepNext w:val="0"/>
        <w:keepLines w:val="0"/>
        <w:pageBreakBefore w:val="0"/>
        <w:widowControl w:val="0"/>
        <w:numPr>
          <w:ilvl w:val="0"/>
          <w:numId w:val="3"/>
        </w:numPr>
        <w:kinsoku/>
        <w:wordWrap/>
        <w:overflowPunct/>
        <w:topLinePunct w:val="0"/>
        <w:autoSpaceDE/>
        <w:autoSpaceDN/>
        <w:bidi w:val="0"/>
        <w:adjustRightInd/>
        <w:snapToGrid w:val="0"/>
        <w:spacing w:line="588" w:lineRule="exact"/>
        <w:ind w:right="0" w:rightChars="0" w:firstLine="640" w:firstLineChars="200"/>
        <w:textAlignment w:val="auto"/>
        <w:outlineLvl w:val="9"/>
        <w:rPr>
          <w:rFonts w:hint="default" w:ascii="仿宋" w:hAnsi="仿宋" w:eastAsia="仿宋" w:cs="仿宋_GB2312"/>
          <w:sz w:val="32"/>
          <w:szCs w:val="32"/>
          <w:lang w:val="en-US" w:eastAsia="zh-CN"/>
        </w:rPr>
      </w:pPr>
      <w:r>
        <w:rPr>
          <w:rFonts w:hint="default" w:ascii="仿宋" w:hAnsi="仿宋" w:eastAsia="仿宋" w:cs="仿宋_GB2312"/>
          <w:sz w:val="32"/>
          <w:szCs w:val="32"/>
          <w:lang w:val="en-US" w:eastAsia="zh-CN"/>
        </w:rPr>
        <w:t>职工及城乡居民医疗管理经费</w:t>
      </w:r>
      <w:r>
        <w:rPr>
          <w:rFonts w:hint="eastAsia" w:ascii="仿宋" w:hAnsi="仿宋" w:eastAsia="仿宋" w:cs="仿宋_GB2312"/>
          <w:sz w:val="32"/>
          <w:szCs w:val="32"/>
          <w:lang w:val="en-US" w:eastAsia="zh-CN"/>
        </w:rPr>
        <w:t>：用于提升医保服务能力，改善服务场所环境，本年医保系统、医保都电子凭证运行率等均达到年初指标。本项目得分100分。</w:t>
      </w:r>
    </w:p>
    <w:p>
      <w:pPr>
        <w:keepNext w:val="0"/>
        <w:keepLines w:val="0"/>
        <w:pageBreakBefore w:val="0"/>
        <w:widowControl w:val="0"/>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bookmarkStart w:id="0" w:name="_GoBack"/>
      <w:bookmarkEnd w:id="0"/>
    </w:p>
    <w:p>
      <w:pPr>
        <w:keepNext w:val="0"/>
        <w:keepLines w:val="0"/>
        <w:pageBreakBefore w:val="0"/>
        <w:widowControl w:val="0"/>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通过此次绩效自评，进一步完善了我局财务管理、报销审核等制度，同时要求</w:t>
      </w:r>
      <w:r>
        <w:rPr>
          <w:rFonts w:hint="eastAsia" w:ascii="仿宋" w:hAnsi="仿宋" w:eastAsia="仿宋" w:cs="仿宋"/>
          <w:sz w:val="32"/>
          <w:szCs w:val="32"/>
        </w:rPr>
        <w:t>加强财务管理，严格财务审核</w:t>
      </w:r>
      <w:r>
        <w:rPr>
          <w:rFonts w:hint="eastAsia" w:ascii="仿宋" w:hAnsi="仿宋" w:eastAsia="仿宋" w:cs="仿宋"/>
          <w:sz w:val="32"/>
          <w:szCs w:val="32"/>
          <w:lang w:eastAsia="zh-CN"/>
        </w:rPr>
        <w:t>，</w:t>
      </w:r>
      <w:r>
        <w:rPr>
          <w:rFonts w:hint="eastAsia" w:ascii="仿宋" w:hAnsi="仿宋" w:eastAsia="仿宋" w:cs="仿宋"/>
          <w:sz w:val="32"/>
          <w:szCs w:val="32"/>
        </w:rPr>
        <w:t>在费用报账支付时，按照预算规定的费用项目和用途进行资金使用审核、列报支付、财务核算，杜绝超支现象的发生。</w:t>
      </w:r>
      <w:r>
        <w:rPr>
          <w:rFonts w:hint="eastAsia" w:ascii="仿宋" w:hAnsi="仿宋" w:eastAsia="仿宋" w:cs="仿宋"/>
          <w:sz w:val="32"/>
          <w:szCs w:val="32"/>
          <w:lang w:val="en-US" w:eastAsia="zh-CN"/>
        </w:rPr>
        <w:t>加强项目开展进度的跟踪，开展项目绩效监控，确保项目绩效目标的完成。</w:t>
      </w:r>
    </w:p>
    <w:p>
      <w:pPr>
        <w:keepNext w:val="0"/>
        <w:keepLines w:val="0"/>
        <w:pageBreakBefore w:val="0"/>
        <w:widowControl w:val="0"/>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p>
      <w:pPr>
        <w:keepNext w:val="0"/>
        <w:keepLines w:val="0"/>
        <w:pageBreakBefore w:val="0"/>
        <w:widowControl w:val="0"/>
        <w:kinsoku/>
        <w:wordWrap/>
        <w:overflowPunct/>
        <w:topLinePunct w:val="0"/>
        <w:autoSpaceDE/>
        <w:autoSpaceDN/>
        <w:bidi w:val="0"/>
        <w:adjustRightInd/>
        <w:snapToGrid/>
        <w:spacing w:line="588" w:lineRule="exact"/>
        <w:ind w:firstLine="640" w:firstLineChars="200"/>
        <w:textAlignment w:val="auto"/>
        <w:rPr>
          <w:rFonts w:hint="eastAsia" w:ascii="仿宋" w:eastAsia="仿宋"/>
          <w:sz w:val="32"/>
          <w:szCs w:val="32"/>
          <w:lang w:val="en-US" w:eastAsia="zh-CN"/>
        </w:rPr>
      </w:pPr>
      <w:r>
        <w:rPr>
          <w:rFonts w:hint="eastAsia" w:ascii="仿宋" w:eastAsia="仿宋"/>
          <w:sz w:val="32"/>
          <w:szCs w:val="32"/>
          <w:lang w:val="en-US" w:eastAsia="zh-CN"/>
        </w:rPr>
        <w:t>赵强胜 医疗保障局 党组书记</w:t>
      </w:r>
    </w:p>
    <w:p>
      <w:pPr>
        <w:keepNext w:val="0"/>
        <w:keepLines w:val="0"/>
        <w:pageBreakBefore w:val="0"/>
        <w:widowControl w:val="0"/>
        <w:kinsoku/>
        <w:wordWrap/>
        <w:overflowPunct/>
        <w:topLinePunct w:val="0"/>
        <w:autoSpaceDE/>
        <w:autoSpaceDN/>
        <w:bidi w:val="0"/>
        <w:adjustRightInd/>
        <w:snapToGrid/>
        <w:spacing w:line="588" w:lineRule="exact"/>
        <w:ind w:firstLine="640" w:firstLineChars="200"/>
        <w:textAlignment w:val="auto"/>
        <w:rPr>
          <w:rFonts w:hint="eastAsia" w:ascii="仿宋" w:eastAsia="仿宋"/>
          <w:sz w:val="32"/>
          <w:szCs w:val="32"/>
          <w:lang w:val="en-US" w:eastAsia="zh-CN"/>
        </w:rPr>
      </w:pPr>
      <w:r>
        <w:rPr>
          <w:rFonts w:hint="eastAsia" w:ascii="仿宋" w:eastAsia="仿宋"/>
          <w:sz w:val="32"/>
          <w:szCs w:val="32"/>
          <w:lang w:val="en-US" w:eastAsia="zh-CN"/>
        </w:rPr>
        <w:t xml:space="preserve">高玲玲 医疗保障局 局长 </w:t>
      </w:r>
    </w:p>
    <w:p>
      <w:pPr>
        <w:keepNext w:val="0"/>
        <w:keepLines w:val="0"/>
        <w:pageBreakBefore w:val="0"/>
        <w:widowControl w:val="0"/>
        <w:kinsoku/>
        <w:wordWrap/>
        <w:overflowPunct/>
        <w:topLinePunct w:val="0"/>
        <w:autoSpaceDE/>
        <w:autoSpaceDN/>
        <w:bidi w:val="0"/>
        <w:adjustRightInd/>
        <w:snapToGrid/>
        <w:spacing w:line="588" w:lineRule="exact"/>
        <w:ind w:firstLine="640" w:firstLineChars="200"/>
        <w:textAlignment w:val="auto"/>
        <w:rPr>
          <w:rFonts w:hint="eastAsia" w:ascii="仿宋" w:eastAsia="仿宋"/>
          <w:sz w:val="32"/>
          <w:szCs w:val="32"/>
          <w:lang w:val="en-US" w:eastAsia="zh-CN"/>
        </w:rPr>
      </w:pPr>
      <w:r>
        <w:rPr>
          <w:rFonts w:hint="eastAsia" w:ascii="仿宋" w:eastAsia="仿宋"/>
          <w:sz w:val="32"/>
          <w:szCs w:val="32"/>
          <w:lang w:val="en-US" w:eastAsia="zh-CN"/>
        </w:rPr>
        <w:t>张彦彬 医疗保障局 副局长</w:t>
      </w:r>
    </w:p>
    <w:p>
      <w:pPr>
        <w:keepNext w:val="0"/>
        <w:keepLines w:val="0"/>
        <w:pageBreakBefore w:val="0"/>
        <w:widowControl w:val="0"/>
        <w:kinsoku/>
        <w:wordWrap/>
        <w:overflowPunct/>
        <w:topLinePunct w:val="0"/>
        <w:autoSpaceDE/>
        <w:autoSpaceDN/>
        <w:bidi w:val="0"/>
        <w:adjustRightInd/>
        <w:snapToGrid/>
        <w:spacing w:line="588" w:lineRule="exact"/>
        <w:ind w:firstLine="640" w:firstLineChars="200"/>
        <w:textAlignment w:val="auto"/>
        <w:rPr>
          <w:rFonts w:hint="eastAsia" w:ascii="仿宋" w:eastAsia="仿宋"/>
          <w:sz w:val="32"/>
          <w:szCs w:val="32"/>
          <w:lang w:val="en-US" w:eastAsia="zh-CN"/>
        </w:rPr>
      </w:pPr>
      <w:r>
        <w:rPr>
          <w:rFonts w:hint="eastAsia" w:ascii="仿宋" w:eastAsia="仿宋"/>
          <w:sz w:val="32"/>
          <w:szCs w:val="32"/>
          <w:lang w:val="en-US" w:eastAsia="zh-CN"/>
        </w:rPr>
        <w:t>孙文兴 医疗保障局 副局长</w:t>
      </w:r>
    </w:p>
    <w:p>
      <w:pPr>
        <w:keepNext w:val="0"/>
        <w:keepLines w:val="0"/>
        <w:pageBreakBefore w:val="0"/>
        <w:widowControl w:val="0"/>
        <w:kinsoku/>
        <w:wordWrap/>
        <w:overflowPunct/>
        <w:topLinePunct w:val="0"/>
        <w:autoSpaceDE/>
        <w:autoSpaceDN/>
        <w:bidi w:val="0"/>
        <w:adjustRightInd/>
        <w:snapToGrid/>
        <w:spacing w:line="588" w:lineRule="exact"/>
        <w:ind w:firstLine="640" w:firstLineChars="200"/>
        <w:textAlignment w:val="auto"/>
        <w:rPr>
          <w:rFonts w:hint="eastAsia" w:ascii="仿宋" w:eastAsia="仿宋"/>
          <w:sz w:val="32"/>
          <w:szCs w:val="32"/>
          <w:lang w:val="en-US" w:eastAsia="zh-CN"/>
        </w:rPr>
      </w:pPr>
      <w:r>
        <w:rPr>
          <w:rFonts w:hint="eastAsia" w:ascii="仿宋" w:eastAsia="仿宋"/>
          <w:sz w:val="32"/>
          <w:szCs w:val="32"/>
          <w:lang w:val="en-US" w:eastAsia="zh-CN"/>
        </w:rPr>
        <w:t>史增华 医疗保障局 办公室主任</w:t>
      </w:r>
    </w:p>
    <w:p>
      <w:pPr>
        <w:keepNext w:val="0"/>
        <w:keepLines w:val="0"/>
        <w:pageBreakBefore w:val="0"/>
        <w:widowControl w:val="0"/>
        <w:numPr>
          <w:ilvl w:val="0"/>
          <w:numId w:val="0"/>
        </w:numPr>
        <w:kinsoku/>
        <w:wordWrap/>
        <w:overflowPunct/>
        <w:topLinePunct w:val="0"/>
        <w:autoSpaceDE/>
        <w:autoSpaceDN/>
        <w:bidi w:val="0"/>
        <w:adjustRightInd/>
        <w:snapToGrid w:val="0"/>
        <w:spacing w:line="588" w:lineRule="exact"/>
        <w:ind w:left="630" w:leftChars="0" w:right="0" w:rightChars="0"/>
        <w:textAlignment w:val="auto"/>
        <w:outlineLvl w:val="9"/>
        <w:rPr>
          <w:rFonts w:hint="eastAsia" w:ascii="仿宋" w:hAnsi="仿宋" w:eastAsia="仿宋" w:cs="仿宋"/>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val="0"/>
        <w:spacing w:line="588"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1D2B1F"/>
    <w:multiLevelType w:val="singleLevel"/>
    <w:tmpl w:val="981D2B1F"/>
    <w:lvl w:ilvl="0" w:tentative="0">
      <w:start w:val="1"/>
      <w:numFmt w:val="decimal"/>
      <w:suff w:val="nothing"/>
      <w:lvlText w:val="%1、"/>
      <w:lvlJc w:val="left"/>
    </w:lvl>
  </w:abstractNum>
  <w:abstractNum w:abstractNumId="1">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2">
    <w:nsid w:val="285E6812"/>
    <w:multiLevelType w:val="singleLevel"/>
    <w:tmpl w:val="285E6812"/>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13B61930"/>
    <w:rsid w:val="199566E0"/>
    <w:rsid w:val="1BAF1154"/>
    <w:rsid w:val="1C655171"/>
    <w:rsid w:val="20276775"/>
    <w:rsid w:val="304A2E7E"/>
    <w:rsid w:val="30F62ADD"/>
    <w:rsid w:val="39A62D9C"/>
    <w:rsid w:val="3AEF6FE7"/>
    <w:rsid w:val="3D455739"/>
    <w:rsid w:val="3F3026CB"/>
    <w:rsid w:val="493B718D"/>
    <w:rsid w:val="4BDE2228"/>
    <w:rsid w:val="53A42ADD"/>
    <w:rsid w:val="5C4A315B"/>
    <w:rsid w:val="5FE70930"/>
    <w:rsid w:val="634D64A7"/>
    <w:rsid w:val="661D3074"/>
    <w:rsid w:val="6AFA500B"/>
    <w:rsid w:val="6BDE7164"/>
    <w:rsid w:val="6D1E3A7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15"/>
    <w:unhideWhenUsed/>
    <w:qFormat/>
    <w:uiPriority w:val="99"/>
    <w:pPr>
      <w:tabs>
        <w:tab w:val="center" w:pos="4153"/>
        <w:tab w:val="right" w:pos="8306"/>
      </w:tabs>
      <w:snapToGrid w:val="0"/>
      <w:jc w:val="left"/>
    </w:pPr>
    <w:rPr>
      <w:sz w:val="18"/>
      <w:szCs w:val="18"/>
    </w:rPr>
  </w:style>
  <w:style w:type="paragraph" w:styleId="3">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7">
    <w:name w:val="FollowedHyperlink"/>
    <w:basedOn w:val="6"/>
    <w:semiHidden/>
    <w:unhideWhenUsed/>
    <w:uiPriority w:val="0"/>
    <w:rPr>
      <w:color w:val="000000"/>
      <w:u w:val="none"/>
    </w:rPr>
  </w:style>
  <w:style w:type="character" w:styleId="8">
    <w:name w:val="Emphasis"/>
    <w:basedOn w:val="6"/>
    <w:qFormat/>
    <w:uiPriority w:val="20"/>
  </w:style>
  <w:style w:type="character" w:styleId="9">
    <w:name w:val="HTML Definition"/>
    <w:basedOn w:val="6"/>
    <w:semiHidden/>
    <w:unhideWhenUsed/>
    <w:uiPriority w:val="0"/>
  </w:style>
  <w:style w:type="character" w:styleId="10">
    <w:name w:val="HTML Variable"/>
    <w:basedOn w:val="6"/>
    <w:semiHidden/>
    <w:unhideWhenUsed/>
    <w:uiPriority w:val="0"/>
  </w:style>
  <w:style w:type="character" w:styleId="11">
    <w:name w:val="Hyperlink"/>
    <w:basedOn w:val="6"/>
    <w:semiHidden/>
    <w:unhideWhenUsed/>
    <w:uiPriority w:val="0"/>
    <w:rPr>
      <w:color w:val="000000"/>
      <w:u w:val="none"/>
    </w:rPr>
  </w:style>
  <w:style w:type="character" w:styleId="12">
    <w:name w:val="HTML Code"/>
    <w:basedOn w:val="6"/>
    <w:semiHidden/>
    <w:unhideWhenUsed/>
    <w:uiPriority w:val="0"/>
    <w:rPr>
      <w:rFonts w:ascii="Courier New" w:hAnsi="Courier New"/>
      <w:sz w:val="20"/>
    </w:rPr>
  </w:style>
  <w:style w:type="character" w:styleId="13">
    <w:name w:val="HTML Cite"/>
    <w:basedOn w:val="6"/>
    <w:semiHidden/>
    <w:unhideWhenUsed/>
    <w:uiPriority w:val="0"/>
  </w:style>
  <w:style w:type="character" w:customStyle="1" w:styleId="14">
    <w:name w:val="页眉 Char"/>
    <w:basedOn w:val="6"/>
    <w:link w:val="3"/>
    <w:qFormat/>
    <w:uiPriority w:val="99"/>
    <w:rPr>
      <w:sz w:val="18"/>
      <w:szCs w:val="18"/>
    </w:rPr>
  </w:style>
  <w:style w:type="character" w:customStyle="1" w:styleId="15">
    <w:name w:val="页脚 Char"/>
    <w:basedOn w:val="6"/>
    <w:link w:val="2"/>
    <w:qFormat/>
    <w:uiPriority w:val="99"/>
    <w:rPr>
      <w:sz w:val="18"/>
      <w:szCs w:val="18"/>
    </w:rPr>
  </w:style>
  <w:style w:type="character" w:customStyle="1" w:styleId="16">
    <w:name w:val="hover6"/>
    <w:basedOn w:val="6"/>
    <w:uiPriority w:val="0"/>
    <w:rPr>
      <w:color w:val="FF7B00"/>
    </w:rPr>
  </w:style>
  <w:style w:type="character" w:customStyle="1" w:styleId="17">
    <w:name w:val="hover"/>
    <w:basedOn w:val="6"/>
    <w:uiPriority w:val="0"/>
    <w:rPr>
      <w:color w:val="FF7B0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29</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2023-04-27T02:49:00Z</cp:lastPrinted>
  <dcterms:modified xsi:type="dcterms:W3CDTF">2023-04-27T03:27:02Z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