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石家庄市藁城区应急管理局</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职责：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2022年部门收支预算数为10608700元，决算数为11739526.94元。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default" w:ascii="仿宋" w:hAnsi="仿宋" w:eastAsia="仿宋" w:cs="仿宋"/>
          <w:sz w:val="32"/>
          <w:szCs w:val="32"/>
          <w:lang w:val="en-US" w:eastAsia="zh-CN"/>
        </w:rPr>
      </w:pPr>
      <w:r>
        <w:rPr>
          <w:rFonts w:hint="eastAsia" w:ascii="仿宋" w:hAnsi="仿宋" w:eastAsia="仿宋" w:cs="仿宋"/>
          <w:sz w:val="32"/>
          <w:szCs w:val="32"/>
          <w:lang w:eastAsia="zh-CN"/>
        </w:rPr>
        <w:t>部门整体支出绩效目标：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我单位对</w:t>
      </w:r>
      <w:r>
        <w:rPr>
          <w:rFonts w:hint="eastAsia" w:ascii="仿宋" w:hAnsi="仿宋" w:eastAsia="仿宋" w:cs="仿宋"/>
          <w:sz w:val="32"/>
          <w:szCs w:val="32"/>
          <w:lang w:val="en-US" w:eastAsia="zh-CN"/>
        </w:rPr>
        <w:t>2022年项目绩效自评工作高度重视，经局领导讨论研究，为我单位2022年14个项目分别成立了自评工作小组，明确了主管领导、业务科室等相关负责人，制定了自评工作方案，为此次自评工作做好了准备。</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项目绩效自评由自评工作小组主要负责实施，相关业务科室做好配合工作。首先对14个项目的实际完成情况进行全面的了解，是否达到年初预算的目标效果并较好地完成了当年工作；其次对项目资金的使用情况进行评价，通过查阅2022年项目明细账，年初预算项目绩效表，年终总结等材料，审查项目资金是否做到专款专用、支出进度是否达到年初计划；最后对项目的实施过程中存在的问题或潜在问题进行分析讨论，并提出可行性建议和措施。</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总体绩效目标实现情况：</w:t>
      </w:r>
      <w:r>
        <w:rPr>
          <w:rFonts w:hint="eastAsia" w:ascii="仿宋" w:hAnsi="仿宋" w:eastAsia="仿宋" w:cs="仿宋"/>
          <w:sz w:val="32"/>
          <w:szCs w:val="32"/>
          <w:lang w:val="en-US" w:eastAsia="zh-CN"/>
        </w:rPr>
        <w:t>2022年以来，我单位认真</w:t>
      </w:r>
      <w:r>
        <w:rPr>
          <w:rFonts w:hint="eastAsia" w:ascii="仿宋" w:hAnsi="仿宋" w:eastAsia="仿宋" w:cs="仿宋"/>
          <w:sz w:val="32"/>
          <w:szCs w:val="32"/>
          <w:lang w:eastAsia="zh-CN"/>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分项绩效目标实现情况：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（一）全区安全生产形势持续稳定。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落实全区安全隐患排查工作，增强全区人民的安全防范意识，在全区营造全民参与的安全生产工作氛围。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widowControl w:val="0"/>
        <w:numPr>
          <w:ilvl w:val="0"/>
          <w:numId w:val="2"/>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区安委会日常工作能力进一步提升。</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印制安全生产法律法规和区政府各类政策文件，及时贯彻落实安全生产规章标准。组织安全生产考评、定期开展安全生产督导检查。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全年召开4次以上安全生产例会安排部署、督促检查、指导协调全区安全生产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（三）应对自然灾害的能力显著提高。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健全自然灾害监测预警体系、推进自然灾害综合风险普查，提升监测能力，强化震情跟踪，发挥防汛抗旱减灾体系作用，维持全区安全的生产生活氛围。</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应急防汛物资储备资金补助力度达100%；坚持部门负责、属地为主的原则，逐层逐级压实防汛责任，灾害信息在12小时内进行报送，未发生重大负面舆情和事件。</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全面完成风险普查调查任务，协调各部门完成普查数据汇交，多方探索风险普查成果落地应用，率先在全市上报了我区工勘孔地质信息，现已完成省市验收工作，我单位被评为2022年全省房屋设施抗震设防信息采集工作表现突出单位。</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（四）应急管理机制更加健全。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重演练，提高应急救援能力，我单位全力承办了“6.28藁城区防洪抢险应急救援综合演练”，通过实景实地实战捋顺了应急指挥体系，强化了抗洪抢险救援队伍的能力，演练活动被国家、省、市级媒体广泛宣传报道。</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立足实际，完善应急预案修编，完成了《藁城区“十四五”应急管理体系规划》、《石家庄市藁城区防汛抗旱应急预案》、《石家庄市藁城区生产安全事故综合应急预案》和《石家庄市藁城区自然灾害救助应急预案》的修订、发布工作，着力形成“横向到边、纵向到底”较为完备的应急预案体系。</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技术牵引，提升科技信息化水平，推进全区化工和工商贸领域企业作业场所视频监控全覆盖项目建设，覆盖全区109家危化企业、1512家工贸企业，共计3879个视频监控点位。视频监控平台具备对全区企业的视频监控、存储、上传等功能，实现省、市、区三级贯通互联。</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（五）全区农村安全生活得到有效保障。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为全区199209农户购买农房保险，2022年完成赔付8起37户，合计赔付32.9666万元。完善新型农民群众农村住房灾害救助体系，帮助农民住房灾后重建，有效提升农村农民群众住房抵御自然灾害风险的能力和灾后补偿水平。</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安全聚焦》宣传栏目资金。产出指标：电视台制作栏目期数为18期；对藁城区应急管理局重点亮点工作，进行了宣传报道，向企业、市民宣传安全生产法律法规知识，提升安全生产意识。；每期节目播出频率为2期/月；每期节目所需费用为0.5万元/期。效益指标：提升社会大众安全生产意识，增强防灾减灾及安全生产能力。整体得分89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default" w:ascii="仿宋" w:hAnsi="仿宋" w:eastAsia="仿宋" w:cs="仿宋"/>
          <w:sz w:val="32"/>
          <w:szCs w:val="32"/>
          <w:lang w:val="en-US" w:eastAsia="zh-CN"/>
        </w:rPr>
        <w:t>安全生产监管经费（运转保障</w:t>
      </w:r>
      <w:r>
        <w:rPr>
          <w:rFonts w:hint="eastAsia" w:ascii="仿宋" w:hAnsi="仿宋" w:eastAsia="仿宋" w:cs="仿宋"/>
          <w:sz w:val="32"/>
          <w:szCs w:val="32"/>
          <w:lang w:val="en-US" w:eastAsia="zh-CN"/>
        </w:rPr>
        <w:t>）。产出指标：执法检查企业197家次；印制宣教资料4.1万册；征订杂志报刊1000份；聘用法律顾问1人；租用3辆车保证行政执法交通；按时支付4名劳务派遣人员工资；检查企业立案率为23.86%；支出进度6月底达60%，10月底达90%；预算成本不超过年度预算。效益指标：在上级安全生产年度考核中取得优秀成绩。整体得分97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default" w:ascii="仿宋" w:hAnsi="仿宋" w:eastAsia="仿宋" w:cs="仿宋"/>
          <w:sz w:val="32"/>
          <w:szCs w:val="32"/>
          <w:lang w:val="en-US" w:eastAsia="zh-CN"/>
        </w:rPr>
        <w:t>城中村改造驻村工作组经费补助（应急局）</w:t>
      </w:r>
      <w:r>
        <w:rPr>
          <w:rFonts w:hint="eastAsia" w:ascii="仿宋" w:hAnsi="仿宋" w:eastAsia="仿宋" w:cs="仿宋"/>
          <w:sz w:val="32"/>
          <w:szCs w:val="32"/>
          <w:lang w:val="en-US" w:eastAsia="zh-CN"/>
        </w:rPr>
        <w:t>。产出指标：签约户数为30户；签约完成率为100%；签约时间已根据工作要求完成签约；补助经费为10万元。效益指标：形成良好工作氛围，干部工作积极性显著提高。整体得分100分，评价等级为优秀。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default" w:ascii="仿宋" w:hAnsi="仿宋" w:eastAsia="仿宋" w:cs="仿宋"/>
          <w:sz w:val="32"/>
          <w:szCs w:val="32"/>
          <w:lang w:val="en-US" w:eastAsia="zh-CN"/>
        </w:rPr>
        <w:t>地震观测人员补助</w:t>
      </w:r>
      <w:r>
        <w:rPr>
          <w:rFonts w:hint="eastAsia" w:ascii="仿宋" w:hAnsi="仿宋" w:eastAsia="仿宋" w:cs="仿宋"/>
          <w:sz w:val="32"/>
          <w:szCs w:val="32"/>
          <w:lang w:val="en-US" w:eastAsia="zh-CN"/>
        </w:rPr>
        <w:t>。产出指标：地震监测数据8760个；地震监测数据准确，读图准确，不出错误；数据上报及时，每天按时上报；平均监测每个数据的成本≤1元/个。效益指标：数据平稳，未发现地震迹象。整体得分99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default" w:ascii="仿宋" w:hAnsi="仿宋" w:eastAsia="仿宋" w:cs="仿宋"/>
          <w:sz w:val="32"/>
          <w:szCs w:val="32"/>
          <w:lang w:val="en-US" w:eastAsia="zh-CN"/>
        </w:rPr>
        <w:t>防汛抗旱应急预案修订及防汛演练资金</w:t>
      </w:r>
      <w:r>
        <w:rPr>
          <w:rFonts w:hint="eastAsia" w:ascii="仿宋" w:hAnsi="仿宋" w:eastAsia="仿宋" w:cs="仿宋"/>
          <w:sz w:val="32"/>
          <w:szCs w:val="32"/>
          <w:lang w:val="en-US" w:eastAsia="zh-CN"/>
        </w:rPr>
        <w:t>。完成项目数量为4项；完成率100%；应急预案修订并完成演练的时间为2022.06.28；修订预案及演练的费用10.9万元。效益指标：修订了《防汛抗旱应急预案》，演练提升了应急防汛抢险救援能力。整体得分96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default" w:ascii="仿宋" w:hAnsi="仿宋" w:eastAsia="仿宋" w:cs="仿宋"/>
          <w:sz w:val="32"/>
          <w:szCs w:val="32"/>
          <w:lang w:val="en-US" w:eastAsia="zh-CN"/>
        </w:rPr>
        <w:t>藁城区应急管理体系、防震减灾“十四五”规划编制经费</w:t>
      </w:r>
      <w:r>
        <w:rPr>
          <w:rFonts w:hint="eastAsia" w:ascii="仿宋" w:hAnsi="仿宋" w:eastAsia="仿宋" w:cs="仿宋"/>
          <w:sz w:val="32"/>
          <w:szCs w:val="32"/>
          <w:lang w:val="en-US" w:eastAsia="zh-CN"/>
        </w:rPr>
        <w:t>；规划文本数量为2份；规划征求相关单位意见，通过专家评审；完成时间为9月底前；规划编制费用为7.5万元。效益指标：有效指导应急管理和防震减灾工作得到落实。整体得分98分，评价等级为优秀。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七）河北省应急通信保障能力提升工程“应急通信系统装备”配套资金。产出指标：设备数量为9套；通信设备使用率为100%；完成时间为2022.7.14；项目建设费用4.771万元。效益指标：已完成调度系统的调试和交付，目前已正式上线使用。整体得分98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default" w:ascii="仿宋" w:hAnsi="仿宋" w:eastAsia="仿宋" w:cs="仿宋"/>
          <w:sz w:val="32"/>
          <w:szCs w:val="32"/>
          <w:lang w:val="en-US" w:eastAsia="zh-CN"/>
        </w:rPr>
        <w:t>巨灾救助保险</w:t>
      </w:r>
      <w:r>
        <w:rPr>
          <w:rFonts w:hint="eastAsia" w:ascii="仿宋" w:hAnsi="仿宋" w:eastAsia="仿宋" w:cs="仿宋"/>
          <w:sz w:val="32"/>
          <w:szCs w:val="32"/>
          <w:lang w:val="en-US" w:eastAsia="zh-CN"/>
        </w:rPr>
        <w:t>。产出指标：保险合同覆盖所有承保内容；保险公司已累计赔付7.67万元；项目12月底已完成；保险费用为29万元。效益指标：有效缓解政府灾后重建资金压力，推进灾害风险社会共治，保障社会生产生活稳定。整体得分100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（九）</w:t>
      </w:r>
      <w:r>
        <w:rPr>
          <w:rFonts w:hint="default" w:ascii="仿宋" w:hAnsi="仿宋" w:eastAsia="仿宋" w:cs="仿宋"/>
          <w:sz w:val="32"/>
          <w:szCs w:val="32"/>
          <w:lang w:val="en-US" w:eastAsia="zh-CN"/>
        </w:rPr>
        <w:t>全区安全隐患排查经费</w:t>
      </w:r>
      <w:r>
        <w:rPr>
          <w:rFonts w:hint="eastAsia" w:ascii="仿宋" w:hAnsi="仿宋" w:eastAsia="仿宋" w:cs="仿宋"/>
          <w:sz w:val="32"/>
          <w:szCs w:val="32"/>
          <w:lang w:val="en-US" w:eastAsia="zh-CN"/>
        </w:rPr>
        <w:t>。产出指标：危化和工贸企业隐患排查数为197家；企业整改隐患数量占排查隐患总数的比重为100%；支出进度为9月底达60%，12月底达100%；危化和工贸每标段平均成本为19.75万元。效益指标：全区安全形势稳定，未发生生产安全事故。整体得分99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（十）</w:t>
      </w:r>
      <w:r>
        <w:rPr>
          <w:rFonts w:hint="default" w:ascii="仿宋" w:hAnsi="仿宋" w:eastAsia="仿宋" w:cs="仿宋"/>
          <w:sz w:val="32"/>
          <w:szCs w:val="32"/>
          <w:lang w:val="en-US" w:eastAsia="zh-CN"/>
        </w:rPr>
        <w:t>全区农房保险补贴资金</w:t>
      </w:r>
      <w:r>
        <w:rPr>
          <w:rFonts w:hint="eastAsia" w:ascii="仿宋" w:hAnsi="仿宋" w:eastAsia="仿宋" w:cs="仿宋"/>
          <w:sz w:val="32"/>
          <w:szCs w:val="32"/>
          <w:lang w:val="en-US" w:eastAsia="zh-CN"/>
        </w:rPr>
        <w:t>。产出指标：保险覆盖面为199209户；理赔标准执行率为100%；接险后在规定时间内完成赔付，完成赔付8起37户，合计赔付32.9666万元；保险成本＜2元/户。效益指标：完成赔付8起37户，合计赔付32.9666万元，降低灾害对群众的损失，促进恢复重建。整体得分94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（十一）</w:t>
      </w:r>
      <w:r>
        <w:rPr>
          <w:rFonts w:hint="default" w:ascii="仿宋" w:hAnsi="仿宋" w:eastAsia="仿宋" w:cs="仿宋"/>
          <w:sz w:val="32"/>
          <w:szCs w:val="32"/>
          <w:lang w:val="en-US" w:eastAsia="zh-CN"/>
        </w:rPr>
        <w:t>石财建[2021]87号提前下达2022年自然灾害救助专项资金</w:t>
      </w:r>
      <w:r>
        <w:rPr>
          <w:rFonts w:hint="eastAsia" w:ascii="仿宋" w:hAnsi="仿宋" w:eastAsia="仿宋" w:cs="仿宋"/>
          <w:sz w:val="32"/>
          <w:szCs w:val="32"/>
          <w:lang w:val="en-US" w:eastAsia="zh-CN"/>
        </w:rPr>
        <w:t>。产出指标：保险覆盖面为199209户；理赔标准执行率为100%；接险后在规定时间内完成赔付，完成赔付8起37户，合计赔付32.9666万元；保险成本为5元/户。效益指标：完成赔付8起37户，合计赔付32.9666万元，降低灾害对群众的损失，促进恢复重建。整体得分97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（十二）</w:t>
      </w:r>
      <w:r>
        <w:rPr>
          <w:rFonts w:hint="default" w:ascii="仿宋" w:hAnsi="仿宋" w:eastAsia="仿宋" w:cs="仿宋"/>
          <w:sz w:val="32"/>
          <w:szCs w:val="32"/>
          <w:lang w:val="en-US" w:eastAsia="zh-CN"/>
        </w:rPr>
        <w:t>石家庄市现代食品产业园区域性地震安全性评价</w:t>
      </w:r>
      <w:r>
        <w:rPr>
          <w:rFonts w:hint="eastAsia" w:ascii="仿宋" w:hAnsi="仿宋" w:eastAsia="仿宋" w:cs="仿宋"/>
          <w:sz w:val="32"/>
          <w:szCs w:val="32"/>
          <w:lang w:val="en-US" w:eastAsia="zh-CN"/>
        </w:rPr>
        <w:t>。产出指标：报告文本数量为6份；报告通过相关部门评审；完成时间为合同签订后90天内完成；规划编制费用为56.3万元。效益指标：入园企业通过应用报告，缩短项目审批时间。整体得分98分，评价等级为优秀。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（十三）</w:t>
      </w:r>
      <w:r>
        <w:rPr>
          <w:rFonts w:hint="default" w:ascii="仿宋" w:hAnsi="仿宋" w:eastAsia="仿宋" w:cs="仿宋"/>
          <w:sz w:val="32"/>
          <w:szCs w:val="32"/>
          <w:lang w:val="en-US" w:eastAsia="zh-CN"/>
        </w:rPr>
        <w:t>武警部队应急救援装备采购资金</w:t>
      </w:r>
      <w:r>
        <w:rPr>
          <w:rFonts w:hint="eastAsia" w:ascii="仿宋" w:hAnsi="仿宋" w:eastAsia="仿宋" w:cs="仿宋"/>
          <w:sz w:val="32"/>
          <w:szCs w:val="32"/>
          <w:lang w:val="en-US" w:eastAsia="zh-CN"/>
        </w:rPr>
        <w:t>。产出指标：应急救援装备物资采购数量为146件；应急救援装备物资配备率为100%；采购时间为2022.7.11；应急救援装备物资成本为6.1545万元。效益指标：应急救援装备水平进一步提高，火灾、地震等重大灾害应对处置更加高效。整体得分92分，评价等级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（十四）</w:t>
      </w:r>
      <w:r>
        <w:rPr>
          <w:rFonts w:hint="default" w:ascii="仿宋" w:hAnsi="仿宋" w:eastAsia="仿宋" w:cs="仿宋"/>
          <w:sz w:val="32"/>
          <w:szCs w:val="32"/>
          <w:lang w:val="en-US" w:eastAsia="zh-CN"/>
        </w:rPr>
        <w:t>应急防汛物资储备资金</w:t>
      </w:r>
      <w:r>
        <w:rPr>
          <w:rFonts w:hint="eastAsia" w:ascii="仿宋" w:hAnsi="仿宋" w:eastAsia="仿宋" w:cs="仿宋"/>
          <w:sz w:val="32"/>
          <w:szCs w:val="32"/>
          <w:lang w:val="en-US" w:eastAsia="zh-CN"/>
        </w:rPr>
        <w:t>。产出指标：开展防汛抗旱会议会议为4次；合理利用资金，从物资号备各方面，确保我区安全度汛；号备物资成本≤200元。效益指标：切实负起责任，加强日常防汛隐患排查，做到“汛期不停，排查不停”，并将排查出的隐患及时整治完成。切实各自建成一支精炼的防汛队伍，保证能及时做好抗洪抢险工作，同时要把各成员单位的防汛物资储备充足，保证能及时用到应急防汛工作中。整体得分95.8分，评价等级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u w:val="none"/>
          <w:lang w:eastAsia="zh-CN"/>
        </w:rPr>
      </w:pPr>
      <w:r>
        <w:rPr>
          <w:rFonts w:hint="eastAsia" w:ascii="仿宋" w:hAnsi="仿宋" w:eastAsia="仿宋" w:cs="仿宋"/>
          <w:sz w:val="32"/>
          <w:szCs w:val="32"/>
          <w:u w:val="none"/>
          <w:lang w:eastAsia="zh-CN"/>
        </w:rPr>
        <w:t>我单位对</w:t>
      </w:r>
      <w:r>
        <w:rPr>
          <w:rFonts w:hint="eastAsia" w:ascii="仿宋" w:hAnsi="仿宋" w:eastAsia="仿宋" w:cs="仿宋"/>
          <w:sz w:val="32"/>
          <w:szCs w:val="32"/>
          <w:u w:val="none"/>
          <w:lang w:val="en-US" w:eastAsia="zh-CN"/>
        </w:rPr>
        <w:t>2022年14个</w:t>
      </w:r>
      <w:r>
        <w:rPr>
          <w:rFonts w:hint="eastAsia" w:ascii="仿宋" w:hAnsi="仿宋" w:eastAsia="仿宋" w:cs="仿宋"/>
          <w:sz w:val="32"/>
          <w:szCs w:val="32"/>
          <w:u w:val="none"/>
          <w:lang w:eastAsia="zh-CN"/>
        </w:rPr>
        <w:t>项目进行了认真的自评和分析，讨论总结了项目存在的问题和不足，主要是《安全聚焦》宣传栏目资金项目，预期节目播出数为</w:t>
      </w:r>
      <w:r>
        <w:rPr>
          <w:rFonts w:hint="eastAsia" w:ascii="仿宋" w:hAnsi="仿宋" w:eastAsia="仿宋" w:cs="仿宋"/>
          <w:sz w:val="32"/>
          <w:szCs w:val="32"/>
          <w:u w:val="none"/>
          <w:lang w:val="en-US" w:eastAsia="zh-CN"/>
        </w:rPr>
        <w:t>24期，因为疫情影响、融媒体制作人员个人情况等原因，目前制作完成18期节目，导致约定的6期节目拍摄被延误</w:t>
      </w:r>
      <w:r>
        <w:rPr>
          <w:rFonts w:hint="eastAsia" w:ascii="仿宋" w:hAnsi="仿宋" w:eastAsia="仿宋" w:cs="仿宋"/>
          <w:sz w:val="32"/>
          <w:szCs w:val="32"/>
          <w:u w:val="none"/>
          <w:lang w:eastAsia="zh-CN"/>
        </w:rPr>
        <w:t>。针对这项问题，我单位拟与融媒体中心补签合同，完成剩余6期节目的拍摄制作。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2022年我单位在</w:t>
      </w:r>
      <w:r>
        <w:rPr>
          <w:rFonts w:hint="eastAsia" w:ascii="仿宋" w:hAnsi="仿宋" w:eastAsia="仿宋" w:cs="仿宋"/>
          <w:sz w:val="32"/>
          <w:szCs w:val="32"/>
          <w:u w:val="none"/>
          <w:lang w:eastAsia="zh-CN"/>
        </w:rPr>
        <w:t>健全制度方面</w:t>
      </w:r>
      <w:r>
        <w:rPr>
          <w:rFonts w:hint="eastAsia" w:ascii="仿宋" w:hAnsi="仿宋" w:eastAsia="仿宋" w:cs="仿宋"/>
          <w:sz w:val="32"/>
          <w:szCs w:val="32"/>
          <w:u w:val="none"/>
          <w:lang w:val="en-US" w:eastAsia="zh-CN"/>
        </w:rPr>
        <w:t>继续根据区财政关于资金支出方面的要求进行项目开展工作，完善内部控制制度，严格按照预算科目的功能和单位实际工作需要进行年初项目的预算安排，并在年中严格执行。在优化流程方面，要求项目责任股室从项目申请、财政评审、绩效目标设置到预算执行，全流程按照财务制度进行。对于各股室申请的项目资金，留存相关材料，了解资金的主要用途、各项活动的资金需求，便于更准确地做好本年度的项目绩效自评和下年度项目预算目标和指标的制定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u w:val="none"/>
          <w:lang w:val="en-US" w:eastAsia="zh-CN"/>
        </w:rPr>
        <w:t>2022年项目</w:t>
      </w:r>
      <w:r>
        <w:rPr>
          <w:rFonts w:hint="eastAsia" w:ascii="仿宋" w:hAnsi="仿宋" w:eastAsia="仿宋" w:cs="仿宋"/>
          <w:sz w:val="32"/>
          <w:szCs w:val="32"/>
          <w:u w:val="none"/>
          <w:lang w:eastAsia="zh-CN"/>
        </w:rPr>
        <w:t>在绩效指标设置上更为具体详细、贴近实际工作，但个别指标描述与实际还有细微差别。今后做年初项目预算时，应与责任股室进行充分沟通，加强项目内容了解，指导责任股室更准确地设置绩效指标。</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pPr w:leftFromText="180" w:rightFromText="180" w:vertAnchor="text" w:horzAnchor="page" w:tblpXSpec="center" w:tblpY="245"/>
        <w:tblOverlap w:val="never"/>
        <w:tblW w:w="824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510"/>
        <w:gridCol w:w="2046"/>
        <w:gridCol w:w="1901"/>
        <w:gridCol w:w="20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c>
          <w:tcPr>
            <w:tcW w:w="2046"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工作单位</w:t>
            </w:r>
          </w:p>
        </w:tc>
        <w:tc>
          <w:tcPr>
            <w:tcW w:w="1901"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2074"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张立辉</w:t>
            </w:r>
          </w:p>
        </w:tc>
        <w:tc>
          <w:tcPr>
            <w:tcW w:w="2046"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1901"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局长</w:t>
            </w:r>
          </w:p>
        </w:tc>
        <w:tc>
          <w:tcPr>
            <w:tcW w:w="2074"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吴国立</w:t>
            </w:r>
          </w:p>
        </w:tc>
        <w:tc>
          <w:tcPr>
            <w:tcW w:w="2046"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1901"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28"/>
                <w:szCs w:val="28"/>
                <w:lang w:val="en-US" w:eastAsia="zh-CN"/>
              </w:rPr>
              <w:t>副局长</w:t>
            </w:r>
            <w:bookmarkStart w:id="0" w:name="_GoBack"/>
            <w:bookmarkEnd w:id="0"/>
          </w:p>
        </w:tc>
        <w:tc>
          <w:tcPr>
            <w:tcW w:w="2074"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吴立娴</w:t>
            </w:r>
          </w:p>
        </w:tc>
        <w:tc>
          <w:tcPr>
            <w:tcW w:w="2046"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1901"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28"/>
                <w:szCs w:val="28"/>
                <w:lang w:val="en-US" w:eastAsia="zh-CN"/>
              </w:rPr>
              <w:t>办公室主任</w:t>
            </w:r>
          </w:p>
        </w:tc>
        <w:tc>
          <w:tcPr>
            <w:tcW w:w="2074"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3D233798"/>
    <w:multiLevelType w:val="singleLevel"/>
    <w:tmpl w:val="3D233798"/>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38C3C2D"/>
    <w:rsid w:val="043D2B30"/>
    <w:rsid w:val="051D4810"/>
    <w:rsid w:val="055B525F"/>
    <w:rsid w:val="0F316A24"/>
    <w:rsid w:val="0F6E7C5F"/>
    <w:rsid w:val="0FAD2197"/>
    <w:rsid w:val="10FB69FE"/>
    <w:rsid w:val="10FF196B"/>
    <w:rsid w:val="11367078"/>
    <w:rsid w:val="13B61930"/>
    <w:rsid w:val="14312887"/>
    <w:rsid w:val="19C211FA"/>
    <w:rsid w:val="1BAF1154"/>
    <w:rsid w:val="1C655171"/>
    <w:rsid w:val="1D932338"/>
    <w:rsid w:val="1FD16B8A"/>
    <w:rsid w:val="20276775"/>
    <w:rsid w:val="20F53695"/>
    <w:rsid w:val="29893467"/>
    <w:rsid w:val="2A501A9E"/>
    <w:rsid w:val="36400CE6"/>
    <w:rsid w:val="36AC2DB4"/>
    <w:rsid w:val="37014A28"/>
    <w:rsid w:val="379D06B9"/>
    <w:rsid w:val="3A1E5EF7"/>
    <w:rsid w:val="3A460D31"/>
    <w:rsid w:val="3AEF6FE7"/>
    <w:rsid w:val="3C9E5022"/>
    <w:rsid w:val="3D5F3CE9"/>
    <w:rsid w:val="40C45E33"/>
    <w:rsid w:val="48840A14"/>
    <w:rsid w:val="493B718D"/>
    <w:rsid w:val="4C860ABD"/>
    <w:rsid w:val="4D4A6D0B"/>
    <w:rsid w:val="4DB65FAC"/>
    <w:rsid w:val="4E380EE9"/>
    <w:rsid w:val="50441D38"/>
    <w:rsid w:val="53A42ADD"/>
    <w:rsid w:val="55474583"/>
    <w:rsid w:val="5C1A6B0C"/>
    <w:rsid w:val="5C3F1825"/>
    <w:rsid w:val="5C4A315B"/>
    <w:rsid w:val="5F4D7FA6"/>
    <w:rsid w:val="62A444E8"/>
    <w:rsid w:val="661D3074"/>
    <w:rsid w:val="6BDE7164"/>
    <w:rsid w:val="6F855BCD"/>
    <w:rsid w:val="71E1041F"/>
    <w:rsid w:val="734A59F6"/>
    <w:rsid w:val="794131FB"/>
    <w:rsid w:val="7DD67FCE"/>
    <w:rsid w:val="7E02584B"/>
    <w:rsid w:val="7F18788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Normal]"/>
    <w:unhideWhenUsed/>
    <w:uiPriority w:val="99"/>
    <w:pPr>
      <w:widowControl w:val="0"/>
      <w:autoSpaceDE w:val="0"/>
      <w:autoSpaceDN w:val="0"/>
      <w:adjustRightInd w:val="0"/>
      <w:spacing w:beforeLines="0" w:afterLines="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gaj</cp:lastModifiedBy>
  <cp:lastPrinted>2021-02-24T05:43:00Z</cp:lastPrinted>
  <dcterms:modified xsi:type="dcterms:W3CDTF">2023-04-28T01:08:46Z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