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440FCA">
      <w:pPr>
        <w:keepNext w:val="0"/>
        <w:keepLines w:val="0"/>
        <w:pageBreakBefore w:val="0"/>
        <w:widowControl w:val="0"/>
        <w:kinsoku/>
        <w:wordWrap/>
        <w:overflowPunct/>
        <w:topLinePunct w:val="0"/>
        <w:autoSpaceDE/>
        <w:autoSpaceDN/>
        <w:bidi w:val="0"/>
        <w:adjustRightInd/>
        <w:snapToGrid w:val="0"/>
        <w:spacing w:line="560" w:lineRule="exact"/>
        <w:ind w:leftChars="100" w:right="0" w:firstLine="883" w:firstLineChars="200"/>
        <w:jc w:val="center"/>
        <w:textAlignment w:val="auto"/>
        <w:outlineLvl w:val="9"/>
        <w:rPr>
          <w:rFonts w:hint="eastAsia" w:asciiTheme="majorEastAsia" w:hAnsiTheme="majorEastAsia" w:eastAsiaTheme="majorEastAsia" w:cstheme="majorEastAsia"/>
          <w:b/>
          <w:bCs/>
          <w:sz w:val="44"/>
          <w:szCs w:val="44"/>
          <w:lang w:val="en-US" w:eastAsia="zh-CN"/>
        </w:rPr>
      </w:pPr>
    </w:p>
    <w:p w14:paraId="216F6F96">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default" w:asciiTheme="majorEastAsia" w:hAnsiTheme="majorEastAsia" w:eastAsiaTheme="majorEastAsia" w:cstheme="majorEastAsia"/>
          <w:b/>
          <w:bCs/>
          <w:sz w:val="44"/>
          <w:szCs w:val="44"/>
          <w:lang w:val="en-US" w:eastAsia="zh-CN"/>
        </w:rPr>
      </w:pPr>
      <w:r>
        <w:rPr>
          <w:rFonts w:hint="eastAsia" w:asciiTheme="majorEastAsia" w:hAnsiTheme="majorEastAsia" w:eastAsiaTheme="majorEastAsia" w:cstheme="majorEastAsia"/>
          <w:b/>
          <w:bCs/>
          <w:sz w:val="44"/>
          <w:szCs w:val="44"/>
          <w:lang w:val="en-US" w:eastAsia="zh-CN"/>
        </w:rPr>
        <w:t>藁城区委政法委</w:t>
      </w:r>
    </w:p>
    <w:p w14:paraId="0606398F">
      <w:pPr>
        <w:keepNext w:val="0"/>
        <w:keepLines w:val="0"/>
        <w:pageBreakBefore w:val="0"/>
        <w:widowControl w:val="0"/>
        <w:kinsoku/>
        <w:wordWrap/>
        <w:overflowPunct/>
        <w:topLinePunct w:val="0"/>
        <w:autoSpaceDE/>
        <w:autoSpaceDN/>
        <w:bidi w:val="0"/>
        <w:adjustRightInd/>
        <w:snapToGrid w:val="0"/>
        <w:spacing w:line="560" w:lineRule="exact"/>
        <w:ind w:right="0"/>
        <w:jc w:val="center"/>
        <w:textAlignment w:val="auto"/>
        <w:outlineLvl w:val="9"/>
        <w:rPr>
          <w:rFonts w:hint="eastAsia"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2</w:t>
      </w:r>
      <w:r>
        <w:rPr>
          <w:rFonts w:hint="eastAsia" w:ascii="宋体" w:hAnsi="宋体" w:cs="宋体"/>
          <w:b/>
          <w:bCs/>
          <w:sz w:val="44"/>
          <w:szCs w:val="44"/>
        </w:rPr>
        <w:t>年度部门整体支出绩效评价报告</w:t>
      </w:r>
    </w:p>
    <w:p w14:paraId="6E87A65C">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宋体"/>
          <w:sz w:val="32"/>
          <w:szCs w:val="32"/>
        </w:rPr>
        <w:t>为</w:t>
      </w:r>
      <w:r>
        <w:rPr>
          <w:rFonts w:hint="eastAsia" w:ascii="仿宋" w:hAnsi="仿宋" w:eastAsia="仿宋" w:cs="仿宋_GB2312"/>
          <w:sz w:val="32"/>
          <w:szCs w:val="32"/>
        </w:rPr>
        <w:t>进一步推进我</w:t>
      </w:r>
      <w:r>
        <w:rPr>
          <w:rFonts w:hint="eastAsia" w:ascii="仿宋" w:hAnsi="仿宋" w:eastAsia="仿宋" w:cs="仿宋_GB2312"/>
          <w:sz w:val="32"/>
          <w:szCs w:val="32"/>
          <w:lang w:eastAsia="zh-CN"/>
        </w:rPr>
        <w:t>区</w:t>
      </w:r>
      <w:r>
        <w:rPr>
          <w:rFonts w:hint="eastAsia" w:ascii="仿宋" w:hAnsi="仿宋" w:eastAsia="仿宋" w:cs="仿宋_GB2312"/>
          <w:sz w:val="32"/>
          <w:szCs w:val="32"/>
        </w:rPr>
        <w:t>绩效预算管理工作，提高财政资金</w:t>
      </w:r>
      <w:r>
        <w:rPr>
          <w:rFonts w:hint="eastAsia" w:ascii="仿宋" w:hAnsi="仿宋" w:eastAsia="仿宋" w:cs="宋体"/>
          <w:sz w:val="32"/>
          <w:szCs w:val="32"/>
        </w:rPr>
        <w:t>使用</w:t>
      </w:r>
      <w:r>
        <w:rPr>
          <w:rFonts w:hint="eastAsia" w:ascii="仿宋" w:hAnsi="仿宋" w:eastAsia="仿宋" w:cs="仿宋_GB2312"/>
          <w:sz w:val="32"/>
          <w:szCs w:val="32"/>
        </w:rPr>
        <w:t>效益和财政管理科学化、精细化水平</w:t>
      </w:r>
      <w:r>
        <w:rPr>
          <w:rFonts w:hint="eastAsia" w:ascii="仿宋" w:hAnsi="仿宋" w:eastAsia="仿宋" w:cs="宋体"/>
          <w:sz w:val="32"/>
          <w:szCs w:val="32"/>
        </w:rPr>
        <w:t>，</w:t>
      </w:r>
      <w:r>
        <w:rPr>
          <w:rFonts w:hint="eastAsia" w:ascii="仿宋" w:hAnsi="仿宋" w:eastAsia="仿宋" w:cs="仿宋_GB2312"/>
          <w:sz w:val="32"/>
          <w:szCs w:val="32"/>
        </w:rPr>
        <w:t>根据</w:t>
      </w:r>
      <w:r>
        <w:rPr>
          <w:rFonts w:hint="eastAsia" w:ascii="仿宋" w:hAnsi="仿宋" w:eastAsia="仿宋" w:cs="宋体"/>
          <w:sz w:val="32"/>
          <w:szCs w:val="32"/>
        </w:rPr>
        <w:t>《石家庄市</w:t>
      </w:r>
      <w:r>
        <w:rPr>
          <w:rFonts w:hint="eastAsia" w:ascii="仿宋" w:hAnsi="仿宋" w:eastAsia="仿宋" w:cs="宋体"/>
          <w:sz w:val="32"/>
          <w:szCs w:val="32"/>
          <w:lang w:eastAsia="zh-CN"/>
        </w:rPr>
        <w:t>藁城区区</w:t>
      </w:r>
      <w:r>
        <w:rPr>
          <w:rFonts w:hint="eastAsia" w:ascii="仿宋" w:hAnsi="仿宋" w:eastAsia="仿宋" w:cs="宋体"/>
          <w:sz w:val="32"/>
          <w:szCs w:val="32"/>
        </w:rPr>
        <w:t>级部门预算项目绩效自评管理办法》（</w:t>
      </w:r>
      <w:r>
        <w:rPr>
          <w:rFonts w:hint="eastAsia" w:ascii="仿宋" w:hAnsi="仿宋" w:eastAsia="仿宋" w:cs="宋体"/>
          <w:sz w:val="32"/>
          <w:szCs w:val="32"/>
          <w:lang w:eastAsia="zh-CN"/>
        </w:rPr>
        <w:t>藁财字</w:t>
      </w:r>
      <w:r>
        <w:rPr>
          <w:rFonts w:hint="eastAsia" w:ascii="仿宋" w:hAnsi="仿宋" w:eastAsia="仿宋" w:cs="仿宋"/>
          <w:sz w:val="32"/>
          <w:szCs w:val="32"/>
        </w:rPr>
        <w:t>〔2020〕</w:t>
      </w:r>
      <w:r>
        <w:rPr>
          <w:rFonts w:hint="eastAsia" w:ascii="仿宋" w:hAnsi="仿宋" w:eastAsia="仿宋" w:cs="仿宋"/>
          <w:sz w:val="32"/>
          <w:szCs w:val="32"/>
          <w:lang w:val="en-US" w:eastAsia="zh-CN"/>
        </w:rPr>
        <w:t>23</w:t>
      </w:r>
      <w:r>
        <w:rPr>
          <w:rFonts w:hint="eastAsia" w:ascii="仿宋" w:hAnsi="仿宋" w:eastAsia="仿宋" w:cs="仿宋"/>
          <w:sz w:val="32"/>
          <w:szCs w:val="32"/>
        </w:rPr>
        <w:t>号</w:t>
      </w:r>
      <w:r>
        <w:rPr>
          <w:rFonts w:hint="eastAsia" w:ascii="仿宋" w:hAnsi="仿宋" w:eastAsia="仿宋" w:cs="宋体"/>
          <w:sz w:val="32"/>
          <w:szCs w:val="32"/>
        </w:rPr>
        <w:t>）</w:t>
      </w:r>
      <w:r>
        <w:rPr>
          <w:rFonts w:hint="eastAsia" w:ascii="仿宋" w:hAnsi="仿宋" w:eastAsia="仿宋" w:cs="宋体"/>
          <w:sz w:val="32"/>
          <w:szCs w:val="32"/>
          <w:lang w:eastAsia="zh-CN"/>
        </w:rPr>
        <w:t>要求</w:t>
      </w:r>
      <w:r>
        <w:rPr>
          <w:rFonts w:hint="eastAsia" w:ascii="仿宋" w:hAnsi="仿宋" w:eastAsia="仿宋"/>
          <w:sz w:val="32"/>
          <w:szCs w:val="32"/>
        </w:rPr>
        <w:t>，遵循“科学性、规范性、客观性和公正性”的原则，</w:t>
      </w: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认真开展了202</w:t>
      </w:r>
      <w:r>
        <w:rPr>
          <w:rFonts w:hint="eastAsia" w:ascii="仿宋" w:hAnsi="仿宋" w:eastAsia="仿宋" w:cs="仿宋"/>
          <w:sz w:val="32"/>
          <w:szCs w:val="32"/>
          <w:lang w:val="en-US" w:eastAsia="zh-CN"/>
        </w:rPr>
        <w:t>2</w:t>
      </w:r>
      <w:r>
        <w:rPr>
          <w:rFonts w:hint="eastAsia" w:ascii="仿宋" w:hAnsi="仿宋" w:eastAsia="仿宋" w:cs="仿宋"/>
          <w:sz w:val="32"/>
          <w:szCs w:val="32"/>
        </w:rPr>
        <w:t>年度预算绩效自评工作，现将有关情况报告如下</w:t>
      </w:r>
      <w:r>
        <w:rPr>
          <w:rFonts w:hint="eastAsia" w:ascii="仿宋" w:hAnsi="仿宋" w:eastAsia="仿宋" w:cs="仿宋"/>
          <w:sz w:val="32"/>
          <w:szCs w:val="32"/>
          <w:lang w:val="en-US" w:eastAsia="zh-CN"/>
        </w:rPr>
        <w:t>;</w:t>
      </w:r>
    </w:p>
    <w:p w14:paraId="004005BF">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right="0" w:rightChars="0" w:firstLine="960" w:firstLineChars="3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val="en-US" w:eastAsia="zh-CN"/>
        </w:rPr>
        <w:t>一、</w:t>
      </w:r>
      <w:r>
        <w:rPr>
          <w:rFonts w:hint="eastAsia" w:ascii="黑体" w:hAnsi="黑体" w:eastAsia="黑体" w:cs="黑体"/>
          <w:sz w:val="32"/>
          <w:szCs w:val="32"/>
          <w:lang w:eastAsia="zh-CN"/>
        </w:rPr>
        <w:t>部门基本情况及职责职能</w:t>
      </w:r>
    </w:p>
    <w:p w14:paraId="34D32BF1">
      <w:pPr>
        <w:pStyle w:val="10"/>
        <w:numPr>
          <w:ilvl w:val="0"/>
          <w:numId w:val="1"/>
        </w:numPr>
        <w:rPr>
          <w:rFonts w:hint="eastAsia" w:ascii="仿宋" w:hAnsi="仿宋" w:eastAsia="仿宋" w:cs="宋体"/>
          <w:b/>
          <w:bCs/>
          <w:sz w:val="32"/>
          <w:szCs w:val="32"/>
          <w:lang w:val="en-US" w:eastAsia="zh-CN"/>
        </w:rPr>
      </w:pPr>
      <w:r>
        <w:rPr>
          <w:rFonts w:hint="eastAsia" w:ascii="仿宋" w:hAnsi="仿宋" w:eastAsia="仿宋" w:cs="仿宋"/>
          <w:sz w:val="32"/>
          <w:szCs w:val="32"/>
          <w:lang w:eastAsia="zh-CN"/>
        </w:rPr>
        <w:t>部门概况</w:t>
      </w:r>
    </w:p>
    <w:p w14:paraId="5A14AAA5">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3"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b/>
          <w:bCs/>
          <w:sz w:val="32"/>
          <w:szCs w:val="32"/>
          <w:lang w:val="en-US" w:eastAsia="zh-CN"/>
        </w:rPr>
        <w:t>1、藁城区委政法委的主要职责是</w:t>
      </w:r>
      <w:r>
        <w:rPr>
          <w:rFonts w:hint="eastAsia" w:ascii="仿宋" w:hAnsi="仿宋" w:eastAsia="仿宋" w:cs="宋体"/>
          <w:sz w:val="32"/>
          <w:szCs w:val="32"/>
          <w:lang w:val="en-US" w:eastAsia="zh-CN"/>
        </w:rPr>
        <w:t>：</w:t>
      </w:r>
    </w:p>
    <w:p w14:paraId="1CB63C11">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一是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0A27560D">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二是对全区政法工作研究提出全局性部署，推进平安藁城和法治藁城建设，加强过硬队伍建设，深化智能化建设，坚决维护国家政治安全、确保社会大局稳定、促进社会公平正义、保障人民安居乐业。</w:t>
      </w:r>
    </w:p>
    <w:p w14:paraId="21E0B5FA">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三是了解掌握和分析研判政法工作情况动态，分析社会稳定形势，创新完善多部门参与的综治维稳工作机制，协调推动预防、化解影响稳定的社会矛盾和风险，协调应对和处置重大突发事件。</w:t>
      </w:r>
    </w:p>
    <w:p w14:paraId="36194960">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四是加强对政法工作的督查，统筹协调社会治安综合治理、维护社会稳定、反邪教有关法律法规政策实施工作。</w:t>
      </w:r>
    </w:p>
    <w:p w14:paraId="00940B73">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五是组织开展政法领域的调查研究，研究拟订政法工作的重大措施，及时向区委提出建议。</w:t>
      </w:r>
    </w:p>
    <w:p w14:paraId="2FEE5EC4">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六是掌握分析政法舆情动态，指导协调政法单位媒体网络宣传工作，指导政法单位做好涉及政法工作的重大宣传工作。</w:t>
      </w:r>
    </w:p>
    <w:p w14:paraId="6F084A51">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七是监督和支持政法单位依法行使职权，指导和协调政法单位密切配合，研究和协调重大、疑难案件，指导政法单位涉法涉诉信访工作，推进严格执法、公正司法。</w:t>
      </w:r>
    </w:p>
    <w:p w14:paraId="3CF618AB">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八是组织研究政法改革中带有方向性、倾向性和普遍性的重大问题，深化政法改革，联系区委全面依法治区委员会办公室。</w:t>
      </w:r>
    </w:p>
    <w:p w14:paraId="0C2DF40A">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九是指导推动政法系统党的建设和政法队伍建设，协调和指导全区见义勇为工作。</w:t>
      </w:r>
    </w:p>
    <w:p w14:paraId="26827EE1">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十是统筹推动金区政法系统信息化工作，指导政法智能化建设。</w:t>
      </w:r>
    </w:p>
    <w:p w14:paraId="39733D25">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Times New Roman"/>
          <w:kern w:val="2"/>
          <w:sz w:val="32"/>
          <w:szCs w:val="32"/>
          <w:lang w:val="en-US" w:eastAsia="zh-CN" w:bidi="ar-SA"/>
        </w:rPr>
      </w:pPr>
      <w:r>
        <w:rPr>
          <w:rFonts w:hint="eastAsia" w:ascii="仿宋" w:hAnsi="仿宋" w:eastAsia="仿宋" w:cs="宋体"/>
          <w:sz w:val="32"/>
          <w:szCs w:val="32"/>
          <w:lang w:val="en-US" w:eastAsia="zh-CN"/>
        </w:rPr>
        <w:t>十一是完成市委政法委员会、区委交办的其他任务。</w:t>
      </w:r>
    </w:p>
    <w:p w14:paraId="5BE4669A">
      <w:pPr>
        <w:pStyle w:val="6"/>
        <w:keepNext w:val="0"/>
        <w:keepLines w:val="0"/>
        <w:pageBreakBefore w:val="0"/>
        <w:kinsoku/>
        <w:wordWrap/>
        <w:overflowPunct/>
        <w:topLinePunct w:val="0"/>
        <w:autoSpaceDE/>
        <w:autoSpaceDN/>
        <w:bidi w:val="0"/>
        <w:spacing w:before="0" w:beforeAutospacing="0" w:after="0" w:afterAutospacing="0" w:line="560" w:lineRule="exact"/>
        <w:ind w:leftChars="100" w:firstLine="643" w:firstLineChars="200"/>
        <w:textAlignment w:val="auto"/>
        <w:rPr>
          <w:rFonts w:hint="eastAsia" w:ascii="仿宋" w:hAnsi="仿宋" w:eastAsia="仿宋" w:cs="Times New Roman"/>
          <w:b/>
          <w:bCs/>
          <w:kern w:val="2"/>
          <w:sz w:val="32"/>
          <w:szCs w:val="32"/>
          <w:lang w:val="en-US" w:eastAsia="zh-CN" w:bidi="ar-SA"/>
        </w:rPr>
      </w:pPr>
      <w:r>
        <w:rPr>
          <w:rFonts w:hint="eastAsia" w:ascii="仿宋" w:hAnsi="仿宋" w:eastAsia="仿宋" w:cs="Times New Roman"/>
          <w:b/>
          <w:bCs/>
          <w:kern w:val="2"/>
          <w:sz w:val="32"/>
          <w:szCs w:val="32"/>
          <w:lang w:val="en-US" w:eastAsia="zh-CN" w:bidi="ar-SA"/>
        </w:rPr>
        <w:t>2、机构设置</w:t>
      </w:r>
    </w:p>
    <w:p w14:paraId="1DB6E355">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宋体"/>
          <w:sz w:val="32"/>
          <w:szCs w:val="32"/>
          <w:lang w:val="en-US" w:eastAsia="zh-CN"/>
        </w:rPr>
        <w:t>藁城区委政法委为区委领导政法工作的职能部门，机构规格正科级，单位性质为行政，资金保障形式为财政拨款。行政编制21人，事业编制18人。领导职数4个，常务副书记一名，副书记两名，政治处主任一名，内设行政股室7个，分别是执法监督股、信访股、综治督导股、基层社会治理股、维稳指导科、办公室、组织宣传和队伍建设股，8个行政股级（包括政治处副主任），事业股室一个--石家庄市藁城区政法网络中心。设事业股级一个，副股一个，区扫黑办设在本委机关，经费由区委政法委代管。2022年年底实有在职人员25人。</w:t>
      </w:r>
    </w:p>
    <w:p w14:paraId="1779FD90">
      <w:pPr>
        <w:pStyle w:val="10"/>
        <w:numPr>
          <w:ilvl w:val="0"/>
          <w:numId w:val="0"/>
        </w:numPr>
        <w:ind w:leftChars="300"/>
        <w:rPr>
          <w:rFonts w:hint="default" w:ascii="仿宋_GB2312" w:hAnsi="宋体" w:eastAsia="仿宋_GB2312" w:cs="宋体"/>
          <w:b/>
          <w:bCs/>
          <w:kern w:val="0"/>
          <w:sz w:val="32"/>
          <w:szCs w:val="32"/>
          <w:lang w:val="en-US" w:eastAsia="zh-CN" w:bidi="ar-SA"/>
        </w:rPr>
      </w:pPr>
      <w:r>
        <w:rPr>
          <w:rFonts w:hint="eastAsia" w:ascii="仿宋_GB2312" w:hAnsi="宋体" w:eastAsia="仿宋_GB2312" w:cs="宋体"/>
          <w:b/>
          <w:bCs/>
          <w:kern w:val="0"/>
          <w:sz w:val="32"/>
          <w:szCs w:val="32"/>
          <w:lang w:val="en-US" w:eastAsia="zh-CN" w:bidi="ar-SA"/>
        </w:rPr>
        <w:t>3、部门收支预决算情况</w:t>
      </w:r>
    </w:p>
    <w:p w14:paraId="053B4352">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rPr>
        <w:t>202</w:t>
      </w:r>
      <w:r>
        <w:rPr>
          <w:rFonts w:hint="eastAsia" w:ascii="仿宋" w:hAnsi="仿宋" w:eastAsia="仿宋" w:cs="宋体"/>
          <w:sz w:val="32"/>
          <w:szCs w:val="32"/>
          <w:lang w:val="en-US" w:eastAsia="zh-CN"/>
        </w:rPr>
        <w:t>2</w:t>
      </w:r>
      <w:r>
        <w:rPr>
          <w:rFonts w:hint="eastAsia" w:ascii="仿宋" w:hAnsi="仿宋" w:eastAsia="仿宋" w:cs="宋体"/>
          <w:sz w:val="32"/>
          <w:szCs w:val="32"/>
        </w:rPr>
        <w:t>年部门决算收支完成情况如下：</w:t>
      </w:r>
    </w:p>
    <w:p w14:paraId="1436B9FF">
      <w:pPr>
        <w:pStyle w:val="10"/>
        <w:ind w:firstLine="640"/>
        <w:rPr>
          <w:rFonts w:hint="eastAsia"/>
        </w:rPr>
      </w:pPr>
      <w:bookmarkStart w:id="0" w:name="_Hlk133158199"/>
      <w:r>
        <w:rPr>
          <w:rFonts w:hint="eastAsia" w:ascii="仿宋_GB2312" w:hAnsi="宋体" w:eastAsia="仿宋_GB2312" w:cs="宋体"/>
          <w:kern w:val="0"/>
          <w:sz w:val="32"/>
          <w:szCs w:val="32"/>
        </w:rPr>
        <w:t>（1）预算情况</w:t>
      </w:r>
      <w:bookmarkEnd w:id="0"/>
    </w:p>
    <w:p w14:paraId="097A101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2022年预算收入1014.91万元，其中：一般公共预算收入1014.91万元，基金预算收入0万元，财政专户核拨收入0万元，其他来源收入0万元。2022年部门支出预算为1014.91万元，其中基本支出567.77万元，包括人员经费523.12万元和日常公用经费44.65万元；项目支出447.14万元，其中打击处置“全能神”邪教组织专项经费5万元、精神障碍患者监护人责任保险36.81万元、社会矛盾纠纷多元化解中心项目建设130万元、网格员手机APP话费50.92万元、严重精神障碍患者监护人以奖代补21.12万元、“雪亮工程”维护费7.52万元、调解服务经费31万元、两会期间铁路护路雇佣人员补助13万元、扫黑除恶工作经费17万元、涉法涉诉专项资金20万元、维稳工作经费10万元、政法四级网维保费50万元、政法网运行维护费16.8万元、专职铁路护路队员工资3.77万元、综治工作经费24.3万元、综治中心运行费9.9万元。</w:t>
      </w:r>
    </w:p>
    <w:p w14:paraId="74B6CC7B">
      <w:pPr>
        <w:pStyle w:val="10"/>
        <w:ind w:firstLine="640"/>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rPr>
        <w:t>（</w:t>
      </w:r>
      <w:r>
        <w:rPr>
          <w:rFonts w:ascii="仿宋_GB2312" w:hAnsi="宋体" w:eastAsia="仿宋_GB2312" w:cs="宋体"/>
          <w:kern w:val="0"/>
          <w:sz w:val="32"/>
          <w:szCs w:val="32"/>
        </w:rPr>
        <w:t>2</w:t>
      </w:r>
      <w:r>
        <w:rPr>
          <w:rFonts w:hint="eastAsia" w:ascii="仿宋_GB2312" w:hAnsi="宋体" w:eastAsia="仿宋_GB2312" w:cs="宋体"/>
          <w:kern w:val="0"/>
          <w:sz w:val="32"/>
          <w:szCs w:val="32"/>
        </w:rPr>
        <w:t>）决算情况</w:t>
      </w:r>
    </w:p>
    <w:p w14:paraId="5B14817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default"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2022年度决算收入合计1469.28万元，其中：财政拨款收入1469.28万元，占100%；事业收入0万元，占0%；经营收入0万元，占0%；其他收入0万元，占0%。2022年度决算支出合计1469.28万元，其中：基本支出488.17万元，占总支出33.2%，</w:t>
      </w:r>
      <w:r>
        <w:rPr>
          <w:rFonts w:hint="eastAsia" w:ascii="仿宋" w:hAnsi="仿宋" w:eastAsia="仿宋"/>
          <w:sz w:val="32"/>
          <w:szCs w:val="32"/>
        </w:rPr>
        <w:t>包括人员经费</w:t>
      </w:r>
      <w:r>
        <w:rPr>
          <w:rFonts w:hint="eastAsia" w:ascii="仿宋" w:hAnsi="仿宋" w:eastAsia="仿宋"/>
          <w:sz w:val="32"/>
          <w:szCs w:val="32"/>
          <w:lang w:val="en-US" w:eastAsia="zh-CN"/>
        </w:rPr>
        <w:t>447.5</w:t>
      </w:r>
      <w:r>
        <w:rPr>
          <w:rFonts w:hint="eastAsia" w:ascii="仿宋" w:hAnsi="仿宋" w:eastAsia="仿宋"/>
          <w:sz w:val="32"/>
          <w:szCs w:val="32"/>
        </w:rPr>
        <w:t>万元，占基本支出的</w:t>
      </w:r>
      <w:r>
        <w:rPr>
          <w:rFonts w:hint="eastAsia" w:ascii="仿宋" w:hAnsi="仿宋" w:eastAsia="仿宋"/>
          <w:sz w:val="32"/>
          <w:szCs w:val="32"/>
          <w:lang w:val="en-US" w:eastAsia="zh-CN"/>
        </w:rPr>
        <w:t>91.67</w:t>
      </w:r>
      <w:r>
        <w:rPr>
          <w:rFonts w:ascii="仿宋" w:hAnsi="仿宋" w:eastAsia="仿宋"/>
          <w:sz w:val="32"/>
          <w:szCs w:val="32"/>
        </w:rPr>
        <w:t>%</w:t>
      </w:r>
      <w:r>
        <w:rPr>
          <w:rFonts w:hint="eastAsia" w:ascii="仿宋" w:hAnsi="仿宋" w:eastAsia="仿宋"/>
          <w:sz w:val="32"/>
          <w:szCs w:val="32"/>
        </w:rPr>
        <w:t>；日常公用经费</w:t>
      </w:r>
      <w:r>
        <w:rPr>
          <w:rFonts w:hint="eastAsia" w:ascii="仿宋" w:hAnsi="仿宋" w:eastAsia="仿宋"/>
          <w:sz w:val="32"/>
          <w:szCs w:val="32"/>
          <w:lang w:val="en-US" w:eastAsia="zh-CN"/>
        </w:rPr>
        <w:t>40.67</w:t>
      </w:r>
      <w:r>
        <w:rPr>
          <w:rFonts w:hint="eastAsia" w:ascii="仿宋" w:hAnsi="仿宋" w:eastAsia="仿宋"/>
          <w:sz w:val="32"/>
          <w:szCs w:val="32"/>
        </w:rPr>
        <w:t>万元，占基本支出的8</w:t>
      </w:r>
      <w:r>
        <w:rPr>
          <w:rFonts w:ascii="仿宋" w:hAnsi="仿宋" w:eastAsia="仿宋"/>
          <w:sz w:val="32"/>
          <w:szCs w:val="32"/>
        </w:rPr>
        <w:t>.</w:t>
      </w:r>
      <w:r>
        <w:rPr>
          <w:rFonts w:hint="eastAsia" w:ascii="仿宋" w:hAnsi="仿宋" w:eastAsia="仿宋"/>
          <w:sz w:val="32"/>
          <w:szCs w:val="32"/>
          <w:lang w:val="en-US" w:eastAsia="zh-CN"/>
        </w:rPr>
        <w:t>33</w:t>
      </w:r>
      <w:r>
        <w:rPr>
          <w:rFonts w:ascii="仿宋" w:hAnsi="仿宋" w:eastAsia="仿宋"/>
          <w:sz w:val="32"/>
          <w:szCs w:val="32"/>
        </w:rPr>
        <w:t>%</w:t>
      </w:r>
      <w:r>
        <w:rPr>
          <w:rFonts w:hint="eastAsia" w:ascii="仿宋_GB2312" w:hAnsi="宋体" w:eastAsia="仿宋_GB2312" w:cs="宋体"/>
          <w:kern w:val="0"/>
          <w:sz w:val="32"/>
          <w:szCs w:val="32"/>
          <w:lang w:val="en-US" w:eastAsia="zh-CN" w:bidi="ar-SA"/>
        </w:rPr>
        <w:t>；项目支出981.11万元，占66.8%；经营支出0万元，占0%。包括打击处置“全能神”邪教组织专项经费5万元、精神障碍患者监护人责任保险36.61万元、社会矛盾纠纷多元化解中心项目建设130万元、网格员手机APP话费50.92万元、严重精神障碍患者监护人以奖代补18.24万元、“雪亮工程”维护费7.52万元、调解服务经费31万元、两会期间铁路护路雇佣人员补助13万元、扫黑除恶工作经费17万元、涉法涉诉专项资金20万元、维稳工作经费10万元、政法四级网维保费50万元、政法网运行维护费16.8万元、专职铁路护路队员工资3.77万元、综治工作经费24.3万元、综治中心运行费9.9万元。《平安藁城》栏目制作费10万元、北京冬奥会、冬残奥会及春运、全国两会期间铁路护路工作经费14.997万元、城区专职网格员工作经费（上半年)24万元、网格化服务管理经费416.597万元、政法维稳安保现场观摩和经验交流活动20万元，石财行[2022]23号关于下达市级大要案经费、扫黑除恶斗争办案补贴等经费的通知（大要案准备金）2万元、（社会治安综合治理专项经费）4.5万元、石财行[2022]8号石家庄市财政局关于下达基层平安建设专项经费的通知45万元。</w:t>
      </w:r>
    </w:p>
    <w:p w14:paraId="06E4A810">
      <w:pPr>
        <w:keepNext w:val="0"/>
        <w:keepLines w:val="0"/>
        <w:pageBreakBefore w:val="0"/>
        <w:widowControl w:val="0"/>
        <w:kinsoku/>
        <w:wordWrap/>
        <w:overflowPunct/>
        <w:topLinePunct w:val="0"/>
        <w:autoSpaceDE/>
        <w:autoSpaceDN/>
        <w:bidi w:val="0"/>
        <w:adjustRightInd w:val="0"/>
        <w:snapToGrid w:val="0"/>
        <w:spacing w:line="560" w:lineRule="exact"/>
        <w:ind w:left="210" w:leftChars="10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（二）整体支出绩效目标</w:t>
      </w:r>
    </w:p>
    <w:p w14:paraId="44AA7498">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rPr>
      </w:pPr>
      <w:r>
        <w:rPr>
          <w:rFonts w:hint="eastAsia" w:ascii="仿宋" w:hAnsi="仿宋" w:eastAsia="仿宋" w:cs="宋体"/>
          <w:sz w:val="32"/>
          <w:szCs w:val="32"/>
          <w:lang w:val="en-US" w:eastAsia="zh-CN"/>
        </w:rPr>
        <w:t>1、</w:t>
      </w:r>
      <w:r>
        <w:rPr>
          <w:rFonts w:hint="eastAsia" w:ascii="仿宋" w:hAnsi="仿宋" w:eastAsia="仿宋" w:cs="宋体"/>
          <w:sz w:val="32"/>
          <w:szCs w:val="32"/>
        </w:rPr>
        <w:t>部门总目标</w:t>
      </w:r>
    </w:p>
    <w:p w14:paraId="7E11B764">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以习近平新时代中国特色社会主义思想和党的二十大精神为指导，持续把防范化解重大风险贯穿2022年工作始终，围绕服务和保障省会高质量发展，着力抓好司法改革、维护稳定、扫黑除恶、司法公正、社会治安综合治理、政法党建等重点工作，不断深化平安藁城建设、法治藁城建设、过硬队伍建设和政法智能化建设，不断提高人民群众的获得感、幸福感、安全感。</w:t>
      </w:r>
    </w:p>
    <w:p w14:paraId="6364519D">
      <w:pPr>
        <w:widowControl w:val="0"/>
        <w:numPr>
          <w:ilvl w:val="0"/>
          <w:numId w:val="0"/>
        </w:numPr>
        <w:wordWrap/>
        <w:adjustRightInd/>
        <w:snapToGrid w:val="0"/>
        <w:spacing w:line="560" w:lineRule="exact"/>
        <w:ind w:leftChars="200" w:right="0" w:rightChars="0"/>
        <w:jc w:val="left"/>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w:t>
      </w: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517C7618">
      <w:pPr>
        <w:pStyle w:val="10"/>
        <w:numPr>
          <w:ilvl w:val="0"/>
          <w:numId w:val="0"/>
        </w:numPr>
        <w:tabs>
          <w:tab w:val="left" w:pos="1357"/>
        </w:tabs>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（一）自评的组织工作</w:t>
      </w:r>
    </w:p>
    <w:p w14:paraId="2B55AF2C">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default" w:ascii="仿宋" w:hAnsi="仿宋" w:eastAsia="仿宋" w:cs="宋体"/>
          <w:sz w:val="32"/>
          <w:szCs w:val="32"/>
          <w:lang w:val="en-US" w:eastAsia="zh-CN"/>
        </w:rPr>
      </w:pPr>
      <w:r>
        <w:rPr>
          <w:rFonts w:hint="eastAsia" w:ascii="仿宋" w:hAnsi="仿宋" w:eastAsia="仿宋" w:cs="仿宋"/>
          <w:sz w:val="32"/>
          <w:szCs w:val="32"/>
          <w:highlight w:val="none"/>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w:t>
      </w:r>
      <w:r>
        <w:rPr>
          <w:rFonts w:hint="eastAsia" w:ascii="仿宋" w:hAnsi="仿宋" w:eastAsia="仿宋" w:cs="仿宋"/>
          <w:sz w:val="32"/>
          <w:szCs w:val="32"/>
          <w:lang w:val="en-US" w:eastAsia="zh-CN"/>
        </w:rPr>
        <w:t>按照《藁城区财政局关于开展2023年专项项目绩效自评工作的通知》要求，我部门高度重视绩效自评工作，成立了绩效评估工作小组，由区委政法委常务副书记王利国同志任组长，</w:t>
      </w:r>
      <w:r>
        <w:rPr>
          <w:rFonts w:hint="eastAsia" w:ascii="仿宋_GB2312" w:hAnsi="仿宋_GB2312" w:eastAsia="仿宋_GB2312" w:cs="仿宋_GB2312"/>
          <w:sz w:val="32"/>
          <w:szCs w:val="32"/>
          <w:lang w:eastAsia="zh-CN"/>
        </w:rPr>
        <w:t>分管</w:t>
      </w:r>
      <w:r>
        <w:rPr>
          <w:rFonts w:hint="eastAsia" w:ascii="仿宋_GB2312" w:hAnsi="仿宋_GB2312" w:eastAsia="仿宋_GB2312" w:cs="仿宋_GB2312"/>
          <w:sz w:val="32"/>
          <w:szCs w:val="32"/>
          <w:lang w:val="en-US" w:eastAsia="zh-CN"/>
        </w:rPr>
        <w:t>具体</w:t>
      </w:r>
      <w:r>
        <w:rPr>
          <w:rFonts w:hint="eastAsia" w:ascii="仿宋_GB2312" w:hAnsi="仿宋_GB2312" w:eastAsia="仿宋_GB2312" w:cs="仿宋_GB2312"/>
          <w:sz w:val="32"/>
          <w:szCs w:val="32"/>
          <w:lang w:eastAsia="zh-CN"/>
        </w:rPr>
        <w:t>业务负责</w:t>
      </w:r>
      <w:r>
        <w:rPr>
          <w:rFonts w:hint="eastAsia" w:ascii="仿宋_GB2312" w:hAnsi="仿宋_GB2312" w:eastAsia="仿宋_GB2312" w:cs="仿宋_GB2312"/>
          <w:sz w:val="32"/>
          <w:szCs w:val="32"/>
          <w:lang w:val="en-US" w:eastAsia="zh-CN"/>
        </w:rPr>
        <w:t>人王文刚副书记</w:t>
      </w:r>
      <w:r>
        <w:rPr>
          <w:rFonts w:hint="eastAsia" w:ascii="仿宋" w:hAnsi="仿宋" w:eastAsia="仿宋" w:cs="仿宋"/>
          <w:sz w:val="32"/>
          <w:szCs w:val="32"/>
          <w:lang w:eastAsia="zh-CN"/>
        </w:rPr>
        <w:t>担任副组长，</w:t>
      </w:r>
      <w:r>
        <w:rPr>
          <w:rFonts w:hint="eastAsia" w:ascii="仿宋" w:hAnsi="仿宋" w:eastAsia="仿宋" w:cs="仿宋"/>
          <w:sz w:val="32"/>
          <w:szCs w:val="32"/>
          <w:lang w:val="en-US" w:eastAsia="zh-CN"/>
        </w:rPr>
        <w:t>相关股室的</w:t>
      </w:r>
      <w:r>
        <w:rPr>
          <w:rFonts w:hint="eastAsia" w:ascii="仿宋_GB2312" w:hAnsi="仿宋_GB2312" w:eastAsia="仿宋_GB2312" w:cs="仿宋_GB2312"/>
          <w:sz w:val="32"/>
          <w:szCs w:val="32"/>
          <w:lang w:val="en-US" w:eastAsia="zh-CN"/>
        </w:rPr>
        <w:t>股长</w:t>
      </w:r>
      <w:r>
        <w:rPr>
          <w:rFonts w:hint="eastAsia" w:ascii="仿宋_GB2312" w:hAnsi="仿宋_GB2312" w:eastAsia="仿宋_GB2312" w:cs="仿宋_GB2312"/>
          <w:sz w:val="32"/>
          <w:szCs w:val="32"/>
          <w:lang w:eastAsia="zh-CN"/>
        </w:rPr>
        <w:t>及财务人员</w:t>
      </w:r>
      <w:r>
        <w:rPr>
          <w:rFonts w:hint="eastAsia" w:ascii="仿宋" w:hAnsi="仿宋" w:eastAsia="仿宋" w:cs="仿宋"/>
          <w:sz w:val="32"/>
          <w:szCs w:val="32"/>
          <w:lang w:eastAsia="zh-CN"/>
        </w:rPr>
        <w:t>为小组成员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对我部门的综治工作经费、维稳工作经费等24个项目进行了绩效自评，并</w:t>
      </w: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val="en-US" w:eastAsia="zh-CN"/>
        </w:rPr>
        <w:t>精神障碍患者监护人责任保险资金</w:t>
      </w:r>
      <w:r>
        <w:rPr>
          <w:rFonts w:hint="eastAsia" w:ascii="仿宋_GB2312" w:hAnsi="仿宋_GB2312" w:eastAsia="仿宋_GB2312" w:cs="仿宋_GB2312"/>
          <w:sz w:val="32"/>
          <w:szCs w:val="32"/>
        </w:rPr>
        <w:t>项目财政支出的经济性、效率性及效益性进行重点评价，并针对评价内容做出分析及合理化建议</w:t>
      </w:r>
      <w:r>
        <w:rPr>
          <w:rFonts w:hint="eastAsia" w:ascii="仿宋" w:hAnsi="仿宋" w:eastAsia="仿宋" w:cs="宋体"/>
          <w:sz w:val="32"/>
          <w:szCs w:val="32"/>
          <w:highlight w:val="none"/>
          <w:lang w:val="en-US" w:eastAsia="zh-CN"/>
        </w:rPr>
        <w:t>。</w:t>
      </w:r>
    </w:p>
    <w:p w14:paraId="56C55096">
      <w:pPr>
        <w:pStyle w:val="10"/>
        <w:numPr>
          <w:ilvl w:val="0"/>
          <w:numId w:val="0"/>
        </w:numPr>
        <w:ind w:firstLine="640" w:firstLineChars="200"/>
        <w:rPr>
          <w:rFonts w:hint="eastAsia" w:ascii="仿宋" w:hAnsi="仿宋" w:eastAsia="仿宋" w:cs="宋体"/>
          <w:sz w:val="32"/>
          <w:szCs w:val="32"/>
          <w:lang w:val="en-US" w:eastAsia="zh-CN"/>
        </w:rPr>
      </w:pPr>
      <w:r>
        <w:rPr>
          <w:rFonts w:hint="eastAsia" w:ascii="仿宋" w:hAnsi="仿宋" w:eastAsia="仿宋" w:cs="宋体"/>
          <w:sz w:val="32"/>
          <w:szCs w:val="32"/>
          <w:lang w:val="en-US" w:eastAsia="zh-CN"/>
        </w:rPr>
        <w:t>（二）</w:t>
      </w:r>
      <w:r>
        <w:rPr>
          <w:rFonts w:hint="eastAsia" w:ascii="仿宋" w:hAnsi="仿宋" w:eastAsia="仿宋" w:cs="仿宋"/>
          <w:sz w:val="32"/>
          <w:szCs w:val="32"/>
          <w:lang w:val="en-US" w:eastAsia="zh-CN"/>
        </w:rPr>
        <w:t>自评的方法和过程</w:t>
      </w:r>
    </w:p>
    <w:p w14:paraId="345F1C49">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highlight w:val="none"/>
          <w:lang w:val="en-US" w:eastAsia="zh-CN"/>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若被评价项目不涉及服务对象满意度内容或因服务对象满意度获取难度较大、成本较高而未能获取，则服务对象满意度的10分调入绩效考核事项。二、三级指标所占权重应当根据指标重要程度、项目实施阶段等因素综合确定，准确反映预算项目的产出和效果。同类评价对象的指标权重设置应当基本一致，便于评价结果相互比较。</w:t>
      </w:r>
      <w:r>
        <w:rPr>
          <w:rFonts w:hint="eastAsia" w:ascii="仿宋" w:hAnsi="仿宋" w:eastAsia="仿宋" w:cs="宋体"/>
          <w:sz w:val="32"/>
          <w:szCs w:val="32"/>
          <w:highlight w:val="none"/>
          <w:lang w:val="en-US" w:eastAsia="zh-CN"/>
        </w:rPr>
        <w:t>根据绩效评价的要求，项目各主管领导签批明确意见推动工作落实，各股室对分管项目资金结合自身工作将产出指标、效果指标、满意度指标等分解到具体完成的工作中进行客观、公正评价，真实反映资金使用效益，绩效自评覆盖率达到了100% 。我委共有项目24个，涉及资金981.11万元为一般公共预算项目，</w:t>
      </w:r>
      <w:r>
        <w:rPr>
          <w:rFonts w:hint="eastAsia" w:ascii="仿宋" w:hAnsi="仿宋" w:eastAsia="仿宋" w:cs="仿宋"/>
          <w:sz w:val="32"/>
          <w:szCs w:val="32"/>
          <w:highlight w:val="none"/>
        </w:rPr>
        <w:t>通过部门项目绩效自评小组集中评审，</w:t>
      </w:r>
      <w:r>
        <w:rPr>
          <w:rFonts w:hint="eastAsia" w:ascii="仿宋" w:hAnsi="仿宋" w:eastAsia="仿宋" w:cs="仿宋"/>
          <w:sz w:val="32"/>
          <w:szCs w:val="32"/>
          <w:highlight w:val="none"/>
          <w:lang w:eastAsia="zh-CN"/>
        </w:rPr>
        <w:t>我</w:t>
      </w:r>
      <w:r>
        <w:rPr>
          <w:rFonts w:hint="eastAsia" w:ascii="仿宋" w:hAnsi="仿宋" w:eastAsia="仿宋" w:cs="仿宋"/>
          <w:sz w:val="32"/>
          <w:szCs w:val="32"/>
          <w:highlight w:val="none"/>
        </w:rPr>
        <w:t>部门开展的项目评价等级均达到优。</w:t>
      </w:r>
    </w:p>
    <w:p w14:paraId="17821811">
      <w:pPr>
        <w:widowControl w:val="0"/>
        <w:numPr>
          <w:ilvl w:val="0"/>
          <w:numId w:val="0"/>
        </w:numPr>
        <w:wordWrap/>
        <w:adjustRightInd/>
        <w:snapToGrid w:val="0"/>
        <w:spacing w:line="560" w:lineRule="exact"/>
        <w:ind w:left="630" w:leftChars="0" w:right="0" w:right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highlight w:val="none"/>
          <w:lang w:val="en-US" w:eastAsia="zh-CN"/>
        </w:rPr>
        <w:t>三、</w:t>
      </w:r>
      <w:r>
        <w:rPr>
          <w:rFonts w:hint="eastAsia" w:ascii="黑体" w:hAnsi="黑体" w:eastAsia="黑体" w:cs="黑体"/>
          <w:sz w:val="32"/>
          <w:szCs w:val="32"/>
          <w:highlight w:val="none"/>
          <w:lang w:eastAsia="zh-CN"/>
        </w:rPr>
        <w:t>部门整体支出绩效目标实现情况及指标</w:t>
      </w:r>
      <w:r>
        <w:rPr>
          <w:rFonts w:hint="eastAsia" w:ascii="黑体" w:hAnsi="黑体" w:eastAsia="黑体" w:cs="黑体"/>
          <w:sz w:val="32"/>
          <w:szCs w:val="32"/>
          <w:lang w:eastAsia="zh-CN"/>
        </w:rPr>
        <w:t>分析</w:t>
      </w:r>
    </w:p>
    <w:p w14:paraId="2181025B">
      <w:pPr>
        <w:pStyle w:val="10"/>
        <w:numPr>
          <w:ilvl w:val="0"/>
          <w:numId w:val="2"/>
        </w:numPr>
        <w:rPr>
          <w:rFonts w:hint="eastAsia" w:ascii="仿宋" w:hAnsi="仿宋" w:eastAsia="仿宋" w:cs="仿宋"/>
          <w:sz w:val="32"/>
          <w:szCs w:val="32"/>
          <w:lang w:eastAsia="zh-CN"/>
        </w:rPr>
      </w:pPr>
      <w:r>
        <w:rPr>
          <w:rFonts w:hint="eastAsia" w:ascii="仿宋" w:hAnsi="仿宋" w:eastAsia="仿宋" w:cs="仿宋"/>
          <w:sz w:val="32"/>
          <w:szCs w:val="32"/>
          <w:lang w:eastAsia="zh-CN"/>
        </w:rPr>
        <w:t>总体绩效目标实现情况</w:t>
      </w:r>
    </w:p>
    <w:p w14:paraId="221D7B3B">
      <w:pPr>
        <w:adjustRightInd w:val="0"/>
        <w:snapToGrid w:val="0"/>
        <w:spacing w:line="360" w:lineRule="auto"/>
        <w:ind w:firstLine="640" w:firstLineChars="200"/>
        <w:rPr>
          <w:rFonts w:hint="eastAsia" w:ascii="黑体" w:hAnsi="黑体" w:eastAsia="黑体" w:cs="黑体"/>
          <w:sz w:val="32"/>
          <w:szCs w:val="32"/>
          <w:lang w:val="en-US" w:eastAsia="zh-CN"/>
        </w:rPr>
      </w:pPr>
      <w:r>
        <w:rPr>
          <w:rFonts w:hint="eastAsia" w:ascii="仿宋" w:hAnsi="仿宋" w:eastAsia="仿宋" w:cs="宋体"/>
          <w:sz w:val="32"/>
          <w:szCs w:val="32"/>
          <w:lang w:val="en-US" w:eastAsia="zh-CN"/>
        </w:rPr>
        <w:t>以习近平新时代中国特色社会主义思想和党的二十大精神为指导，持续把防范化解重大风险贯穿2022年工作始终，围绕服务和保障省会高质量发展，着力抓好司法改革、维护稳定、扫黑除恶、司法公正、社会治安综合治理、政法党建等重点工作，不断深化平安藁城建设、法治藁城建设、过硬队伍建设和政法智能化建设，不断提高人民群众的获得感、幸福感、安全感。一年来，我委</w:t>
      </w:r>
      <w:r>
        <w:rPr>
          <w:rFonts w:hint="eastAsia" w:ascii="仿宋_GB2312" w:hAnsi="仿宋_GB2312" w:eastAsia="仿宋_GB2312" w:cs="仿宋_GB2312"/>
          <w:sz w:val="32"/>
          <w:szCs w:val="32"/>
          <w:vertAlign w:val="baseline"/>
          <w:lang w:val="en-US" w:eastAsia="zh-CN"/>
        </w:rPr>
        <w:t>围绕中心，服务大局，以一往无前的奋斗姿态和风雨无阻的精神状态，始终担责在肩、冲锋在前、</w:t>
      </w:r>
      <w:r>
        <w:rPr>
          <w:rFonts w:hint="eastAsia" w:ascii="仿宋_GB2312" w:hAnsi="仿宋_GB2312" w:eastAsia="仿宋_GB2312" w:cs="仿宋_GB2312"/>
          <w:bCs/>
          <w:color w:val="000000"/>
          <w:sz w:val="32"/>
          <w:szCs w:val="32"/>
          <w:lang w:eastAsia="zh-CN"/>
        </w:rPr>
        <w:t>上下一心，</w:t>
      </w:r>
      <w:r>
        <w:rPr>
          <w:rFonts w:hint="eastAsia" w:ascii="仿宋_GB2312" w:hAnsi="仿宋_GB2312" w:eastAsia="仿宋_GB2312" w:cs="仿宋_GB2312"/>
          <w:sz w:val="32"/>
          <w:szCs w:val="32"/>
          <w:u w:val="none" w:color="auto"/>
          <w:lang w:val="en-US" w:eastAsia="zh-CN"/>
        </w:rPr>
        <w:t>为藁城经济社会发展做出了政法贡献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2022年度</w:t>
      </w:r>
      <w:r>
        <w:rPr>
          <w:rFonts w:ascii="仿宋_GB2312" w:hAnsi="仿宋_GB2312" w:eastAsia="仿宋_GB2312" w:cs="宋体"/>
          <w:sz w:val="32"/>
          <w:szCs w:val="32"/>
        </w:rPr>
        <w:t>每个项目目标完成情况的总体完成率均为</w:t>
      </w:r>
      <w:r>
        <w:rPr>
          <w:rFonts w:hint="eastAsia" w:ascii="仿宋_GB2312" w:hAnsi="仿宋_GB2312" w:eastAsia="仿宋_GB2312" w:cs="宋体"/>
          <w:sz w:val="32"/>
          <w:szCs w:val="32"/>
        </w:rPr>
        <w:t>100%；根据项目产出指标、效益指标、满意度指标的平分结果，评价等级均为优。</w:t>
      </w:r>
    </w:p>
    <w:p w14:paraId="55E62738">
      <w:pPr>
        <w:pStyle w:val="10"/>
        <w:numPr>
          <w:ilvl w:val="0"/>
          <w:numId w:val="2"/>
        </w:numPr>
        <w:ind w:left="0" w:leftChars="0" w:firstLine="640" w:firstLineChars="200"/>
        <w:rPr>
          <w:rFonts w:hint="eastAsia" w:ascii="仿宋" w:hAnsi="仿宋" w:eastAsia="仿宋" w:cs="宋体"/>
          <w:sz w:val="32"/>
          <w:szCs w:val="32"/>
          <w:lang w:val="en-US" w:eastAsia="zh-CN"/>
        </w:rPr>
      </w:pPr>
      <w:r>
        <w:rPr>
          <w:rFonts w:hint="eastAsia" w:ascii="仿宋_GB2312" w:hAnsi="仿宋_GB2312" w:eastAsia="仿宋_GB2312" w:cs="仿宋_GB2312"/>
          <w:sz w:val="32"/>
          <w:szCs w:val="32"/>
          <w:lang w:val="en-US" w:eastAsia="zh-CN"/>
        </w:rPr>
        <w:t>分项绩效目标实现情况</w:t>
      </w:r>
    </w:p>
    <w:p w14:paraId="13457DE5">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宋体"/>
          <w:b/>
          <w:bCs/>
          <w:sz w:val="32"/>
          <w:szCs w:val="32"/>
          <w:lang w:val="en-US" w:eastAsia="zh-CN"/>
        </w:rPr>
      </w:pPr>
      <w:r>
        <w:rPr>
          <w:rFonts w:hint="eastAsia" w:ascii="仿宋" w:hAnsi="仿宋" w:eastAsia="仿宋" w:cs="宋体"/>
          <w:b/>
          <w:bCs/>
          <w:sz w:val="32"/>
          <w:szCs w:val="32"/>
          <w:lang w:val="en-US" w:eastAsia="zh-CN"/>
        </w:rPr>
        <w:t>是坚持政治引领，确保党对政法工作绝对领导</w:t>
      </w:r>
    </w:p>
    <w:p w14:paraId="2DE1C35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仿宋_GB2312" w:hAnsi="仿宋_GB2312" w:eastAsia="仿宋_GB2312" w:cs="仿宋_GB2312"/>
          <w:sz w:val="32"/>
          <w:szCs w:val="32"/>
        </w:rPr>
        <w:t>把学懂弄通做实习近平新时代中国特色社会主义思想作为第一要务，深入贯彻落实习近平法治思想，深入学习贯彻党的二十大精神，组织学好《习近平谈治国理政》第四卷等党的创新理论成果，带头做习近平新时代中国特色社会主义思想的坚定信仰者、积极传播者、忠实实践者。</w:t>
      </w:r>
    </w:p>
    <w:p w14:paraId="7D9A7D4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2、坚持安全至上，维护社会稳定能力得到新提升</w:t>
      </w:r>
    </w:p>
    <w:p w14:paraId="193E1A5C">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hint="eastAsia" w:ascii="楷体" w:hAnsi="楷体" w:eastAsia="楷体" w:cs="楷体"/>
          <w:b w:val="0"/>
          <w:bCs w:val="0"/>
          <w:sz w:val="32"/>
          <w:szCs w:val="32"/>
          <w:lang w:val="en-US" w:eastAsia="zh-CN"/>
        </w:rPr>
        <w:t>一是强化涉稳重点人员教育稳控。</w:t>
      </w:r>
      <w:r>
        <w:rPr>
          <w:rFonts w:hint="eastAsia" w:ascii="仿宋" w:hAnsi="仿宋" w:eastAsia="仿宋" w:cs="宋体"/>
          <w:sz w:val="32"/>
          <w:szCs w:val="32"/>
          <w:lang w:val="zh-CN" w:eastAsia="zh-CN"/>
        </w:rPr>
        <w:t>对全区各类重点防控对象逐一落实人防、技防措施，把责任落实到具体单位和具体人，对重点管控对象早晚见面，</w:t>
      </w:r>
      <w:r>
        <w:rPr>
          <w:rFonts w:hint="eastAsia" w:ascii="仿宋_GB2312" w:hAnsi="仿宋_GB2312" w:eastAsia="仿宋_GB2312" w:cs="仿宋_GB2312"/>
          <w:sz w:val="32"/>
          <w:szCs w:val="32"/>
          <w:lang w:eastAsia="zh-CN"/>
        </w:rPr>
        <w:t>今年以来，共教育稳控</w:t>
      </w:r>
      <w:r>
        <w:rPr>
          <w:rFonts w:hint="eastAsia" w:ascii="仿宋_GB2312" w:hAnsi="仿宋_GB2312" w:eastAsia="仿宋_GB2312" w:cs="仿宋_GB2312"/>
          <w:sz w:val="32"/>
          <w:szCs w:val="32"/>
          <w:lang w:val="en-US" w:eastAsia="zh-CN"/>
        </w:rPr>
        <w:t>819</w:t>
      </w:r>
      <w:r>
        <w:rPr>
          <w:rFonts w:hint="eastAsia" w:ascii="仿宋_GB2312" w:hAnsi="仿宋_GB2312" w:eastAsia="仿宋_GB2312" w:cs="仿宋_GB2312"/>
          <w:sz w:val="32"/>
          <w:szCs w:val="32"/>
          <w:lang w:eastAsia="zh-CN"/>
        </w:rPr>
        <w:t>人次。</w:t>
      </w:r>
      <w:r>
        <w:rPr>
          <w:rFonts w:hint="eastAsia" w:ascii="楷体" w:hAnsi="楷体" w:eastAsia="楷体" w:cs="楷体"/>
          <w:sz w:val="32"/>
          <w:szCs w:val="32"/>
          <w:lang w:val="en-US" w:eastAsia="zh-CN"/>
        </w:rPr>
        <w:t>二是强化重大涉稳舆情处置。</w:t>
      </w:r>
      <w:r>
        <w:rPr>
          <w:rFonts w:hint="eastAsia" w:ascii="仿宋_GB2312" w:hAnsi="仿宋_GB2312" w:eastAsia="仿宋_GB2312" w:cs="仿宋_GB2312"/>
          <w:sz w:val="32"/>
          <w:szCs w:val="32"/>
          <w:lang w:val="en-US" w:eastAsia="zh-CN"/>
        </w:rPr>
        <w:t>2022年共妥善处置3起影响较大的涉稳舆情，</w:t>
      </w:r>
      <w:r>
        <w:rPr>
          <w:rFonts w:hint="eastAsia" w:ascii="仿宋_GB2312" w:hAnsi="仿宋_GB2312" w:eastAsia="仿宋_GB2312" w:cs="仿宋_GB2312"/>
          <w:color w:val="000000"/>
          <w:sz w:val="32"/>
          <w:szCs w:val="32"/>
          <w:lang w:val="en-US" w:eastAsia="zh-CN"/>
        </w:rPr>
        <w:t>一般涉稳舆情13起</w:t>
      </w:r>
      <w:r>
        <w:rPr>
          <w:rFonts w:hint="eastAsia" w:ascii="仿宋_GB2312" w:hAnsi="仿宋_GB2312" w:eastAsia="仿宋_GB2312" w:cs="仿宋_GB2312"/>
          <w:color w:val="auto"/>
          <w:sz w:val="32"/>
          <w:szCs w:val="32"/>
          <w:lang w:val="en-US" w:eastAsia="zh-CN"/>
        </w:rPr>
        <w:t>。</w:t>
      </w:r>
      <w:r>
        <w:rPr>
          <w:rFonts w:hint="eastAsia" w:ascii="楷体" w:hAnsi="楷体" w:eastAsia="楷体" w:cs="楷体"/>
          <w:color w:val="auto"/>
          <w:sz w:val="32"/>
          <w:szCs w:val="32"/>
          <w:lang w:val="en-US" w:eastAsia="zh-CN"/>
        </w:rPr>
        <w:t>三是坚决做好重大活动安保维稳。</w:t>
      </w:r>
      <w:r>
        <w:rPr>
          <w:rFonts w:hint="eastAsia" w:ascii="仿宋_GB2312" w:hAnsi="仿宋_GB2312" w:eastAsia="仿宋_GB2312" w:cs="仿宋_GB2312"/>
          <w:sz w:val="32"/>
          <w:szCs w:val="32"/>
          <w:lang w:eastAsia="zh-CN"/>
        </w:rPr>
        <w:t>圆满完成</w:t>
      </w:r>
      <w:r>
        <w:rPr>
          <w:rFonts w:hint="eastAsia" w:ascii="仿宋_GB2312" w:hAnsi="仿宋_GB2312" w:eastAsia="仿宋_GB2312" w:cs="仿宋_GB2312"/>
          <w:sz w:val="32"/>
          <w:szCs w:val="32"/>
          <w:lang w:val="en-US" w:eastAsia="zh-CN"/>
        </w:rPr>
        <w:t>了</w:t>
      </w:r>
      <w:r>
        <w:rPr>
          <w:rFonts w:hint="eastAsia" w:ascii="仿宋_GB2312" w:hAnsi="仿宋_GB2312" w:eastAsia="仿宋_GB2312" w:cs="仿宋_GB2312"/>
          <w:sz w:val="32"/>
          <w:szCs w:val="32"/>
          <w:lang w:eastAsia="zh-CN"/>
        </w:rPr>
        <w:t>冬奥会、冬残奥会、春节、全国“两会”、党的二十大等重大时间、节点安保维稳任务。</w:t>
      </w:r>
      <w:r>
        <w:rPr>
          <w:rFonts w:hint="eastAsia" w:ascii="楷体" w:hAnsi="楷体" w:eastAsia="楷体" w:cs="楷体"/>
          <w:sz w:val="32"/>
          <w:szCs w:val="32"/>
          <w:lang w:val="en-US" w:eastAsia="zh-CN"/>
        </w:rPr>
        <w:t>四是做好涉法涉诉信访工作。</w:t>
      </w:r>
      <w:r>
        <w:rPr>
          <w:rFonts w:hint="eastAsia" w:ascii="仿宋_GB2312" w:hAnsi="仿宋_GB2312" w:eastAsia="仿宋_GB2312" w:cs="仿宋_GB2312"/>
          <w:sz w:val="32"/>
          <w:szCs w:val="32"/>
          <w:lang w:val="en-US" w:eastAsia="zh-CN"/>
        </w:rPr>
        <w:t>开展涉法涉诉“百日攻坚行动”以来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纯案数共63件</w:t>
      </w:r>
      <w:r>
        <w:rPr>
          <w:rFonts w:hint="eastAsia" w:ascii="仿宋_GB2312" w:hAnsi="仿宋_GB2312" w:eastAsia="仿宋_GB2312" w:cs="仿宋_GB2312"/>
          <w:color w:val="auto"/>
          <w:sz w:val="32"/>
          <w:szCs w:val="32"/>
          <w:lang w:val="en-US" w:eastAsia="zh-CN"/>
        </w:rPr>
        <w:t>，共计召开6次调度会，撰写4期全区通报，截至目前化解61件，化解率97%。五</w:t>
      </w:r>
      <w:r>
        <w:rPr>
          <w:rFonts w:hint="eastAsia" w:ascii="仿宋" w:hAnsi="仿宋" w:eastAsia="仿宋" w:cs="宋体"/>
          <w:sz w:val="32"/>
          <w:szCs w:val="32"/>
          <w:lang w:val="en-US" w:eastAsia="zh-CN"/>
        </w:rPr>
        <w:t>、牵头成立区疫情防控社会维稳组,统筹协调疫情防控维稳工作。六、做好社会治安稳定形势分析研判工作。七、维护了政治安全。</w:t>
      </w:r>
    </w:p>
    <w:p w14:paraId="616300E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3、坚持重点牵引，社会综合治理迈上新台阶</w:t>
      </w:r>
    </w:p>
    <w:p w14:paraId="03BC9299">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楷体" w:hAnsi="楷体" w:eastAsia="楷体" w:cs="楷体"/>
          <w:b/>
          <w:bCs/>
          <w:sz w:val="32"/>
          <w:szCs w:val="32"/>
          <w:lang w:val="en-US" w:eastAsia="zh-CN"/>
        </w:rPr>
        <w:t>一是完善命案防控体系建设。</w:t>
      </w:r>
      <w:r>
        <w:rPr>
          <w:rFonts w:hint="eastAsia" w:ascii="仿宋_GB2312" w:hAnsi="仿宋_GB2312" w:eastAsia="仿宋_GB2312" w:cs="仿宋_GB2312"/>
          <w:b w:val="0"/>
          <w:bCs w:val="0"/>
          <w:color w:val="auto"/>
          <w:sz w:val="32"/>
          <w:szCs w:val="32"/>
          <w:lang w:val="en-US" w:eastAsia="zh-CN"/>
        </w:rPr>
        <w:t>2022年</w:t>
      </w:r>
      <w:r>
        <w:rPr>
          <w:rFonts w:hint="eastAsia" w:ascii="仿宋_GB2312" w:hAnsi="仿宋_GB2312" w:eastAsia="仿宋_GB2312" w:cs="仿宋_GB2312"/>
          <w:b w:val="0"/>
          <w:bCs w:val="0"/>
          <w:sz w:val="32"/>
          <w:szCs w:val="32"/>
          <w:lang w:val="en-US" w:eastAsia="zh-CN"/>
        </w:rPr>
        <w:t>全区未发生重大矛盾纠纷，未发生“民转刑”案件；</w:t>
      </w:r>
    </w:p>
    <w:p w14:paraId="03CA904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sz w:val="32"/>
          <w:szCs w:val="32"/>
        </w:rPr>
      </w:pPr>
      <w:r>
        <w:rPr>
          <w:rFonts w:hint="eastAsia" w:ascii="楷体" w:hAnsi="楷体" w:eastAsia="楷体" w:cs="楷体"/>
          <w:b/>
          <w:bCs/>
          <w:sz w:val="32"/>
          <w:szCs w:val="32"/>
          <w:lang w:val="en-US" w:eastAsia="zh-CN"/>
        </w:rPr>
        <w:t>二是提高矛盾纠纷多元化解质效。</w:t>
      </w:r>
      <w:r>
        <w:rPr>
          <w:rFonts w:hint="eastAsia" w:ascii="仿宋_GB2312" w:hAnsi="仿宋_GB2312" w:eastAsia="仿宋_GB2312" w:cs="仿宋_GB2312"/>
          <w:color w:val="auto"/>
          <w:sz w:val="32"/>
          <w:szCs w:val="32"/>
        </w:rPr>
        <w:t>今年以来，区多元中心接待来访共计1</w:t>
      </w:r>
      <w:r>
        <w:rPr>
          <w:rFonts w:hint="eastAsia" w:ascii="仿宋_GB2312" w:hAnsi="仿宋_GB2312" w:eastAsia="仿宋_GB2312" w:cs="仿宋_GB2312"/>
          <w:color w:val="auto"/>
          <w:sz w:val="32"/>
          <w:szCs w:val="32"/>
          <w:lang w:val="en-US" w:eastAsia="zh-CN"/>
        </w:rPr>
        <w:t>985</w:t>
      </w:r>
      <w:r>
        <w:rPr>
          <w:rFonts w:hint="eastAsia" w:ascii="仿宋_GB2312" w:hAnsi="仿宋_GB2312" w:eastAsia="仿宋_GB2312" w:cs="仿宋_GB2312"/>
          <w:color w:val="auto"/>
          <w:sz w:val="32"/>
          <w:szCs w:val="32"/>
        </w:rPr>
        <w:t>批</w:t>
      </w:r>
      <w:r>
        <w:rPr>
          <w:rFonts w:hint="eastAsia" w:ascii="仿宋_GB2312" w:hAnsi="仿宋_GB2312" w:eastAsia="仿宋_GB2312" w:cs="仿宋_GB2312"/>
          <w:color w:val="auto"/>
          <w:sz w:val="32"/>
          <w:szCs w:val="32"/>
          <w:lang w:val="en-US" w:eastAsia="zh-CN"/>
        </w:rPr>
        <w:t>9102</w:t>
      </w:r>
      <w:r>
        <w:rPr>
          <w:rFonts w:hint="eastAsia" w:ascii="仿宋_GB2312" w:hAnsi="仿宋_GB2312" w:eastAsia="仿宋_GB2312" w:cs="仿宋_GB2312"/>
          <w:color w:val="auto"/>
          <w:sz w:val="32"/>
          <w:szCs w:val="32"/>
        </w:rPr>
        <w:t>人次</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今年受理调解案件1481件，调解成功1463件，成功率98.8%，</w:t>
      </w:r>
      <w:r>
        <w:rPr>
          <w:rFonts w:hint="eastAsia" w:ascii="仿宋_GB2312" w:hAnsi="仿宋_GB2312" w:eastAsia="仿宋_GB2312" w:cs="仿宋_GB2312"/>
          <w:color w:val="auto"/>
          <w:sz w:val="32"/>
          <w:szCs w:val="32"/>
        </w:rPr>
        <w:t>诉前调解</w:t>
      </w:r>
      <w:r>
        <w:rPr>
          <w:rFonts w:hint="eastAsia" w:ascii="仿宋_GB2312" w:hAnsi="仿宋_GB2312" w:eastAsia="仿宋_GB2312" w:cs="仿宋_GB2312"/>
          <w:color w:val="auto"/>
          <w:sz w:val="32"/>
          <w:szCs w:val="32"/>
          <w:lang w:val="en-US" w:eastAsia="zh-CN"/>
        </w:rPr>
        <w:t>860</w:t>
      </w:r>
      <w:r>
        <w:rPr>
          <w:rFonts w:hint="eastAsia" w:ascii="仿宋_GB2312" w:hAnsi="仿宋_GB2312" w:eastAsia="仿宋_GB2312" w:cs="仿宋_GB2312"/>
          <w:color w:val="auto"/>
          <w:sz w:val="32"/>
          <w:szCs w:val="32"/>
        </w:rPr>
        <w:t>案，为群众追回标的额</w:t>
      </w:r>
      <w:r>
        <w:rPr>
          <w:rFonts w:hint="eastAsia" w:ascii="仿宋_GB2312" w:hAnsi="仿宋_GB2312" w:eastAsia="仿宋_GB2312" w:cs="仿宋_GB2312"/>
          <w:color w:val="auto"/>
          <w:sz w:val="32"/>
          <w:szCs w:val="32"/>
          <w:lang w:val="en-US" w:eastAsia="zh-CN"/>
        </w:rPr>
        <w:t>6</w:t>
      </w:r>
      <w:r>
        <w:rPr>
          <w:rFonts w:hint="eastAsia" w:ascii="仿宋_GB2312" w:hAnsi="仿宋_GB2312" w:eastAsia="仿宋_GB2312" w:cs="仿宋_GB2312"/>
          <w:color w:val="auto"/>
          <w:sz w:val="32"/>
          <w:szCs w:val="32"/>
        </w:rPr>
        <w:t>2</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24</w:t>
      </w:r>
      <w:r>
        <w:rPr>
          <w:rFonts w:hint="eastAsia" w:ascii="仿宋_GB2312" w:hAnsi="仿宋_GB2312" w:eastAsia="仿宋_GB2312" w:cs="仿宋_GB2312"/>
          <w:color w:val="auto"/>
          <w:sz w:val="32"/>
          <w:szCs w:val="32"/>
        </w:rPr>
        <w:t>万元。</w:t>
      </w:r>
    </w:p>
    <w:p w14:paraId="63585548">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sz w:val="32"/>
          <w:szCs w:val="32"/>
          <w:lang w:val="en-US" w:eastAsia="zh-CN"/>
        </w:rPr>
      </w:pPr>
      <w:r>
        <w:rPr>
          <w:rFonts w:hint="eastAsia" w:ascii="楷体" w:hAnsi="楷体" w:eastAsia="楷体" w:cs="楷体"/>
          <w:b/>
          <w:bCs/>
          <w:sz w:val="32"/>
          <w:szCs w:val="32"/>
          <w:lang w:val="en-US" w:eastAsia="zh-CN"/>
        </w:rPr>
        <w:t>三是组织开展全区矛盾纠纷排查化解工作。</w:t>
      </w:r>
      <w:r>
        <w:rPr>
          <w:rFonts w:hint="eastAsia" w:ascii="仿宋" w:hAnsi="仿宋" w:eastAsia="仿宋"/>
          <w:sz w:val="32"/>
          <w:szCs w:val="32"/>
          <w:lang w:val="en-US" w:eastAsia="zh-CN"/>
        </w:rPr>
        <w:t>今年以来全区排查化解各类矛盾纠纷1632件，调处率99.88%。</w:t>
      </w:r>
    </w:p>
    <w:p w14:paraId="4462ABB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rPr>
      </w:pPr>
      <w:r>
        <w:rPr>
          <w:rFonts w:hint="eastAsia" w:ascii="楷体" w:hAnsi="楷体" w:eastAsia="楷体" w:cs="楷体"/>
          <w:b/>
          <w:bCs/>
          <w:sz w:val="32"/>
          <w:szCs w:val="32"/>
          <w:lang w:val="en-US" w:eastAsia="zh-CN"/>
        </w:rPr>
        <w:t>四是</w:t>
      </w:r>
      <w:r>
        <w:rPr>
          <w:rFonts w:hint="eastAsia" w:ascii="楷体" w:hAnsi="楷体" w:eastAsia="楷体" w:cs="楷体"/>
          <w:b/>
          <w:bCs/>
          <w:sz w:val="32"/>
          <w:szCs w:val="32"/>
        </w:rPr>
        <w:t>加强社会治安防控体系建设。</w:t>
      </w:r>
      <w:r>
        <w:rPr>
          <w:rFonts w:hint="eastAsia" w:ascii="楷体" w:hAnsi="楷体" w:eastAsia="楷体" w:cs="楷体"/>
          <w:sz w:val="32"/>
          <w:szCs w:val="32"/>
        </w:rPr>
        <w:t>“</w:t>
      </w:r>
      <w:r>
        <w:rPr>
          <w:rFonts w:hint="eastAsia" w:ascii="仿宋_GB2312" w:hAnsi="仿宋_GB2312" w:eastAsia="仿宋_GB2312" w:cs="仿宋_GB2312"/>
          <w:sz w:val="32"/>
          <w:szCs w:val="32"/>
        </w:rPr>
        <w:t>雪亮工程”平台接入社会视频资源6023路，实现重点点位和重点区域全覆盖。</w:t>
      </w:r>
    </w:p>
    <w:p w14:paraId="26A76B1E">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楷体" w:hAnsi="楷体" w:eastAsia="楷体" w:cs="楷体"/>
          <w:b/>
          <w:bCs/>
          <w:sz w:val="32"/>
          <w:szCs w:val="32"/>
          <w:lang w:val="en-US" w:eastAsia="zh-CN"/>
        </w:rPr>
        <w:t>五是</w:t>
      </w:r>
      <w:r>
        <w:rPr>
          <w:rFonts w:hint="eastAsia" w:ascii="楷体" w:hAnsi="楷体" w:eastAsia="楷体" w:cs="楷体"/>
          <w:b/>
          <w:bCs/>
          <w:sz w:val="32"/>
          <w:szCs w:val="32"/>
        </w:rPr>
        <w:t>优化网格化服务管理顶层设计。</w:t>
      </w:r>
      <w:r>
        <w:rPr>
          <w:rFonts w:hint="eastAsia" w:ascii="仿宋_GB2312" w:hAnsi="仿宋_GB2312" w:eastAsia="仿宋_GB2312" w:cs="仿宋_GB2312"/>
          <w:sz w:val="32"/>
          <w:szCs w:val="32"/>
        </w:rPr>
        <w:t>全区21万户、81万人口和人、事、地、物、组织全部纳入网格化服务管理范围，形成“社情全掌握、矛盾全化解、服务全方位”的服务管理体系</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我区《小网格发挥大作用》的基层社会治理工作侧记在中央长安刊发后又在河北政法报头版刊发。</w:t>
      </w:r>
    </w:p>
    <w:p w14:paraId="3835DCE6">
      <w:pPr>
        <w:keepNext w:val="0"/>
        <w:keepLines w:val="0"/>
        <w:pageBreakBefore w:val="0"/>
        <w:widowControl w:val="0"/>
        <w:kinsoku/>
        <w:wordWrap/>
        <w:overflowPunct/>
        <w:topLinePunct w:val="0"/>
        <w:autoSpaceDE/>
        <w:autoSpaceDN w:val="0"/>
        <w:bidi w:val="0"/>
        <w:adjustRightInd/>
        <w:snapToGrid/>
        <w:spacing w:line="56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楷体" w:hAnsi="楷体" w:eastAsia="楷体" w:cs="楷体"/>
          <w:b/>
          <w:bCs/>
          <w:sz w:val="32"/>
          <w:szCs w:val="32"/>
          <w:lang w:val="en-US" w:eastAsia="zh-CN"/>
        </w:rPr>
        <w:t>六是</w:t>
      </w:r>
      <w:r>
        <w:rPr>
          <w:rFonts w:hint="eastAsia" w:ascii="楷体" w:hAnsi="楷体" w:eastAsia="楷体" w:cs="楷体"/>
          <w:b/>
          <w:bCs/>
          <w:sz w:val="32"/>
          <w:szCs w:val="32"/>
        </w:rPr>
        <w:t>深入推进市域社会治理综合试点验收工作。</w:t>
      </w:r>
      <w:r>
        <w:rPr>
          <w:rFonts w:hint="eastAsia" w:ascii="仿宋_GB2312" w:hAnsi="仿宋_GB2312" w:eastAsia="仿宋_GB2312" w:cs="仿宋_GB2312"/>
          <w:color w:val="auto"/>
          <w:sz w:val="32"/>
          <w:szCs w:val="32"/>
          <w:lang w:val="en-US" w:eastAsia="zh-CN"/>
        </w:rPr>
        <w:t>我区所有任务均已完成。</w:t>
      </w:r>
      <w:r>
        <w:rPr>
          <w:rFonts w:hint="eastAsia" w:ascii="仿宋_GB2312" w:hAnsi="仿宋_GB2312" w:eastAsia="仿宋_GB2312" w:cs="仿宋_GB2312"/>
          <w:b w:val="0"/>
          <w:bCs w:val="0"/>
          <w:color w:val="auto"/>
          <w:sz w:val="32"/>
          <w:szCs w:val="32"/>
          <w:lang w:val="en-US" w:eastAsia="zh-CN"/>
        </w:rPr>
        <w:t>在全省第四次市域社会治理现代化试点工作创新交流会上，我区以《创新网格化工作体系 夯实社会治理基础》为题作交流发言；省委政法委刘德明副书记以我区岗上村德治教化经验为例，对我区德治成果进行了肯定和表扬。</w:t>
      </w:r>
    </w:p>
    <w:p w14:paraId="54349D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4、坚持服务大局，法治建设取得新成效</w:t>
      </w:r>
    </w:p>
    <w:p w14:paraId="654CF8EE">
      <w:pPr>
        <w:keepNext w:val="0"/>
        <w:keepLines w:val="0"/>
        <w:pageBreakBefore w:val="0"/>
        <w:widowControl w:val="0"/>
        <w:kinsoku/>
        <w:wordWrap w:val="0"/>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楷体" w:hAnsi="楷体" w:eastAsia="楷体" w:cs="楷体"/>
          <w:b/>
          <w:bCs/>
          <w:sz w:val="32"/>
          <w:szCs w:val="32"/>
          <w:lang w:val="en-US" w:eastAsia="zh-CN"/>
        </w:rPr>
        <w:t>一是积极响应号召，坚决打好“三场硬仗”。</w:t>
      </w:r>
      <w:r>
        <w:rPr>
          <w:rFonts w:hint="eastAsia" w:ascii="仿宋_GB2312" w:hAnsi="仿宋_GB2312" w:eastAsia="仿宋_GB2312" w:cs="仿宋_GB2312"/>
          <w:b w:val="0"/>
          <w:bCs w:val="0"/>
          <w:sz w:val="32"/>
          <w:szCs w:val="32"/>
          <w:lang w:val="en-US" w:eastAsia="zh-CN"/>
        </w:rPr>
        <w:t>认真开展房地产领域违法犯罪专项整治，</w:t>
      </w:r>
      <w:r>
        <w:rPr>
          <w:rFonts w:hint="eastAsia" w:ascii="仿宋_GB2312" w:hAnsi="仿宋_GB2312" w:eastAsia="仿宋_GB2312" w:cs="仿宋_GB2312"/>
          <w:b w:val="0"/>
          <w:bCs w:val="0"/>
          <w:color w:val="auto"/>
          <w:sz w:val="32"/>
          <w:szCs w:val="32"/>
          <w:lang w:val="en-US" w:eastAsia="zh-CN"/>
        </w:rPr>
        <w:t>加快推进非法集资陈案攻坚。</w:t>
      </w:r>
    </w:p>
    <w:p w14:paraId="5DF7D1B7">
      <w:pPr>
        <w:keepNext w:val="0"/>
        <w:keepLines w:val="0"/>
        <w:pageBreakBefore w:val="0"/>
        <w:widowControl w:val="0"/>
        <w:kinsoku/>
        <w:wordWrap w:val="0"/>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二是强化执法监督，提升执法司法质效。</w:t>
      </w:r>
      <w:r>
        <w:rPr>
          <w:rFonts w:hint="eastAsia" w:ascii="仿宋_GB2312" w:hAnsi="仿宋_GB2312" w:eastAsia="仿宋_GB2312" w:cs="仿宋_GB2312"/>
          <w:b w:val="0"/>
          <w:bCs w:val="0"/>
          <w:sz w:val="32"/>
          <w:szCs w:val="32"/>
          <w:lang w:val="en-US" w:eastAsia="zh-CN"/>
        </w:rPr>
        <w:t xml:space="preserve">强化案件督办，制发督办函3份，明确工作要求，规范衔接程序，强化协作配合。   </w:t>
      </w:r>
      <w:r>
        <w:rPr>
          <w:rFonts w:hint="eastAsia" w:ascii="楷体" w:hAnsi="楷体" w:eastAsia="楷体" w:cs="楷体"/>
          <w:b/>
          <w:bCs/>
          <w:sz w:val="32"/>
          <w:szCs w:val="32"/>
          <w:lang w:val="en-US" w:eastAsia="zh-CN"/>
        </w:rPr>
        <w:t xml:space="preserve"> </w:t>
      </w:r>
    </w:p>
    <w:p w14:paraId="33CBE79E">
      <w:pPr>
        <w:keepNext w:val="0"/>
        <w:keepLines w:val="0"/>
        <w:pageBreakBefore w:val="0"/>
        <w:widowControl w:val="0"/>
        <w:kinsoku/>
        <w:wordWrap w:val="0"/>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sz w:val="32"/>
          <w:szCs w:val="32"/>
          <w:lang w:val="en-US" w:eastAsia="zh-CN"/>
        </w:rPr>
      </w:pPr>
      <w:r>
        <w:rPr>
          <w:rFonts w:hint="eastAsia" w:ascii="楷体" w:hAnsi="楷体" w:eastAsia="楷体" w:cs="楷体"/>
          <w:b/>
          <w:bCs/>
          <w:sz w:val="32"/>
          <w:szCs w:val="32"/>
          <w:lang w:val="en-US" w:eastAsia="zh-CN"/>
        </w:rPr>
        <w:t>三是全力依法打击，开展养老诈骗专项行动。</w:t>
      </w:r>
      <w:r>
        <w:rPr>
          <w:rFonts w:hint="eastAsia" w:ascii="仿宋_GB2312" w:hAnsi="仿宋_GB2312" w:eastAsia="仿宋_GB2312" w:cs="仿宋_GB2312"/>
          <w:sz w:val="32"/>
          <w:szCs w:val="32"/>
          <w:lang w:val="en-US" w:eastAsia="zh-CN"/>
        </w:rPr>
        <w:t>连续破获4起涉养老诈骗案件，强力挽损3791万元，挽损率82.08%。</w:t>
      </w:r>
    </w:p>
    <w:p w14:paraId="57CF1BD9">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仿宋" w:hAnsi="仿宋" w:eastAsia="仿宋" w:cs="仿宋"/>
          <w:b w:val="0"/>
          <w:bCs w:val="0"/>
          <w:sz w:val="32"/>
          <w:szCs w:val="32"/>
          <w:u w:val="none"/>
          <w:lang w:eastAsia="zh-CN"/>
        </w:rPr>
      </w:pPr>
      <w:r>
        <w:rPr>
          <w:rFonts w:hint="eastAsia" w:ascii="黑体" w:hAnsi="黑体" w:eastAsia="黑体" w:cs="黑体"/>
          <w:b w:val="0"/>
          <w:bCs w:val="0"/>
          <w:sz w:val="32"/>
          <w:szCs w:val="32"/>
          <w:lang w:val="en-US" w:eastAsia="zh-CN"/>
        </w:rPr>
        <w:t>是坚持源头治理，扫黑除恶专项斗争开创新局面</w:t>
      </w:r>
      <w:r>
        <w:rPr>
          <w:rFonts w:hint="eastAsia" w:ascii="仿宋" w:hAnsi="仿宋" w:eastAsia="仿宋" w:cs="宋体"/>
          <w:sz w:val="32"/>
          <w:szCs w:val="32"/>
          <w:lang w:val="zh-CN" w:eastAsia="zh-CN"/>
        </w:rPr>
        <w:t>。</w:t>
      </w:r>
    </w:p>
    <w:p w14:paraId="37D8E156">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一是推进信息网络领域、自然资源领域、交通运输领域、工程建设领四大领域整治行动纵深开展。</w:t>
      </w:r>
    </w:p>
    <w:p w14:paraId="6E1195E7">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二是持续提升基层拒黑防恶能力，组织相关成员单位开展村（社区）“两委”班子县级联审，净化了基层政治生态。</w:t>
      </w:r>
    </w:p>
    <w:p w14:paraId="69009192">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bCs/>
          <w:sz w:val="32"/>
          <w:szCs w:val="32"/>
          <w:u w:val="none"/>
          <w:lang w:eastAsia="zh-CN"/>
        </w:rPr>
      </w:pPr>
      <w:r>
        <w:rPr>
          <w:rFonts w:hint="eastAsia" w:ascii="仿宋_GB2312" w:hAnsi="仿宋_GB2312" w:eastAsia="仿宋_GB2312" w:cs="仿宋_GB2312"/>
          <w:sz w:val="32"/>
          <w:szCs w:val="32"/>
          <w:lang w:val="en-US" w:eastAsia="zh-CN"/>
        </w:rPr>
        <w:t>三是组织各相关单位、各乡镇（区）开展《中华人民共和国反有组织犯罪法》</w:t>
      </w:r>
      <w:bookmarkStart w:id="1" w:name="_GoBack"/>
      <w:bookmarkEnd w:id="1"/>
      <w:r>
        <w:rPr>
          <w:rFonts w:hint="eastAsia" w:ascii="仿宋_GB2312" w:hAnsi="仿宋_GB2312" w:eastAsia="仿宋_GB2312" w:cs="仿宋_GB2312"/>
          <w:sz w:val="32"/>
          <w:szCs w:val="32"/>
          <w:lang w:val="en-US" w:eastAsia="zh-CN"/>
        </w:rPr>
        <w:t>学习宣传活动</w:t>
      </w:r>
      <w:r>
        <w:rPr>
          <w:rFonts w:hint="eastAsia" w:ascii="仿宋" w:hAnsi="仿宋" w:eastAsia="仿宋" w:cs="仿宋"/>
          <w:b/>
          <w:bCs/>
          <w:sz w:val="32"/>
          <w:szCs w:val="32"/>
          <w:u w:val="none"/>
          <w:lang w:eastAsia="zh-CN"/>
        </w:rPr>
        <w:t>。</w:t>
      </w:r>
    </w:p>
    <w:p w14:paraId="201810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b w:val="0"/>
          <w:bCs w:val="0"/>
          <w:sz w:val="32"/>
          <w:szCs w:val="32"/>
          <w:lang w:val="en-US" w:eastAsia="zh-CN"/>
        </w:rPr>
      </w:pPr>
      <w:r>
        <w:rPr>
          <w:rFonts w:hint="eastAsia" w:ascii="黑体" w:hAnsi="黑体" w:eastAsia="黑体" w:cs="黑体"/>
          <w:b w:val="0"/>
          <w:bCs w:val="0"/>
          <w:sz w:val="32"/>
          <w:szCs w:val="32"/>
          <w:lang w:val="en-US" w:eastAsia="zh-CN"/>
        </w:rPr>
        <w:t xml:space="preserve">6、是政法队伍建设水平达到新高度 </w:t>
      </w:r>
    </w:p>
    <w:p w14:paraId="5CD5302C">
      <w:pPr>
        <w:keepNext w:val="0"/>
        <w:keepLines w:val="0"/>
        <w:pageBreakBefore w:val="0"/>
        <w:widowControl w:val="0"/>
        <w:kinsoku/>
        <w:wordWrap/>
        <w:overflowPunct/>
        <w:topLinePunct w:val="0"/>
        <w:autoSpaceDE/>
        <w:autoSpaceDN w:val="0"/>
        <w:bidi w:val="0"/>
        <w:adjustRightInd/>
        <w:snapToGrid/>
        <w:spacing w:line="560" w:lineRule="exact"/>
        <w:ind w:firstLine="643" w:firstLineChars="200"/>
        <w:textAlignment w:val="auto"/>
        <w:rPr>
          <w:rFonts w:hint="eastAsia" w:ascii="仿宋_GB2312" w:hAnsi="仿宋_GB2312" w:eastAsia="仿宋_GB2312" w:cs="仿宋_GB2312"/>
          <w:sz w:val="32"/>
          <w:szCs w:val="32"/>
          <w:lang w:eastAsia="zh-CN"/>
        </w:rPr>
      </w:pPr>
      <w:r>
        <w:rPr>
          <w:rFonts w:hint="eastAsia" w:ascii="楷体_GB2312" w:hAnsi="楷体_GB2312" w:eastAsia="楷体_GB2312" w:cs="楷体_GB2312"/>
          <w:b/>
          <w:bCs/>
          <w:sz w:val="32"/>
          <w:szCs w:val="32"/>
          <w:lang w:val="en-US" w:eastAsia="zh-CN"/>
        </w:rPr>
        <w:t>一是</w:t>
      </w:r>
      <w:r>
        <w:rPr>
          <w:rFonts w:hint="eastAsia" w:ascii="楷体_GB2312" w:hAnsi="楷体_GB2312" w:eastAsia="楷体_GB2312" w:cs="楷体_GB2312"/>
          <w:b/>
          <w:bCs/>
          <w:sz w:val="32"/>
          <w:szCs w:val="32"/>
        </w:rPr>
        <w:t>久久为功抓党建。</w:t>
      </w:r>
      <w:r>
        <w:rPr>
          <w:rFonts w:hint="eastAsia" w:ascii="仿宋_GB2312" w:hAnsi="仿宋_GB2312" w:eastAsia="仿宋_GB2312" w:cs="仿宋_GB2312"/>
          <w:sz w:val="32"/>
          <w:szCs w:val="32"/>
        </w:rPr>
        <w:t>紧紧围绕超超书记“实干至上、行动至上”的重要指示和锦山书记提出的“争第一、创唯一”工作目标，扎实推进“抓党建、带队建，保平安、促发展”活动</w:t>
      </w:r>
      <w:r>
        <w:rPr>
          <w:rFonts w:hint="eastAsia" w:ascii="仿宋_GB2312" w:hAnsi="仿宋_GB2312" w:eastAsia="仿宋_GB2312" w:cs="仿宋_GB2312"/>
          <w:sz w:val="32"/>
          <w:szCs w:val="32"/>
          <w:lang w:eastAsia="zh-CN"/>
        </w:rPr>
        <w:t>。</w:t>
      </w:r>
    </w:p>
    <w:p w14:paraId="53DB23AC">
      <w:pPr>
        <w:keepNext w:val="0"/>
        <w:keepLines w:val="0"/>
        <w:pageBreakBefore w:val="0"/>
        <w:widowControl w:val="0"/>
        <w:kinsoku/>
        <w:wordWrap/>
        <w:overflowPunct/>
        <w:topLinePunct w:val="0"/>
        <w:autoSpaceDE/>
        <w:autoSpaceDN w:val="0"/>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bCs/>
          <w:sz w:val="32"/>
          <w:szCs w:val="32"/>
          <w:lang w:val="en-US" w:eastAsia="zh-CN"/>
        </w:rPr>
        <w:t>二是</w:t>
      </w:r>
      <w:r>
        <w:rPr>
          <w:rFonts w:hint="eastAsia" w:ascii="楷体_GB2312" w:hAnsi="楷体_GB2312" w:eastAsia="楷体_GB2312" w:cs="楷体_GB2312"/>
          <w:b/>
          <w:bCs/>
          <w:sz w:val="32"/>
          <w:szCs w:val="32"/>
        </w:rPr>
        <w:t>刀刃向内搞整顿。</w:t>
      </w:r>
      <w:r>
        <w:rPr>
          <w:rFonts w:hint="eastAsia" w:ascii="仿宋_GB2312" w:hAnsi="仿宋_GB2312" w:eastAsia="仿宋_GB2312" w:cs="仿宋_GB2312"/>
          <w:color w:val="000000"/>
          <w:sz w:val="32"/>
          <w:szCs w:val="32"/>
          <w:shd w:val="clear" w:color="auto" w:fill="FFFFFF"/>
          <w:lang w:val="en-US" w:eastAsia="zh-CN"/>
        </w:rPr>
        <w:t>2022年以来，</w:t>
      </w:r>
      <w:r>
        <w:rPr>
          <w:rFonts w:hint="eastAsia" w:ascii="仿宋_GB2312" w:hAnsi="仿宋_GB2312" w:eastAsia="仿宋_GB2312" w:cs="仿宋_GB2312"/>
          <w:sz w:val="32"/>
          <w:szCs w:val="32"/>
          <w:lang w:val="en-US" w:eastAsia="zh-CN"/>
        </w:rPr>
        <w:t>开展纪律作风督查20次，正风肃纪初见成效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深入推进纠“四风”和作风纪律专项整治工作，</w:t>
      </w:r>
    </w:p>
    <w:p w14:paraId="60097CEE">
      <w:pPr>
        <w:keepNext w:val="0"/>
        <w:keepLines w:val="0"/>
        <w:pageBreakBefore w:val="0"/>
        <w:widowControl w:val="0"/>
        <w:kinsoku/>
        <w:wordWrap/>
        <w:overflowPunct/>
        <w:topLinePunct w:val="0"/>
        <w:autoSpaceDE/>
        <w:autoSpaceDN w:val="0"/>
        <w:bidi w:val="0"/>
        <w:adjustRightInd/>
        <w:snapToGrid/>
        <w:spacing w:line="560" w:lineRule="exact"/>
        <w:ind w:firstLine="643" w:firstLineChars="200"/>
        <w:textAlignment w:val="auto"/>
        <w:rPr>
          <w:rFonts w:hint="eastAsia"/>
          <w:lang w:eastAsia="zh-CN"/>
        </w:rPr>
      </w:pPr>
      <w:r>
        <w:rPr>
          <w:rFonts w:hint="eastAsia" w:ascii="楷体_GB2312" w:hAnsi="楷体_GB2312" w:eastAsia="楷体_GB2312" w:cs="楷体_GB2312"/>
          <w:b/>
          <w:bCs/>
          <w:sz w:val="32"/>
          <w:szCs w:val="32"/>
          <w:lang w:val="en-US" w:eastAsia="zh-CN"/>
        </w:rPr>
        <w:t>三是</w:t>
      </w:r>
      <w:r>
        <w:rPr>
          <w:rFonts w:hint="eastAsia" w:ascii="楷体_GB2312" w:hAnsi="楷体_GB2312" w:eastAsia="楷体_GB2312" w:cs="楷体_GB2312"/>
          <w:b/>
          <w:bCs/>
          <w:sz w:val="32"/>
          <w:szCs w:val="32"/>
        </w:rPr>
        <w:t>学习教育常态化。</w:t>
      </w:r>
      <w:r>
        <w:rPr>
          <w:rFonts w:hint="eastAsia" w:ascii="仿宋_GB2312" w:hAnsi="仿宋_GB2312" w:eastAsia="仿宋_GB2312" w:cs="仿宋_GB2312"/>
          <w:sz w:val="32"/>
          <w:szCs w:val="32"/>
          <w:lang w:val="en-US" w:eastAsia="zh-CN"/>
        </w:rPr>
        <w:t>今年以来</w:t>
      </w:r>
      <w:r>
        <w:rPr>
          <w:rFonts w:hint="eastAsia" w:ascii="仿宋_GB2312" w:hAnsi="仿宋_GB2312" w:eastAsia="仿宋_GB2312" w:cs="仿宋_GB2312"/>
          <w:sz w:val="32"/>
          <w:szCs w:val="32"/>
        </w:rPr>
        <w:t>共集中学习</w:t>
      </w:r>
      <w:r>
        <w:rPr>
          <w:rFonts w:hint="eastAsia" w:ascii="仿宋_GB2312" w:hAnsi="仿宋_GB2312" w:eastAsia="仿宋_GB2312" w:cs="仿宋_GB2312"/>
          <w:sz w:val="32"/>
          <w:szCs w:val="32"/>
          <w:lang w:val="en-US" w:eastAsia="zh-CN"/>
        </w:rPr>
        <w:t>36</w:t>
      </w:r>
      <w:r>
        <w:rPr>
          <w:rFonts w:hint="eastAsia" w:ascii="仿宋_GB2312" w:hAnsi="仿宋_GB2312" w:eastAsia="仿宋_GB2312" w:cs="仿宋_GB2312"/>
          <w:sz w:val="32"/>
          <w:szCs w:val="32"/>
        </w:rPr>
        <w:t>次</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篇，为进一步增强“四个意识”、坚定“四个自信”、做到“两个维护”，夯实了思想根基，补足了精神之钙。</w:t>
      </w:r>
    </w:p>
    <w:p w14:paraId="42FBCA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7、坚持凝聚力量，政法宣传取得新突破</w:t>
      </w:r>
    </w:p>
    <w:p w14:paraId="3AB43BD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建立了政法宣传素材库、11个“两微一端”（即：微博、微信、客户端）新媒体矩阵、政法新媒体中心等平台，</w:t>
      </w:r>
      <w:r>
        <w:rPr>
          <w:rFonts w:hint="eastAsia" w:ascii="仿宋_GB2312" w:hAnsi="仿宋_GB2312" w:eastAsia="仿宋_GB2312" w:cs="仿宋_GB2312"/>
          <w:sz w:val="32"/>
          <w:szCs w:val="32"/>
          <w:lang w:val="en-US" w:eastAsia="zh-CN"/>
        </w:rPr>
        <w:t>高于市委政法委关于组建政法网军人数3倍的标准建立起了我区149人实名认证的政法网宣队伍，</w:t>
      </w:r>
      <w:r>
        <w:rPr>
          <w:rFonts w:hint="eastAsia" w:ascii="仿宋_GB2312" w:hAnsi="仿宋_GB2312" w:eastAsia="仿宋_GB2312" w:cs="仿宋_GB2312"/>
          <w:sz w:val="32"/>
          <w:szCs w:val="32"/>
        </w:rPr>
        <w:t>形成了政法宣传“一盘棋”“一张网”的新格局。</w:t>
      </w:r>
    </w:p>
    <w:p w14:paraId="316A9B6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在长安网考核方面，截至目前向上级投稿共计434篇，刊</w:t>
      </w:r>
      <w:r>
        <w:rPr>
          <w:rFonts w:hint="eastAsia" w:ascii="仿宋_GB2312" w:hAnsi="仿宋_GB2312" w:eastAsia="仿宋_GB2312" w:cs="仿宋_GB2312"/>
          <w:b w:val="0"/>
          <w:bCs w:val="0"/>
          <w:color w:val="auto"/>
          <w:sz w:val="32"/>
          <w:szCs w:val="32"/>
          <w:lang w:val="en-US" w:eastAsia="zh-CN"/>
        </w:rPr>
        <w:t>登90篇，其中中国长安网刊登1篇、省长安网刊登3篇、市长安网85篇</w:t>
      </w:r>
      <w:r>
        <w:rPr>
          <w:rFonts w:hint="eastAsia" w:ascii="仿宋_GB2312" w:hAnsi="仿宋_GB2312" w:eastAsia="仿宋_GB2312" w:cs="仿宋_GB2312"/>
          <w:b w:val="0"/>
          <w:bCs w:val="0"/>
          <w:sz w:val="32"/>
          <w:szCs w:val="32"/>
          <w:lang w:val="en-US" w:eastAsia="zh-CN"/>
        </w:rPr>
        <w:t>。1月份我区排名全市第10名，2、3月份我区排名全市第2名，4月至9月稳居全市第1名,今年我区长安网的投稿刊登量与去年同期相比增长超过10倍。</w:t>
      </w:r>
    </w:p>
    <w:p w14:paraId="7B1D14A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今年以来我区在各大新闻媒体上刊登的宣传稿件共计542篇，其中纸媒刊登共计188篇（中央级1篇、省级107篇、市级24篇，区级56篇，其中省级头版头条2篇）；网络媒体刊登共计354篇（省级147篇、市级136篇，区级45篇、社会层面关注度较高的自媒体26篇）。</w:t>
      </w:r>
    </w:p>
    <w:p w14:paraId="5E8CAC28">
      <w:pPr>
        <w:widowControl w:val="0"/>
        <w:numPr>
          <w:ilvl w:val="0"/>
          <w:numId w:val="0"/>
        </w:numPr>
        <w:wordWrap/>
        <w:adjustRightInd/>
        <w:snapToGrid w:val="0"/>
        <w:spacing w:line="560" w:lineRule="exact"/>
        <w:ind w:left="630" w:leftChars="0" w:right="0" w:rightChars="0"/>
        <w:jc w:val="left"/>
        <w:textAlignment w:val="auto"/>
        <w:outlineLvl w:val="9"/>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val="en-US" w:eastAsia="zh-CN"/>
        </w:rPr>
        <w:t>四、</w:t>
      </w:r>
      <w:r>
        <w:rPr>
          <w:rFonts w:hint="eastAsia" w:ascii="黑体" w:hAnsi="黑体" w:eastAsia="黑体" w:cs="黑体"/>
          <w:sz w:val="32"/>
          <w:szCs w:val="32"/>
          <w:highlight w:val="none"/>
          <w:lang w:eastAsia="zh-CN"/>
        </w:rPr>
        <w:t>评价结论和评价等级</w:t>
      </w:r>
    </w:p>
    <w:tbl>
      <w:tblPr>
        <w:tblStyle w:val="7"/>
        <w:tblpPr w:leftFromText="180" w:rightFromText="180" w:vertAnchor="text" w:horzAnchor="page" w:tblpX="1566" w:tblpY="712"/>
        <w:tblOverlap w:val="never"/>
        <w:tblW w:w="919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40"/>
        <w:gridCol w:w="3165"/>
        <w:gridCol w:w="1023"/>
        <w:gridCol w:w="1284"/>
        <w:gridCol w:w="1150"/>
        <w:gridCol w:w="1066"/>
        <w:gridCol w:w="967"/>
      </w:tblGrid>
      <w:tr w14:paraId="29E8D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5"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3A8A5E">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序号</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CE842D">
            <w:pPr>
              <w:keepNext w:val="0"/>
              <w:keepLines w:val="0"/>
              <w:widowControl/>
              <w:suppressLineNumbers w:val="0"/>
              <w:jc w:val="center"/>
              <w:textAlignment w:val="center"/>
              <w:rPr>
                <w:rFonts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项目名称</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2A355C">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产出指标完成得分情况</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602884">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预算执行率指标完成得分情况</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D9EA735">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效益指标完成得分情况</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9FA320">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满意度指标完成得分情况</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0F1211">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自评得分</w:t>
            </w:r>
          </w:p>
        </w:tc>
      </w:tr>
      <w:tr w14:paraId="3BE24B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2C781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159</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43EAB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“雪亮工程”维护费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C0840A8">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92F11E">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8CB58D">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5FB589">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296837">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w:t>
            </w:r>
          </w:p>
        </w:tc>
      </w:tr>
      <w:tr w14:paraId="35EE3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3E06A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160</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2B8DD5">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《平安藁城》栏目制作费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36C3C9">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39</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3E0199B">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06EA0C">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3662D8">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F89CD7">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97</w:t>
            </w:r>
          </w:p>
        </w:tc>
      </w:tr>
      <w:tr w14:paraId="32BBB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47EC7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161</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60107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北京冬奥会、冬残奥会及春运、全国两会期间铁路护路工作经费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6BE167">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7D992B">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7D812">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711DFEE">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9803FF7">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w:t>
            </w:r>
          </w:p>
        </w:tc>
      </w:tr>
      <w:tr w14:paraId="05AB1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8227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162</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7CD357">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城区专职网格员工作经费（上半年）</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4EEAA1E">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AF68B1E">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107CDD">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AD425E5">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BF6BEED">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99</w:t>
            </w:r>
          </w:p>
        </w:tc>
      </w:tr>
      <w:tr w14:paraId="02470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C8B3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163</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58C300">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打击处置“全能神”邪教组织专项经费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70970">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DB608">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4921E1">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CC77BF">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3D4DC8">
            <w:pPr>
              <w:keepNext w:val="0"/>
              <w:keepLines w:val="0"/>
              <w:widowControl/>
              <w:suppressLineNumbers w:val="0"/>
              <w:jc w:val="center"/>
              <w:textAlignment w:val="center"/>
              <w:rPr>
                <w:rFonts w:hint="eastAsia" w:ascii="仿宋" w:hAnsi="仿宋" w:eastAsia="仿宋" w:cs="仿宋"/>
                <w:i w:val="0"/>
                <w:color w:val="000000"/>
                <w:sz w:val="24"/>
                <w:szCs w:val="24"/>
                <w:u w:val="none"/>
              </w:rPr>
            </w:pPr>
            <w:r>
              <w:rPr>
                <w:rFonts w:hint="eastAsia" w:ascii="仿宋" w:hAnsi="仿宋" w:eastAsia="仿宋" w:cs="仿宋"/>
                <w:i w:val="0"/>
                <w:color w:val="000000"/>
                <w:kern w:val="0"/>
                <w:sz w:val="24"/>
                <w:szCs w:val="24"/>
                <w:u w:val="none"/>
                <w:lang w:val="en-US" w:eastAsia="zh-CN" w:bidi="ar"/>
              </w:rPr>
              <w:t>96</w:t>
            </w:r>
          </w:p>
        </w:tc>
      </w:tr>
      <w:tr w14:paraId="6A9A2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59DE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164</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2B8CE">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精神障碍患者监护人责任保险</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2AE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85C5A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E3C5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D8A9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5A1C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14:paraId="0F8AB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77D2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165</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AFBE7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两会期间铁路护路雇佣人员补助</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934EC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528D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94FF2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8A2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F434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14:paraId="02842A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43840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166</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0BB5DB">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扫黑除恶工作经费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09B87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E5D18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C8512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EC113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7760E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5305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0DF2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167</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EC6DD2">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社会矛盾纠纷多元化解中心项目建设</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280B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A4C6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BDEF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96827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2E59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27B2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52642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168</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F6577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涉法涉诉专项资金</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35F71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5095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A36B8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4233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0683E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36550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68966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169</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967449">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石财行[2022]23号关于下达市级大要案经费、扫黑除恶斗争办案补贴等经费的通知（大要案准备金）</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7459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37A94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D6CD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229A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A2A7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14:paraId="31495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A0AE1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170</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035C1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石财行[2022]23号关于下达市级大要案经费、扫黑除恶斗争办案补贴等经费的通知（社会治安综合治理专项经费）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B222D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FCAF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B327E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3755C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F0B6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14:paraId="69B0B9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9AC85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171</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B67A2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石财行[2022]8号石家庄市财政局关于下达基层平安建设专项经费的通知</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E59D1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89EEC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7DC64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17186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A961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01787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FCCD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172</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98C756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调解服务经费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89E05C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4324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787EC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25858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03E74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14:paraId="791F5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4BFF8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173</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1A4B5D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网格化服务管理经费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E732A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37F7A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053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2F774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C1972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w:t>
            </w:r>
          </w:p>
        </w:tc>
      </w:tr>
      <w:tr w14:paraId="75F3D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E3A56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174</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C8698">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网格员手机APP服务费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172F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22D3A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B8FAD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73FC6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6B0B7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14:paraId="4B5A8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619B0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175</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B603E4">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维稳工作经费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3127E">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B0FF2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EE8F6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D63F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8FE1C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72DB7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68A7B9">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176</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E123A01">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严重精神障碍患者监护人以奖代补</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4FE16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7BD91F">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EAF2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39CEC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67C0B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18F9A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32820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177</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F863E5">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政法四级网维保费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4BB1F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B8F2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12B40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EC24A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82DAF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14:paraId="62DBF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7D5CB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C7BC0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政法网运行维护经费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75FCD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39</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29479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5492E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3A3B3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E942C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14:paraId="7F3EE4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01365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179</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CEA5EA">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政法维稳安保现场观摩和经验交流活动</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AA060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46237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221075">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129DE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925478">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6564F4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8A0F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180</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B6424D">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专职铁路护路队员工资</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D07E6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42C45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0C880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E3A716">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44187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14:paraId="36CB6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5F4A9A">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181</w:t>
            </w:r>
          </w:p>
        </w:tc>
        <w:tc>
          <w:tcPr>
            <w:tcW w:w="31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853DBC">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综治工作经费</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14ED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D0F2D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C9E8EC">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45033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8808BD">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96</w:t>
            </w:r>
          </w:p>
        </w:tc>
      </w:tr>
      <w:tr w14:paraId="36355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4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AEB964">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182</w:t>
            </w:r>
          </w:p>
        </w:tc>
        <w:tc>
          <w:tcPr>
            <w:tcW w:w="316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14:paraId="08673C4F">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综治中心运行费</w:t>
            </w:r>
          </w:p>
        </w:tc>
        <w:tc>
          <w:tcPr>
            <w:tcW w:w="1023"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45CE1DEB">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c>
          <w:tcPr>
            <w:tcW w:w="1284"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4388AF21">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5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3F803E37">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w:t>
            </w:r>
          </w:p>
        </w:tc>
        <w:tc>
          <w:tcPr>
            <w:tcW w:w="1066"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20ABB643">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967"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14:paraId="041B05D0">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14:paraId="2730B8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66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629549">
            <w:pPr>
              <w:rPr>
                <w:rFonts w:hint="eastAsia" w:ascii="宋体" w:hAnsi="宋体" w:eastAsia="宋体" w:cs="宋体"/>
                <w:i w:val="0"/>
                <w:color w:val="000000"/>
                <w:sz w:val="22"/>
                <w:szCs w:val="22"/>
                <w:u w:val="none"/>
              </w:rPr>
            </w:pPr>
          </w:p>
        </w:tc>
        <w:tc>
          <w:tcPr>
            <w:tcW w:w="31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E9E0DC">
            <w:pPr>
              <w:keepNext w:val="0"/>
              <w:keepLines w:val="0"/>
              <w:widowControl/>
              <w:suppressLineNumbers w:val="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平均分</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28E6C">
            <w:pPr>
              <w:rPr>
                <w:rFonts w:hint="eastAsia" w:ascii="宋体" w:hAnsi="宋体" w:eastAsia="宋体" w:cs="宋体"/>
                <w:i w:val="0"/>
                <w:color w:val="000000"/>
                <w:sz w:val="22"/>
                <w:szCs w:val="22"/>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DA2A72">
            <w:pPr>
              <w:rPr>
                <w:rFonts w:hint="eastAsia" w:ascii="宋体" w:hAnsi="宋体" w:eastAsia="宋体" w:cs="宋体"/>
                <w:i w:val="0"/>
                <w:color w:val="000000"/>
                <w:sz w:val="22"/>
                <w:szCs w:val="22"/>
                <w:u w:val="none"/>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04569">
            <w:pPr>
              <w:rPr>
                <w:rFonts w:hint="eastAsia" w:ascii="宋体" w:hAnsi="宋体" w:eastAsia="宋体" w:cs="宋体"/>
                <w:i w:val="0"/>
                <w:color w:val="000000"/>
                <w:sz w:val="22"/>
                <w:szCs w:val="22"/>
                <w:u w:val="none"/>
              </w:rPr>
            </w:pPr>
          </w:p>
        </w:tc>
        <w:tc>
          <w:tcPr>
            <w:tcW w:w="10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1F9551">
            <w:pPr>
              <w:rPr>
                <w:rFonts w:hint="eastAsia" w:ascii="宋体" w:hAnsi="宋体" w:eastAsia="宋体" w:cs="宋体"/>
                <w:i w:val="0"/>
                <w:color w:val="000000"/>
                <w:sz w:val="22"/>
                <w:szCs w:val="22"/>
                <w:u w:val="none"/>
              </w:rPr>
            </w:pPr>
          </w:p>
        </w:tc>
        <w:tc>
          <w:tcPr>
            <w:tcW w:w="9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0D1F42">
            <w:pPr>
              <w:keepNext w:val="0"/>
              <w:keepLines w:val="0"/>
              <w:widowControl/>
              <w:suppressLineNumbers w:val="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97.875</w:t>
            </w:r>
          </w:p>
        </w:tc>
      </w:tr>
    </w:tbl>
    <w:p w14:paraId="3542F61C">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0" w:right="0" w:rightChars="0" w:firstLine="420" w:firstLineChars="200"/>
        <w:textAlignment w:val="auto"/>
        <w:outlineLvl w:val="9"/>
        <w:rPr>
          <w:rFonts w:hint="eastAsia"/>
          <w:lang w:val="en-US" w:eastAsia="zh-CN"/>
        </w:rPr>
      </w:pPr>
    </w:p>
    <w:p w14:paraId="17496A58">
      <w:pPr>
        <w:pStyle w:val="2"/>
        <w:ind w:firstLine="640" w:firstLineChars="200"/>
        <w:rPr>
          <w:rFonts w:hint="eastAsia"/>
          <w:lang w:val="en-US" w:eastAsia="zh-CN"/>
        </w:rPr>
      </w:pPr>
      <w:r>
        <w:rPr>
          <w:rFonts w:hint="eastAsia" w:ascii="仿宋" w:hAnsi="仿宋" w:eastAsia="仿宋"/>
          <w:sz w:val="32"/>
          <w:szCs w:val="32"/>
          <w:highlight w:val="none"/>
        </w:rPr>
        <w:t>根据</w:t>
      </w:r>
      <w:r>
        <w:rPr>
          <w:rFonts w:hint="eastAsia" w:ascii="仿宋" w:hAnsi="仿宋" w:eastAsia="仿宋"/>
          <w:sz w:val="32"/>
          <w:szCs w:val="32"/>
          <w:highlight w:val="none"/>
          <w:lang w:eastAsia="zh-CN"/>
        </w:rPr>
        <w:t>部门职责定位和各项工作履职情况进行综合评价</w:t>
      </w:r>
      <w:r>
        <w:rPr>
          <w:rFonts w:hint="eastAsia" w:ascii="仿宋" w:hAnsi="仿宋" w:eastAsia="仿宋"/>
          <w:sz w:val="32"/>
          <w:szCs w:val="32"/>
          <w:highlight w:val="none"/>
        </w:rPr>
        <w:t>，给出总得分</w:t>
      </w:r>
      <w:r>
        <w:rPr>
          <w:rFonts w:hint="eastAsia" w:ascii="仿宋" w:hAnsi="仿宋" w:eastAsia="仿宋"/>
          <w:sz w:val="32"/>
          <w:szCs w:val="32"/>
          <w:highlight w:val="none"/>
          <w:lang w:eastAsia="zh-CN"/>
        </w:rPr>
        <w:t>，并</w:t>
      </w:r>
      <w:r>
        <w:rPr>
          <w:rFonts w:hint="eastAsia" w:ascii="仿宋" w:hAnsi="仿宋" w:eastAsia="仿宋"/>
          <w:sz w:val="32"/>
          <w:szCs w:val="32"/>
          <w:highlight w:val="none"/>
        </w:rPr>
        <w:t>得出综</w:t>
      </w:r>
      <w:r>
        <w:rPr>
          <w:rFonts w:hint="eastAsia" w:ascii="仿宋" w:hAnsi="仿宋" w:eastAsia="仿宋"/>
          <w:sz w:val="32"/>
          <w:szCs w:val="32"/>
        </w:rPr>
        <w:t>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平均得分</w:t>
      </w:r>
      <w:r>
        <w:rPr>
          <w:rFonts w:hint="eastAsia" w:ascii="仿宋" w:hAnsi="仿宋" w:eastAsia="仿宋"/>
          <w:sz w:val="32"/>
          <w:szCs w:val="32"/>
          <w:highlight w:val="none"/>
          <w:lang w:val="en-US" w:eastAsia="zh-CN"/>
        </w:rPr>
        <w:t>97.875</w:t>
      </w:r>
      <w:r>
        <w:rPr>
          <w:rFonts w:hint="eastAsia" w:ascii="仿宋" w:hAnsi="仿宋" w:eastAsia="仿宋"/>
          <w:sz w:val="32"/>
          <w:szCs w:val="32"/>
          <w:lang w:val="en-US" w:eastAsia="zh-CN"/>
        </w:rPr>
        <w:t>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14:paraId="098C949F">
      <w:pPr>
        <w:widowControl w:val="0"/>
        <w:numPr>
          <w:ilvl w:val="0"/>
          <w:numId w:val="0"/>
        </w:numPr>
        <w:wordWrap/>
        <w:adjustRightInd/>
        <w:snapToGrid w:val="0"/>
        <w:spacing w:line="560" w:lineRule="exact"/>
        <w:ind w:right="0" w:rightChars="0"/>
        <w:textAlignment w:val="auto"/>
        <w:outlineLvl w:val="9"/>
        <w:rPr>
          <w:rFonts w:hint="eastAsia" w:ascii="黑体" w:hAnsi="黑体" w:eastAsia="黑体" w:cs="黑体"/>
          <w:sz w:val="32"/>
          <w:szCs w:val="32"/>
        </w:rPr>
      </w:pPr>
      <w:r>
        <w:rPr>
          <w:rFonts w:hint="eastAsia" w:ascii="黑体" w:hAnsi="黑体" w:eastAsia="黑体" w:cs="黑体"/>
          <w:b w:val="0"/>
          <w:bCs w:val="0"/>
          <w:sz w:val="32"/>
          <w:szCs w:val="32"/>
          <w:lang w:val="en-US"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14:paraId="4DCB3094">
      <w:pPr>
        <w:pStyle w:val="2"/>
        <w:numPr>
          <w:ilvl w:val="0"/>
          <w:numId w:val="0"/>
        </w:numPr>
        <w:ind w:left="840" w:leftChars="0"/>
        <w:rPr>
          <w:rFonts w:hint="eastAsia"/>
          <w:lang w:val="en-US" w:eastAsia="zh-CN"/>
        </w:rPr>
      </w:pPr>
      <w:r>
        <w:rPr>
          <w:rFonts w:hint="eastAsia"/>
          <w:lang w:val="en-US" w:eastAsia="zh-CN"/>
        </w:rPr>
        <w:t>（一）存在主要问题</w:t>
      </w:r>
    </w:p>
    <w:p w14:paraId="7D647FDB">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1.绩效目标设定工作有待提升。因事前绩效评估不足，项目数据库数据不够全面，完整，导致部分项目绩效目标设置不够简明 扼要，清晰直观，不便于理解和衡量。部分项目预算数量关键点不突出，数量不够精准。</w:t>
      </w:r>
    </w:p>
    <w:p w14:paraId="5A3C1728">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2.绩效工作管理有待加强。绩效工作管理还存在一定的薄弱环节，绩效管理相关制度不健全，个别科室绩效理念尚未全面树立、绩效管理职责不明确，绩效指标激励约束作用不强，存在重投入轻管理、重支出轻绩效的问题，绩效工作管理的广度和深度不足。 </w:t>
      </w:r>
    </w:p>
    <w:p w14:paraId="5BB29C5A">
      <w:pPr>
        <w:keepNext w:val="0"/>
        <w:keepLines w:val="0"/>
        <w:pageBreakBefore w:val="0"/>
        <w:widowControl w:val="0"/>
        <w:kinsoku/>
        <w:wordWrap/>
        <w:overflowPunct/>
        <w:topLinePunct w:val="0"/>
        <w:autoSpaceDE/>
        <w:autoSpaceDN/>
        <w:bidi w:val="0"/>
        <w:adjustRightInd/>
        <w:snapToGrid w:val="0"/>
        <w:spacing w:line="560" w:lineRule="exact"/>
        <w:ind w:leftChars="100" w:right="0" w:firstLine="640" w:firstLineChars="200"/>
        <w:textAlignment w:val="auto"/>
        <w:outlineLvl w:val="9"/>
        <w:rPr>
          <w:rFonts w:hint="eastAsia" w:ascii="仿宋" w:hAnsi="仿宋" w:eastAsia="仿宋" w:cs="宋体"/>
          <w:sz w:val="32"/>
          <w:szCs w:val="32"/>
          <w:lang w:val="en-US" w:eastAsia="zh-CN"/>
        </w:rPr>
      </w:pPr>
      <w:r>
        <w:rPr>
          <w:rFonts w:ascii="仿宋" w:hAnsi="仿宋" w:eastAsia="仿宋"/>
          <w:sz w:val="32"/>
          <w:szCs w:val="32"/>
        </w:rPr>
        <w:t>3.部分科室未能有效协同推进实施绩效管理，未做好预算项目 的梳理和总结工作，不能全面掌握绩效目标、指标的实际完成情况以及预算资金执行情况。部分较复杂的综合性预算项目，所设 指标涉及多个科室，部分科室之间未能协同推进实施绩效管理， 不能综合地反映预算项目的产出和效果。</w:t>
      </w:r>
    </w:p>
    <w:p w14:paraId="79B7CD55">
      <w:pPr>
        <w:pStyle w:val="2"/>
        <w:ind w:firstLine="960" w:firstLineChars="300"/>
        <w:rPr>
          <w:rFonts w:hint="eastAsia"/>
          <w:lang w:val="en-US" w:eastAsia="zh-CN"/>
        </w:rPr>
      </w:pPr>
      <w:r>
        <w:rPr>
          <w:rFonts w:hint="eastAsia"/>
          <w:b w:val="0"/>
          <w:bCs w:val="0"/>
          <w:sz w:val="32"/>
          <w:lang w:eastAsia="zh-CN"/>
        </w:rPr>
        <w:t>（二）整</w:t>
      </w:r>
      <w:r>
        <w:rPr>
          <w:rFonts w:hint="eastAsia" w:ascii="仿宋_GB2312" w:eastAsia="仿宋_GB2312"/>
          <w:b w:val="0"/>
          <w:bCs w:val="0"/>
          <w:sz w:val="32"/>
        </w:rPr>
        <w:t>改</w:t>
      </w:r>
      <w:r>
        <w:rPr>
          <w:rFonts w:hint="eastAsia"/>
          <w:b w:val="0"/>
          <w:bCs w:val="0"/>
          <w:sz w:val="32"/>
          <w:lang w:eastAsia="zh-CN"/>
        </w:rPr>
        <w:t>思路及工作</w:t>
      </w:r>
      <w:r>
        <w:rPr>
          <w:rFonts w:hint="eastAsia" w:ascii="仿宋_GB2312" w:eastAsia="仿宋_GB2312"/>
          <w:b w:val="0"/>
          <w:bCs w:val="0"/>
          <w:sz w:val="32"/>
        </w:rPr>
        <w:t>措施</w:t>
      </w:r>
    </w:p>
    <w:p w14:paraId="4ECD6D14">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1.科学规范的设定绩效目标，提升绩效目标的质量。使绩效目 标清晰的反映预算资金的预期产出和效果，并以精准的指向性绩效指标予以细化。能量化的绩效指标尽可能的量化，既要符合统计工作的特点和实际情况，又要实事求是，客观公正。 </w:t>
      </w:r>
    </w:p>
    <w:p w14:paraId="6673F4C9">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2.建立健全相关绩效管理制度，强化预算绩效约束。 坚持权责对等、约束有力，明确各责任科室的预算绩效申报 和管理责任，做到“谁支出，谁自评”“花钱必问效，无效必问责”。建立健全激励约束机制，实现绩效评价结果与预算安排相 挂钩。增强预算统筹能力，优化预算管理流程，调动各科室的积极性、主动性。</w:t>
      </w:r>
    </w:p>
    <w:p w14:paraId="0D9BA686">
      <w:pPr>
        <w:adjustRightInd w:val="0"/>
        <w:snapToGrid w:val="0"/>
        <w:spacing w:line="560" w:lineRule="exact"/>
        <w:ind w:firstLine="640" w:firstLineChars="200"/>
        <w:rPr>
          <w:rFonts w:ascii="仿宋" w:hAnsi="仿宋" w:eastAsia="仿宋"/>
          <w:sz w:val="32"/>
          <w:szCs w:val="32"/>
        </w:rPr>
      </w:pPr>
      <w:r>
        <w:rPr>
          <w:rFonts w:ascii="仿宋" w:hAnsi="仿宋" w:eastAsia="仿宋"/>
          <w:sz w:val="32"/>
          <w:szCs w:val="32"/>
        </w:rPr>
        <w:t xml:space="preserve"> 3.及时梳理和总结，协同推进实施绩效管理。 各科室要做好项目的梳理和总结工作，掌握项目预算资金的 执行情况以及绩效目标、指标的完成情况。针对多部门共同实施 的较复杂的综合性项目，由项目责任科室牵头，各部门积极参与 配合，完成预算项目的综合评价工作，保证准确地、全面地反映 和评价预算项目的产出和效果，实现预算项目的价值与意义。</w:t>
      </w:r>
    </w:p>
    <w:p w14:paraId="4F4A3ED9">
      <w:pPr>
        <w:adjustRightInd w:val="0"/>
        <w:snapToGrid w:val="0"/>
        <w:spacing w:line="560" w:lineRule="exact"/>
        <w:ind w:firstLine="640" w:firstLineChars="200"/>
        <w:rPr>
          <w:rFonts w:ascii="仿宋" w:hAnsi="仿宋" w:eastAsia="仿宋" w:cs="黑体"/>
          <w:sz w:val="32"/>
          <w:szCs w:val="32"/>
        </w:rPr>
      </w:pPr>
      <w:r>
        <w:rPr>
          <w:rFonts w:ascii="仿宋" w:hAnsi="仿宋" w:eastAsia="仿宋"/>
          <w:sz w:val="32"/>
          <w:szCs w:val="32"/>
        </w:rPr>
        <w:t xml:space="preserve"> 4.建立健全业务制度。 结合此次总结出来的问题，对相关制度进行进一步修订和完善，在实际工作中严格依规办事、照章办事，强化制度的刚性执行。</w:t>
      </w:r>
    </w:p>
    <w:p w14:paraId="5976903F">
      <w:pPr>
        <w:pStyle w:val="2"/>
        <w:ind w:firstLine="640" w:firstLineChars="200"/>
        <w:rPr>
          <w:rFonts w:hint="eastAsia"/>
          <w:sz w:val="32"/>
          <w:lang w:val="en-US" w:eastAsia="zh-CN"/>
        </w:rPr>
      </w:pPr>
      <w:r>
        <w:rPr>
          <w:rFonts w:hint="eastAsia"/>
          <w:sz w:val="32"/>
          <w:lang w:val="en-US" w:eastAsia="zh-CN"/>
        </w:rPr>
        <w:t>（三）结果应用</w:t>
      </w:r>
    </w:p>
    <w:p w14:paraId="3E7588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rPr>
      </w:pPr>
      <w:r>
        <w:rPr>
          <w:rFonts w:hint="eastAsia" w:ascii="仿宋_GB2312" w:eastAsia="仿宋_GB2312"/>
          <w:sz w:val="32"/>
        </w:rPr>
        <w:t>绩效自评结果将在政府门户网站上进行公开，接受社会监督。绩效评价结果将通报相关人员督促整改，进一步提高项目绩效。</w:t>
      </w:r>
    </w:p>
    <w:p w14:paraId="0AAF32BB">
      <w:pPr>
        <w:pStyle w:val="2"/>
        <w:rPr>
          <w:rFonts w:hint="eastAsia" w:ascii="仿宋_GB2312" w:eastAsia="仿宋_GB2312"/>
          <w:sz w:val="32"/>
        </w:rPr>
      </w:pPr>
    </w:p>
    <w:p w14:paraId="4CB27703">
      <w:pPr>
        <w:widowControl w:val="0"/>
        <w:wordWrap/>
        <w:adjustRightInd/>
        <w:snapToGrid w:val="0"/>
        <w:spacing w:line="560" w:lineRule="exact"/>
        <w:ind w:left="0" w:leftChars="0" w:right="0" w:firstLine="640" w:firstLineChars="200"/>
        <w:textAlignment w:val="auto"/>
        <w:outlineLvl w:val="9"/>
        <w:rPr>
          <w:rFonts w:hint="eastAsia" w:ascii="仿宋_GB2312" w:eastAsia="仿宋_GB2312"/>
          <w:sz w:val="32"/>
        </w:rPr>
      </w:pPr>
      <w:r>
        <w:rPr>
          <w:rFonts w:hint="eastAsia" w:ascii="黑体" w:hAnsi="黑体" w:eastAsia="黑体" w:cs="黑体"/>
          <w:b w:val="0"/>
          <w:bCs w:val="0"/>
          <w:sz w:val="32"/>
          <w:szCs w:val="32"/>
          <w:lang w:eastAsia="zh-CN"/>
        </w:rPr>
        <w:t>六、评价工作组人员名单及签字</w:t>
      </w:r>
    </w:p>
    <w:tbl>
      <w:tblPr>
        <w:tblStyle w:val="8"/>
        <w:tblpPr w:leftFromText="180" w:rightFromText="180" w:vertAnchor="text" w:horzAnchor="page" w:tblpX="1992" w:tblpY="559"/>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1370"/>
        <w:gridCol w:w="1667"/>
        <w:gridCol w:w="2516"/>
        <w:gridCol w:w="2144"/>
      </w:tblGrid>
      <w:tr w14:paraId="6EC54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825" w:type="dxa"/>
            <w:vAlign w:val="center"/>
          </w:tcPr>
          <w:p w14:paraId="417CB26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序号</w:t>
            </w:r>
          </w:p>
        </w:tc>
        <w:tc>
          <w:tcPr>
            <w:tcW w:w="1370" w:type="dxa"/>
            <w:vAlign w:val="center"/>
          </w:tcPr>
          <w:p w14:paraId="223C855C">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姓名</w:t>
            </w:r>
          </w:p>
        </w:tc>
        <w:tc>
          <w:tcPr>
            <w:tcW w:w="1667" w:type="dxa"/>
            <w:vAlign w:val="center"/>
          </w:tcPr>
          <w:p w14:paraId="00B45DA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工作单位</w:t>
            </w:r>
          </w:p>
        </w:tc>
        <w:tc>
          <w:tcPr>
            <w:tcW w:w="2516" w:type="dxa"/>
            <w:vAlign w:val="center"/>
          </w:tcPr>
          <w:p w14:paraId="256EB04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职务</w:t>
            </w:r>
          </w:p>
        </w:tc>
        <w:tc>
          <w:tcPr>
            <w:tcW w:w="2144" w:type="dxa"/>
            <w:vAlign w:val="center"/>
          </w:tcPr>
          <w:p w14:paraId="0B8A9C8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签字</w:t>
            </w:r>
          </w:p>
        </w:tc>
      </w:tr>
      <w:tr w14:paraId="58F76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7666017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p>
        </w:tc>
        <w:tc>
          <w:tcPr>
            <w:tcW w:w="1370" w:type="dxa"/>
            <w:vAlign w:val="center"/>
          </w:tcPr>
          <w:p w14:paraId="657E3D2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王利国</w:t>
            </w:r>
          </w:p>
        </w:tc>
        <w:tc>
          <w:tcPr>
            <w:tcW w:w="1667" w:type="dxa"/>
            <w:vAlign w:val="center"/>
          </w:tcPr>
          <w:p w14:paraId="7477135C">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0161742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常务副书记</w:t>
            </w:r>
          </w:p>
        </w:tc>
        <w:tc>
          <w:tcPr>
            <w:tcW w:w="2144" w:type="dxa"/>
            <w:vAlign w:val="center"/>
          </w:tcPr>
          <w:p w14:paraId="17564A7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17D1F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trPr>
        <w:tc>
          <w:tcPr>
            <w:tcW w:w="825" w:type="dxa"/>
            <w:vAlign w:val="center"/>
          </w:tcPr>
          <w:p w14:paraId="351F22FC">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p>
        </w:tc>
        <w:tc>
          <w:tcPr>
            <w:tcW w:w="1370" w:type="dxa"/>
            <w:vAlign w:val="center"/>
          </w:tcPr>
          <w:p w14:paraId="0251A14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王文刚</w:t>
            </w:r>
          </w:p>
        </w:tc>
        <w:tc>
          <w:tcPr>
            <w:tcW w:w="1667" w:type="dxa"/>
            <w:vAlign w:val="center"/>
          </w:tcPr>
          <w:p w14:paraId="4999AFE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政法委</w:t>
            </w:r>
          </w:p>
        </w:tc>
        <w:tc>
          <w:tcPr>
            <w:tcW w:w="2516" w:type="dxa"/>
            <w:vAlign w:val="center"/>
          </w:tcPr>
          <w:p w14:paraId="4ED4DF79">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副书记</w:t>
            </w:r>
          </w:p>
        </w:tc>
        <w:tc>
          <w:tcPr>
            <w:tcW w:w="2144" w:type="dxa"/>
            <w:vAlign w:val="center"/>
          </w:tcPr>
          <w:p w14:paraId="559962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3594E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59B11A2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p>
        </w:tc>
        <w:tc>
          <w:tcPr>
            <w:tcW w:w="1370" w:type="dxa"/>
            <w:vAlign w:val="center"/>
          </w:tcPr>
          <w:p w14:paraId="1706FC63">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张立红</w:t>
            </w:r>
          </w:p>
        </w:tc>
        <w:tc>
          <w:tcPr>
            <w:tcW w:w="1667" w:type="dxa"/>
            <w:vAlign w:val="center"/>
          </w:tcPr>
          <w:p w14:paraId="648CC77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38355EC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副书记</w:t>
            </w:r>
          </w:p>
        </w:tc>
        <w:tc>
          <w:tcPr>
            <w:tcW w:w="2144" w:type="dxa"/>
            <w:vAlign w:val="center"/>
          </w:tcPr>
          <w:p w14:paraId="1EC33CF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6B170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3712C59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p>
        </w:tc>
        <w:tc>
          <w:tcPr>
            <w:tcW w:w="1370" w:type="dxa"/>
            <w:vAlign w:val="center"/>
          </w:tcPr>
          <w:p w14:paraId="3F03B71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董光辉</w:t>
            </w:r>
          </w:p>
        </w:tc>
        <w:tc>
          <w:tcPr>
            <w:tcW w:w="1667" w:type="dxa"/>
            <w:vAlign w:val="center"/>
          </w:tcPr>
          <w:p w14:paraId="09CCCC79">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政法委</w:t>
            </w:r>
          </w:p>
        </w:tc>
        <w:tc>
          <w:tcPr>
            <w:tcW w:w="2516" w:type="dxa"/>
            <w:vAlign w:val="center"/>
          </w:tcPr>
          <w:p w14:paraId="744A5122">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二级主任科员</w:t>
            </w:r>
          </w:p>
        </w:tc>
        <w:tc>
          <w:tcPr>
            <w:tcW w:w="2144" w:type="dxa"/>
            <w:vAlign w:val="center"/>
          </w:tcPr>
          <w:p w14:paraId="18470C8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6D59B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0CF205E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w:t>
            </w:r>
          </w:p>
        </w:tc>
        <w:tc>
          <w:tcPr>
            <w:tcW w:w="1370" w:type="dxa"/>
            <w:vAlign w:val="center"/>
          </w:tcPr>
          <w:p w14:paraId="27EB190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张友波</w:t>
            </w:r>
          </w:p>
        </w:tc>
        <w:tc>
          <w:tcPr>
            <w:tcW w:w="1667" w:type="dxa"/>
            <w:vAlign w:val="center"/>
          </w:tcPr>
          <w:p w14:paraId="3002585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034281C3">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专职委员</w:t>
            </w:r>
          </w:p>
        </w:tc>
        <w:tc>
          <w:tcPr>
            <w:tcW w:w="2144" w:type="dxa"/>
            <w:vAlign w:val="center"/>
          </w:tcPr>
          <w:p w14:paraId="73D01D7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7B150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59C3C646">
            <w:pPr>
              <w:pStyle w:val="2"/>
              <w:jc w:val="center"/>
              <w:rPr>
                <w:rFonts w:hint="default"/>
                <w:lang w:val="en-US" w:eastAsia="zh-CN"/>
              </w:rPr>
            </w:pPr>
            <w:r>
              <w:rPr>
                <w:rFonts w:hint="eastAsia"/>
                <w:lang w:val="en-US" w:eastAsia="zh-CN"/>
              </w:rPr>
              <w:t>6</w:t>
            </w:r>
          </w:p>
        </w:tc>
        <w:tc>
          <w:tcPr>
            <w:tcW w:w="1370" w:type="dxa"/>
            <w:vAlign w:val="center"/>
          </w:tcPr>
          <w:p w14:paraId="5FEC829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聂</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栋</w:t>
            </w:r>
          </w:p>
        </w:tc>
        <w:tc>
          <w:tcPr>
            <w:tcW w:w="1667" w:type="dxa"/>
            <w:vAlign w:val="center"/>
          </w:tcPr>
          <w:p w14:paraId="2A26CA6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2C8A39E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综治督</w:t>
            </w:r>
            <w:r>
              <w:rPr>
                <w:rFonts w:hint="eastAsia" w:ascii="仿宋_GB2312" w:hAnsi="仿宋_GB2312" w:eastAsia="仿宋_GB2312" w:cs="仿宋_GB2312"/>
                <w:sz w:val="32"/>
                <w:szCs w:val="32"/>
                <w:lang w:val="en-US" w:eastAsia="zh-CN"/>
              </w:rPr>
              <w:t>导股股长</w:t>
            </w:r>
          </w:p>
        </w:tc>
        <w:tc>
          <w:tcPr>
            <w:tcW w:w="2144" w:type="dxa"/>
            <w:vAlign w:val="center"/>
          </w:tcPr>
          <w:p w14:paraId="45F9519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4E15C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24BCF38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w:t>
            </w:r>
          </w:p>
        </w:tc>
        <w:tc>
          <w:tcPr>
            <w:tcW w:w="1370" w:type="dxa"/>
            <w:vAlign w:val="center"/>
          </w:tcPr>
          <w:p w14:paraId="4B74E062">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牛彦会</w:t>
            </w:r>
          </w:p>
        </w:tc>
        <w:tc>
          <w:tcPr>
            <w:tcW w:w="1667" w:type="dxa"/>
            <w:vAlign w:val="center"/>
          </w:tcPr>
          <w:p w14:paraId="3FDD40F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7C27B74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基层治理股股长</w:t>
            </w:r>
          </w:p>
        </w:tc>
        <w:tc>
          <w:tcPr>
            <w:tcW w:w="2144" w:type="dxa"/>
            <w:vAlign w:val="center"/>
          </w:tcPr>
          <w:p w14:paraId="79AF31E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5E07DB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3C9B975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w:t>
            </w:r>
          </w:p>
        </w:tc>
        <w:tc>
          <w:tcPr>
            <w:tcW w:w="1370" w:type="dxa"/>
            <w:vAlign w:val="center"/>
          </w:tcPr>
          <w:p w14:paraId="14DCF73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崔亚林</w:t>
            </w:r>
          </w:p>
        </w:tc>
        <w:tc>
          <w:tcPr>
            <w:tcW w:w="1667" w:type="dxa"/>
            <w:vAlign w:val="center"/>
          </w:tcPr>
          <w:p w14:paraId="01490D09">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7D5AE40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信访股股长</w:t>
            </w:r>
          </w:p>
        </w:tc>
        <w:tc>
          <w:tcPr>
            <w:tcW w:w="2144" w:type="dxa"/>
            <w:vAlign w:val="center"/>
          </w:tcPr>
          <w:p w14:paraId="3876EE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2389F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08C798A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w:t>
            </w:r>
          </w:p>
        </w:tc>
        <w:tc>
          <w:tcPr>
            <w:tcW w:w="1370" w:type="dxa"/>
            <w:vAlign w:val="center"/>
          </w:tcPr>
          <w:p w14:paraId="0389E4B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代兴伟</w:t>
            </w:r>
          </w:p>
        </w:tc>
        <w:tc>
          <w:tcPr>
            <w:tcW w:w="1667" w:type="dxa"/>
            <w:vAlign w:val="center"/>
          </w:tcPr>
          <w:p w14:paraId="58D1919A">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39D7370D">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扫黑办</w:t>
            </w:r>
          </w:p>
        </w:tc>
        <w:tc>
          <w:tcPr>
            <w:tcW w:w="2144" w:type="dxa"/>
            <w:vAlign w:val="center"/>
          </w:tcPr>
          <w:p w14:paraId="25D87E6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6C7D3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7365F811">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w:t>
            </w:r>
          </w:p>
        </w:tc>
        <w:tc>
          <w:tcPr>
            <w:tcW w:w="1370" w:type="dxa"/>
            <w:vAlign w:val="center"/>
          </w:tcPr>
          <w:p w14:paraId="0481E09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张力杰</w:t>
            </w:r>
          </w:p>
        </w:tc>
        <w:tc>
          <w:tcPr>
            <w:tcW w:w="1667" w:type="dxa"/>
            <w:vAlign w:val="center"/>
          </w:tcPr>
          <w:p w14:paraId="27DDCEDE">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0D04C48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网络中心股长</w:t>
            </w:r>
          </w:p>
        </w:tc>
        <w:tc>
          <w:tcPr>
            <w:tcW w:w="2144" w:type="dxa"/>
            <w:vAlign w:val="center"/>
          </w:tcPr>
          <w:p w14:paraId="497AF94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4E58A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632E0D7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w:t>
            </w:r>
          </w:p>
        </w:tc>
        <w:tc>
          <w:tcPr>
            <w:tcW w:w="1370" w:type="dxa"/>
            <w:vAlign w:val="center"/>
          </w:tcPr>
          <w:p w14:paraId="2E1CFF1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申立强</w:t>
            </w:r>
          </w:p>
        </w:tc>
        <w:tc>
          <w:tcPr>
            <w:tcW w:w="1667" w:type="dxa"/>
            <w:vAlign w:val="center"/>
          </w:tcPr>
          <w:p w14:paraId="0BDED8F6">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政法委</w:t>
            </w:r>
          </w:p>
        </w:tc>
        <w:tc>
          <w:tcPr>
            <w:tcW w:w="2516" w:type="dxa"/>
            <w:vAlign w:val="center"/>
          </w:tcPr>
          <w:p w14:paraId="0E033AFB">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维稳指导股股长</w:t>
            </w:r>
          </w:p>
        </w:tc>
        <w:tc>
          <w:tcPr>
            <w:tcW w:w="2144" w:type="dxa"/>
            <w:vAlign w:val="center"/>
          </w:tcPr>
          <w:p w14:paraId="67E600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0F945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1E59E61C">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w:t>
            </w:r>
          </w:p>
        </w:tc>
        <w:tc>
          <w:tcPr>
            <w:tcW w:w="1370" w:type="dxa"/>
            <w:vAlign w:val="center"/>
          </w:tcPr>
          <w:p w14:paraId="1613B267">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张建鹏</w:t>
            </w:r>
          </w:p>
        </w:tc>
        <w:tc>
          <w:tcPr>
            <w:tcW w:w="1667" w:type="dxa"/>
            <w:vAlign w:val="center"/>
          </w:tcPr>
          <w:p w14:paraId="449F3162">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政法委</w:t>
            </w:r>
          </w:p>
        </w:tc>
        <w:tc>
          <w:tcPr>
            <w:tcW w:w="2516" w:type="dxa"/>
            <w:vAlign w:val="center"/>
          </w:tcPr>
          <w:p w14:paraId="547D5FA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办公室主任</w:t>
            </w:r>
          </w:p>
        </w:tc>
        <w:tc>
          <w:tcPr>
            <w:tcW w:w="2144" w:type="dxa"/>
            <w:vAlign w:val="center"/>
          </w:tcPr>
          <w:p w14:paraId="3B3F6CA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r w14:paraId="53DF4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5" w:type="dxa"/>
            <w:vAlign w:val="center"/>
          </w:tcPr>
          <w:p w14:paraId="657E1E78">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w:t>
            </w:r>
          </w:p>
        </w:tc>
        <w:tc>
          <w:tcPr>
            <w:tcW w:w="1370" w:type="dxa"/>
            <w:vAlign w:val="center"/>
          </w:tcPr>
          <w:p w14:paraId="248651A3">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梁丽艳</w:t>
            </w:r>
          </w:p>
        </w:tc>
        <w:tc>
          <w:tcPr>
            <w:tcW w:w="1667" w:type="dxa"/>
            <w:vAlign w:val="center"/>
          </w:tcPr>
          <w:p w14:paraId="3A9D72BF">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政法委</w:t>
            </w:r>
          </w:p>
        </w:tc>
        <w:tc>
          <w:tcPr>
            <w:tcW w:w="2516" w:type="dxa"/>
            <w:vAlign w:val="center"/>
          </w:tcPr>
          <w:p w14:paraId="1848BF95">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财务</w:t>
            </w:r>
          </w:p>
        </w:tc>
        <w:tc>
          <w:tcPr>
            <w:tcW w:w="2144" w:type="dxa"/>
            <w:vAlign w:val="center"/>
          </w:tcPr>
          <w:p w14:paraId="75FD8B30">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p>
        </w:tc>
      </w:tr>
    </w:tbl>
    <w:p w14:paraId="5B7DA21E">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 w:hAnsi="仿宋" w:eastAsia="仿宋" w:cs="宋体"/>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81AB81"/>
    <w:multiLevelType w:val="singleLevel"/>
    <w:tmpl w:val="8481AB81"/>
    <w:lvl w:ilvl="0" w:tentative="0">
      <w:start w:val="1"/>
      <w:numFmt w:val="chineseCounting"/>
      <w:suff w:val="nothing"/>
      <w:lvlText w:val="（%1）"/>
      <w:lvlJc w:val="left"/>
      <w:rPr>
        <w:rFonts w:hint="eastAsia"/>
      </w:rPr>
    </w:lvl>
  </w:abstractNum>
  <w:abstractNum w:abstractNumId="1">
    <w:nsid w:val="B3DFEF2A"/>
    <w:multiLevelType w:val="singleLevel"/>
    <w:tmpl w:val="B3DFEF2A"/>
    <w:lvl w:ilvl="0" w:tentative="0">
      <w:start w:val="1"/>
      <w:numFmt w:val="decimal"/>
      <w:suff w:val="nothing"/>
      <w:lvlText w:val="%1、"/>
      <w:lvlJc w:val="left"/>
    </w:lvl>
  </w:abstractNum>
  <w:abstractNum w:abstractNumId="2">
    <w:nsid w:val="F90796AB"/>
    <w:multiLevelType w:val="singleLevel"/>
    <w:tmpl w:val="F90796AB"/>
    <w:lvl w:ilvl="0" w:tentative="0">
      <w:start w:val="5"/>
      <w:numFmt w:val="decimal"/>
      <w:suff w:val="nothing"/>
      <w:lvlText w:val="%1、"/>
      <w:lvlJc w:val="left"/>
    </w:lvl>
  </w:abstractNum>
  <w:abstractNum w:abstractNumId="3">
    <w:nsid w:val="306E5F04"/>
    <w:multiLevelType w:val="singleLevel"/>
    <w:tmpl w:val="306E5F04"/>
    <w:lvl w:ilvl="0" w:tentative="0">
      <w:start w:val="1"/>
      <w:numFmt w:val="chineseCounting"/>
      <w:suff w:val="nothing"/>
      <w:lvlText w:val="（%1）"/>
      <w:lvlJc w:val="left"/>
      <w:rPr>
        <w:rFonts w:hint="eastAsia"/>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28036C09"/>
    <w:rsid w:val="00133C82"/>
    <w:rsid w:val="004E75C0"/>
    <w:rsid w:val="066427FC"/>
    <w:rsid w:val="07A23A1D"/>
    <w:rsid w:val="09654FA7"/>
    <w:rsid w:val="0B97675E"/>
    <w:rsid w:val="0DE1418F"/>
    <w:rsid w:val="0F692080"/>
    <w:rsid w:val="14BE3C2A"/>
    <w:rsid w:val="160B51D2"/>
    <w:rsid w:val="17BA70E2"/>
    <w:rsid w:val="18D963AE"/>
    <w:rsid w:val="19266AB6"/>
    <w:rsid w:val="192A4E77"/>
    <w:rsid w:val="1AEB690E"/>
    <w:rsid w:val="1B0D21CC"/>
    <w:rsid w:val="1CAE0268"/>
    <w:rsid w:val="1CB73A86"/>
    <w:rsid w:val="1FB404C8"/>
    <w:rsid w:val="22AC3903"/>
    <w:rsid w:val="23256DAA"/>
    <w:rsid w:val="28036C09"/>
    <w:rsid w:val="2921713E"/>
    <w:rsid w:val="2C5A0095"/>
    <w:rsid w:val="2D0B44F8"/>
    <w:rsid w:val="31480F91"/>
    <w:rsid w:val="322446DF"/>
    <w:rsid w:val="33CE1740"/>
    <w:rsid w:val="34D45C20"/>
    <w:rsid w:val="35843BC7"/>
    <w:rsid w:val="3663183C"/>
    <w:rsid w:val="390A53F7"/>
    <w:rsid w:val="39240CF0"/>
    <w:rsid w:val="39384896"/>
    <w:rsid w:val="3A893E0F"/>
    <w:rsid w:val="3DB07588"/>
    <w:rsid w:val="3E5C4186"/>
    <w:rsid w:val="4247445B"/>
    <w:rsid w:val="427C68CE"/>
    <w:rsid w:val="4455188C"/>
    <w:rsid w:val="44E81CBA"/>
    <w:rsid w:val="45D92FA8"/>
    <w:rsid w:val="464C53F9"/>
    <w:rsid w:val="473D6B48"/>
    <w:rsid w:val="49994530"/>
    <w:rsid w:val="4A362D9B"/>
    <w:rsid w:val="4DD90498"/>
    <w:rsid w:val="52501468"/>
    <w:rsid w:val="52784277"/>
    <w:rsid w:val="539C2AB2"/>
    <w:rsid w:val="53A97137"/>
    <w:rsid w:val="53FD678C"/>
    <w:rsid w:val="57936571"/>
    <w:rsid w:val="58B061E3"/>
    <w:rsid w:val="59E408CF"/>
    <w:rsid w:val="5A2F489A"/>
    <w:rsid w:val="5AED09B1"/>
    <w:rsid w:val="5C060F3A"/>
    <w:rsid w:val="5FB55E21"/>
    <w:rsid w:val="61F8642D"/>
    <w:rsid w:val="62C27807"/>
    <w:rsid w:val="65356B45"/>
    <w:rsid w:val="66EB487A"/>
    <w:rsid w:val="692F6D56"/>
    <w:rsid w:val="69FE2080"/>
    <w:rsid w:val="6DE739B3"/>
    <w:rsid w:val="70315121"/>
    <w:rsid w:val="711C11AF"/>
    <w:rsid w:val="73EE1C81"/>
    <w:rsid w:val="74815FBF"/>
    <w:rsid w:val="77E50BE0"/>
    <w:rsid w:val="781C65ED"/>
    <w:rsid w:val="78BD5BB6"/>
    <w:rsid w:val="7BB25C7B"/>
    <w:rsid w:val="7CD24584"/>
    <w:rsid w:val="7D537F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仿宋" w:hAnsi="仿宋" w:eastAsia="仿宋" w:cs="仿宋"/>
      <w:sz w:val="32"/>
      <w:szCs w:val="32"/>
      <w:lang w:val="zh-CN" w:eastAsia="zh-CN" w:bidi="zh-C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Normal Indent1"/>
    <w:basedOn w:val="1"/>
    <w:qFormat/>
    <w:uiPriority w:val="0"/>
    <w:pPr>
      <w:ind w:firstLine="420" w:firstLineChars="200"/>
    </w:pPr>
  </w:style>
  <w:style w:type="paragraph" w:customStyle="1" w:styleId="11">
    <w:name w:val="_Style 1"/>
    <w:qFormat/>
    <w:uiPriority w:val="99"/>
    <w:pPr>
      <w:widowControl w:val="0"/>
      <w:jc w:val="both"/>
    </w:pPr>
    <w:rPr>
      <w:rFonts w:ascii="宋体" w:hAnsi="Times New Roman" w:eastAsia="宋体" w:cs="宋体"/>
      <w:kern w:val="2"/>
      <w:sz w:val="32"/>
      <w:szCs w:val="32"/>
      <w:lang w:val="en-US" w:eastAsia="zh-CN" w:bidi="ar-SA"/>
    </w:rPr>
  </w:style>
  <w:style w:type="paragraph" w:customStyle="1" w:styleId="1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7144</Words>
  <Characters>7694</Characters>
  <Lines>0</Lines>
  <Paragraphs>0</Paragraphs>
  <TotalTime>22</TotalTime>
  <ScaleCrop>false</ScaleCrop>
  <LinksUpToDate>false</LinksUpToDate>
  <CharactersWithSpaces>7724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2022-04-20T02:44:00Z</dcterms:created>
  <dc:creator>z</dc:creator>
  <cp:lastModifiedBy> </cp:lastModifiedBy>
  <cp:lastPrinted>2023-04-25T08:04:00Z</cp:lastPrinted>
  <dcterms:modified xsi:type="dcterms:W3CDTF">2024-09-19T11:00:20Z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FF808D66ACF94C9CACA5A8E7BD874414</vt:lpwstr>
  </property>
</Properties>
</file>