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50D4ED">
      <w:pPr>
        <w:snapToGrid w:val="0"/>
        <w:spacing w:line="560" w:lineRule="exact"/>
        <w:rPr>
          <w:rFonts w:ascii="仿宋" w:hAnsi="仿宋" w:eastAsia="仿宋" w:cs="仿宋"/>
          <w:kern w:val="0"/>
          <w:sz w:val="32"/>
          <w:szCs w:val="32"/>
        </w:rPr>
      </w:pPr>
      <w:r>
        <w:rPr>
          <w:rFonts w:hint="eastAsia" w:ascii="仿宋" w:hAnsi="仿宋" w:eastAsia="仿宋" w:cs="仿宋"/>
          <w:sz w:val="32"/>
          <w:szCs w:val="32"/>
        </w:rPr>
        <w:t>附件4</w:t>
      </w:r>
    </w:p>
    <w:p w14:paraId="7958B99F">
      <w:pPr>
        <w:snapToGrid w:val="0"/>
        <w:spacing w:line="560" w:lineRule="exact"/>
        <w:jc w:val="center"/>
        <w:rPr>
          <w:rFonts w:ascii="宋体" w:hAnsi="宋体" w:cs="宋体"/>
          <w:b/>
          <w:bCs/>
          <w:sz w:val="44"/>
          <w:szCs w:val="44"/>
        </w:rPr>
      </w:pPr>
      <w:r>
        <w:rPr>
          <w:rFonts w:hint="eastAsia" w:ascii="宋体" w:hAnsi="宋体" w:cs="宋体"/>
          <w:b/>
          <w:bCs/>
          <w:kern w:val="0"/>
          <w:sz w:val="44"/>
          <w:szCs w:val="44"/>
        </w:rPr>
        <w:t>部门年度整体支出</w:t>
      </w:r>
      <w:r>
        <w:rPr>
          <w:rFonts w:hint="eastAsia" w:ascii="宋体" w:hAnsi="宋体" w:cs="宋体"/>
          <w:b/>
          <w:bCs/>
          <w:sz w:val="44"/>
          <w:szCs w:val="44"/>
        </w:rPr>
        <w:t>绩效自评工作报告</w:t>
      </w:r>
    </w:p>
    <w:p w14:paraId="50C44727">
      <w:pPr>
        <w:snapToGrid w:val="0"/>
        <w:spacing w:line="560" w:lineRule="exact"/>
        <w:jc w:val="center"/>
        <w:rPr>
          <w:rFonts w:ascii="仿宋" w:hAnsi="仿宋" w:eastAsia="仿宋" w:cs="仿宋"/>
          <w:sz w:val="32"/>
          <w:szCs w:val="32"/>
        </w:rPr>
      </w:pPr>
    </w:p>
    <w:p w14:paraId="212A8A61">
      <w:pPr>
        <w:ind w:firstLine="960" w:firstLineChars="300"/>
        <w:jc w:val="left"/>
        <w:rPr>
          <w:rFonts w:ascii="黑体" w:hAnsi="黑体" w:eastAsia="黑体" w:cs="黑体"/>
          <w:sz w:val="32"/>
          <w:szCs w:val="32"/>
        </w:rPr>
      </w:pPr>
      <w:r>
        <w:rPr>
          <w:rFonts w:hint="eastAsia" w:ascii="黑体" w:hAnsi="黑体" w:eastAsia="黑体" w:cs="黑体"/>
          <w:sz w:val="32"/>
          <w:szCs w:val="32"/>
        </w:rPr>
        <w:t>一、部门基本情况</w:t>
      </w:r>
    </w:p>
    <w:p w14:paraId="15BEAF02">
      <w:pPr>
        <w:ind w:firstLine="640" w:firstLineChars="200"/>
        <w:jc w:val="left"/>
        <w:rPr>
          <w:rFonts w:ascii="黑体" w:eastAsia="黑体" w:cs="黑体"/>
          <w:kern w:val="0"/>
          <w:sz w:val="32"/>
          <w:szCs w:val="32"/>
        </w:rPr>
      </w:pPr>
      <w:r>
        <w:rPr>
          <w:rFonts w:hint="eastAsia" w:ascii="黑体" w:eastAsia="黑体" w:cs="黑体"/>
          <w:kern w:val="0"/>
          <w:sz w:val="32"/>
          <w:szCs w:val="32"/>
        </w:rPr>
        <w:t>（一）部门职责</w:t>
      </w:r>
    </w:p>
    <w:p w14:paraId="21DCA27A">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1、贯彻执行党和国家民族、宗教工作方针、政策，研究并拟订全区有关民族、宗教事务的规范性文件，制定落实措施并监督检查执行情况。开展民族、宗教法律、法规和政策的宣传教育工作。</w:t>
      </w:r>
    </w:p>
    <w:p w14:paraId="13D02FBF">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协调全区民族关系，促进各民族间的平等团结、互相合作，依法保护少数民族合法权益。处理涉及民族关系的有关事宜。建立和完善少数民族事业发展综合评价监测体系，推进实施民族事务服务体系和民族事务管理信息化建设。组织承办区民族团结进步表彰活动。</w:t>
      </w:r>
    </w:p>
    <w:p w14:paraId="5372920D">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3、配合有关部门做好少数民族的扶贫工作。参与有关少数民族的专项贷款、专项资金的分配和使用管理。</w:t>
      </w:r>
    </w:p>
    <w:p w14:paraId="08C98975">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4、协调有关部门促进全区少数民族教育、科技、文化、卫生、体育等社会事业的发展。</w:t>
      </w:r>
    </w:p>
    <w:p w14:paraId="50A0DEFA">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5、依法保护公民宗教信仰自由，维护宗教团体和宗教场所的合法权益，保护宗教教职人员履行正常的教务活动，保护信教群众正常的宗教活动。</w:t>
      </w:r>
    </w:p>
    <w:p w14:paraId="6FC8DFAB">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6、依法加强对全区宗教事务的管理，引导宗教在法律、法规和政策范围内活动，防止和制止利用宗教进行非法、违法活动，抵御境外利用宗教进行的渗透活动。</w:t>
      </w:r>
    </w:p>
    <w:p w14:paraId="37B4F7D9">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7、配合有关部门和宗教界开展对外以及对港澳台的宗教交往活动和涉及民族和宗教对外宣传工作。</w:t>
      </w:r>
    </w:p>
    <w:p w14:paraId="224D315F">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8、协助有关部门做好全区少数民族干部和各类专业技术人才的培养、教育和使用工作。</w:t>
      </w:r>
    </w:p>
    <w:p w14:paraId="7F826BD0">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9、指导乡（镇）、村民族、宗教工作，及时处理民族、宗教方面的突发事件和影响社会稳定的因素。</w:t>
      </w:r>
    </w:p>
    <w:p w14:paraId="10D23535">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10、按程序做好清真食品生产经营许可的审批工作。依法做好清真食品生产经营的监管工作，打击违法生产经营清真食品经营的行为，维护少数民族合法权益。</w:t>
      </w:r>
    </w:p>
    <w:p w14:paraId="43BE1335">
      <w:pPr>
        <w:pStyle w:val="2"/>
        <w:spacing w:before="0" w:after="0" w:line="580" w:lineRule="exact"/>
        <w:ind w:left="640"/>
        <w:jc w:val="left"/>
        <w:rPr>
          <w:rFonts w:ascii="黑体" w:eastAsia="黑体" w:cs="黑体"/>
          <w:b w:val="0"/>
          <w:bCs w:val="0"/>
          <w:kern w:val="0"/>
          <w:sz w:val="32"/>
          <w:szCs w:val="32"/>
        </w:rPr>
      </w:pPr>
      <w:r>
        <w:rPr>
          <w:rFonts w:hint="eastAsia" w:ascii="仿宋_GB2312" w:hAnsi="仿宋_GB2312" w:eastAsia="仿宋_GB2312" w:cs="仿宋_GB2312"/>
          <w:b w:val="0"/>
          <w:sz w:val="32"/>
          <w:szCs w:val="32"/>
        </w:rPr>
        <w:t>11、承办区政府交办的其他事项。</w:t>
      </w:r>
    </w:p>
    <w:p w14:paraId="039890CA"/>
    <w:p w14:paraId="5BB8B4D2">
      <w:pPr>
        <w:keepNext/>
        <w:keepLines/>
        <w:spacing w:line="580" w:lineRule="exact"/>
        <w:ind w:firstLine="640" w:firstLineChars="200"/>
        <w:jc w:val="left"/>
        <w:outlineLvl w:val="0"/>
        <w:rPr>
          <w:rFonts w:ascii="黑体" w:hAnsi="Calibri" w:eastAsia="黑体" w:cs="黑体"/>
          <w:color w:val="000000" w:themeColor="text1"/>
          <w:kern w:val="0"/>
          <w:sz w:val="32"/>
          <w:szCs w:val="32"/>
        </w:rPr>
      </w:pPr>
      <w:r>
        <w:rPr>
          <w:rFonts w:hint="eastAsia" w:ascii="黑体" w:hAnsi="Calibri" w:eastAsia="黑体" w:cs="黑体"/>
          <w:color w:val="000000" w:themeColor="text1"/>
          <w:kern w:val="0"/>
          <w:sz w:val="32"/>
          <w:szCs w:val="32"/>
        </w:rPr>
        <w:t>（二）机构设置</w:t>
      </w:r>
    </w:p>
    <w:p w14:paraId="795EE7C4">
      <w:pPr>
        <w:spacing w:line="580" w:lineRule="exact"/>
        <w:ind w:firstLine="640" w:firstLineChars="200"/>
        <w:rPr>
          <w:rFonts w:ascii="仿宋_GB2312" w:hAnsi="Calibri" w:eastAsia="仿宋_GB2312" w:cs="ArialUnicodeMS"/>
          <w:kern w:val="0"/>
          <w:sz w:val="32"/>
          <w:szCs w:val="32"/>
        </w:rPr>
      </w:pP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226"/>
        <w:gridCol w:w="1985"/>
        <w:gridCol w:w="2384"/>
      </w:tblGrid>
      <w:tr w14:paraId="29052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6F2687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226" w:type="dxa"/>
            <w:vAlign w:val="center"/>
          </w:tcPr>
          <w:p w14:paraId="21DCECE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985" w:type="dxa"/>
            <w:vAlign w:val="center"/>
          </w:tcPr>
          <w:p w14:paraId="6631DF3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384" w:type="dxa"/>
            <w:vAlign w:val="center"/>
          </w:tcPr>
          <w:p w14:paraId="6F972BA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1D0B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13F8B3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226" w:type="dxa"/>
          </w:tcPr>
          <w:p w14:paraId="58E4B25C">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石家庄市藁城区民族宗教事务局</w:t>
            </w:r>
          </w:p>
        </w:tc>
        <w:tc>
          <w:tcPr>
            <w:tcW w:w="1985" w:type="dxa"/>
          </w:tcPr>
          <w:p w14:paraId="47A4AE5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384" w:type="dxa"/>
          </w:tcPr>
          <w:p w14:paraId="1FC5854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14:paraId="1331946B">
      <w:pPr>
        <w:snapToGrid w:val="0"/>
        <w:spacing w:line="560" w:lineRule="exact"/>
        <w:ind w:firstLine="640" w:firstLineChars="200"/>
        <w:rPr>
          <w:rFonts w:ascii="黑体" w:hAnsi="黑体" w:eastAsia="黑体" w:cs="黑体"/>
          <w:sz w:val="32"/>
          <w:szCs w:val="32"/>
        </w:rPr>
      </w:pPr>
    </w:p>
    <w:p w14:paraId="754B597C">
      <w:pPr>
        <w:spacing w:line="600" w:lineRule="exact"/>
        <w:ind w:firstLine="720"/>
        <w:rPr>
          <w:rFonts w:ascii="黑体" w:hAnsi="黑体" w:eastAsia="黑体" w:cs="黑体"/>
          <w:sz w:val="32"/>
          <w:szCs w:val="32"/>
        </w:rPr>
      </w:pPr>
      <w:r>
        <w:rPr>
          <w:rFonts w:hint="eastAsia" w:ascii="黑体" w:hAnsi="黑体" w:eastAsia="黑体" w:cs="黑体"/>
          <w:sz w:val="32"/>
          <w:szCs w:val="32"/>
        </w:rPr>
        <w:t>二、绩效自评工作开展情况</w:t>
      </w:r>
    </w:p>
    <w:p w14:paraId="7CBAACAF">
      <w:pPr>
        <w:spacing w:line="600" w:lineRule="exact"/>
        <w:ind w:firstLine="720"/>
        <w:rPr>
          <w:rFonts w:ascii="仿宋_GB2312" w:hAnsi="仿宋" w:eastAsia="仿宋_GB2312"/>
          <w:sz w:val="32"/>
          <w:szCs w:val="32"/>
        </w:rPr>
      </w:pPr>
      <w:r>
        <w:rPr>
          <w:rFonts w:hint="eastAsia" w:ascii="仿宋_GB2312" w:hAnsi="仿宋" w:eastAsia="仿宋_GB2312"/>
          <w:sz w:val="32"/>
          <w:szCs w:val="32"/>
        </w:rPr>
        <w:t>1、成立预算绩效评价小组。为保证绩效评价工作顺利开展，石家庄市藁城区民族宗教事务局成立了绩效评价小组，负责绩效评价的组织管理等工作。</w:t>
      </w:r>
    </w:p>
    <w:p w14:paraId="39781487">
      <w:pPr>
        <w:spacing w:line="600" w:lineRule="exact"/>
        <w:ind w:firstLine="720"/>
        <w:rPr>
          <w:rFonts w:ascii="仿宋_GB2312" w:hAnsi="仿宋" w:eastAsia="仿宋_GB2312"/>
          <w:sz w:val="32"/>
          <w:szCs w:val="32"/>
        </w:rPr>
      </w:pPr>
      <w:r>
        <w:rPr>
          <w:rFonts w:hint="eastAsia" w:ascii="仿宋_GB2312" w:hAnsi="仿宋" w:eastAsia="仿宋_GB2312"/>
          <w:sz w:val="32"/>
          <w:szCs w:val="32"/>
        </w:rPr>
        <w:t>2、组织部门自评。石家庄市藁城区民族宗教事务局按照藁财字【2020】23号文件《藁城区财政局关于印发&lt;藁城区区级部门预算项目绩效自评管理办法&gt;的通知》要求整理相关数据和资料，对部门综合绩效情况进行自我评价，由绩效评价领导小组牵头，组织局各科室对2021年所有与本部门相关的财政支出项目开展了自评，逐个项目填报了《区级部门预算项目自评表》，并撰写《2022部门年度绩效自评工作报告》。</w:t>
      </w:r>
    </w:p>
    <w:p w14:paraId="184B47DD">
      <w:pPr>
        <w:autoSpaceDE w:val="0"/>
        <w:autoSpaceDN w:val="0"/>
        <w:adjustRightIn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3、石家庄市藁城区民族宗教事务局严格执行财经制度和管理规定，按时完成预算执行进度，严格控制、合理利用各项经费，按要求进行预算管理。</w:t>
      </w:r>
    </w:p>
    <w:p w14:paraId="7B8D1667">
      <w:pPr>
        <w:spacing w:line="600" w:lineRule="exact"/>
        <w:ind w:firstLine="720"/>
        <w:rPr>
          <w:rFonts w:ascii="黑体" w:hAnsi="黑体" w:eastAsia="黑体" w:cs="黑体"/>
          <w:sz w:val="32"/>
          <w:szCs w:val="32"/>
        </w:rPr>
      </w:pPr>
      <w:r>
        <w:rPr>
          <w:rFonts w:hint="eastAsia" w:ascii="黑体" w:hAnsi="黑体" w:eastAsia="黑体" w:cs="黑体"/>
          <w:sz w:val="32"/>
          <w:szCs w:val="32"/>
        </w:rPr>
        <w:t>三、部门整体支出绩效目标实现情况及指标分析</w:t>
      </w:r>
    </w:p>
    <w:p w14:paraId="1ED8ACAC">
      <w:pPr>
        <w:spacing w:line="600" w:lineRule="exact"/>
        <w:ind w:firstLine="720"/>
        <w:rPr>
          <w:rFonts w:ascii="仿宋_GB2312" w:hAnsi="仿宋" w:eastAsia="仿宋_GB2312"/>
          <w:sz w:val="32"/>
          <w:szCs w:val="32"/>
        </w:rPr>
      </w:pPr>
      <w:r>
        <w:rPr>
          <w:rFonts w:hint="eastAsia" w:ascii="仿宋_GB2312" w:hAnsi="仿宋" w:eastAsia="仿宋_GB2312"/>
          <w:sz w:val="32"/>
          <w:szCs w:val="32"/>
        </w:rPr>
        <w:t>我局按照持续深入开展民族团结进步创建工作，扎实稳步推进民族乡村经济社会发展，坚持重拳整治宗教领域突出问题，高效稳妥处理民族宗教因素矛盾纠纷，持之以恒推进机关全面建设上水平的总体工作思路，认真谋划，狠抓落实。</w:t>
      </w:r>
    </w:p>
    <w:p w14:paraId="6E305EA9">
      <w:pPr>
        <w:spacing w:line="600" w:lineRule="exact"/>
        <w:ind w:firstLine="720"/>
        <w:rPr>
          <w:rFonts w:ascii="仿宋_GB2312" w:hAnsi="宋体" w:eastAsia="仿宋_GB2312"/>
          <w:sz w:val="32"/>
          <w:szCs w:val="32"/>
        </w:rPr>
      </w:pPr>
      <w:r>
        <w:rPr>
          <w:rFonts w:hint="eastAsia" w:ascii="仿宋_GB2312" w:hAnsi="仿宋_GB2312" w:eastAsia="仿宋_GB2312" w:cs="仿宋_GB2312"/>
          <w:bCs/>
          <w:sz w:val="32"/>
          <w:szCs w:val="32"/>
        </w:rPr>
        <w:t>本着</w:t>
      </w:r>
      <w:r>
        <w:rPr>
          <w:rFonts w:hint="eastAsia" w:ascii="仿宋_GB2312" w:hAnsi="宋体" w:eastAsia="仿宋_GB2312"/>
          <w:sz w:val="32"/>
          <w:szCs w:val="32"/>
        </w:rPr>
        <w:t>民族地区发展的原则，紧紧围绕</w:t>
      </w:r>
      <w:r>
        <w:rPr>
          <w:rFonts w:hint="eastAsia" w:ascii="仿宋_GB2312" w:hAnsi="仿宋_GB2312" w:eastAsia="仿宋_GB2312" w:cs="仿宋_GB2312"/>
          <w:sz w:val="32"/>
          <w:szCs w:val="32"/>
        </w:rPr>
        <w:t>少数民族特色村寨建设，</w:t>
      </w:r>
      <w:r>
        <w:rPr>
          <w:rFonts w:hint="eastAsia" w:ascii="仿宋_GB2312" w:hAnsi="宋体" w:eastAsia="仿宋_GB2312"/>
          <w:sz w:val="32"/>
          <w:szCs w:val="32"/>
        </w:rPr>
        <w:t>加快少数民族乡村基础设施，加速提升少数民族群众生产生活水平，提高少数民族群众幸福指数，努力使</w:t>
      </w:r>
      <w:r>
        <w:rPr>
          <w:rFonts w:hint="eastAsia" w:ascii="仿宋_GB2312" w:hAnsi="仿宋_GB2312" w:eastAsia="仿宋_GB2312" w:cs="仿宋_GB2312"/>
          <w:bCs/>
          <w:sz w:val="32"/>
          <w:szCs w:val="32"/>
        </w:rPr>
        <w:t>全区民族乡村</w:t>
      </w:r>
      <w:r>
        <w:rPr>
          <w:rFonts w:hint="eastAsia" w:ascii="仿宋_GB2312" w:hAnsi="宋体" w:eastAsia="仿宋_GB2312"/>
          <w:sz w:val="32"/>
          <w:szCs w:val="32"/>
        </w:rPr>
        <w:t>的生产生活条件和环境面貌得到明显改善。</w:t>
      </w:r>
    </w:p>
    <w:p w14:paraId="59B50D18">
      <w:pPr>
        <w:spacing w:line="600" w:lineRule="exact"/>
        <w:ind w:firstLine="720"/>
        <w:rPr>
          <w:rFonts w:ascii="仿宋_GB2312" w:hAnsi="仿宋" w:eastAsia="仿宋_GB2312"/>
          <w:sz w:val="32"/>
          <w:szCs w:val="32"/>
        </w:rPr>
      </w:pPr>
      <w:r>
        <w:rPr>
          <w:rFonts w:hint="eastAsia" w:ascii="仿宋_GB2312" w:hAnsi="宋体" w:eastAsia="仿宋_GB2312"/>
          <w:sz w:val="32"/>
          <w:szCs w:val="32"/>
        </w:rPr>
        <w:t>为确保全区宗教领域安全稳定，适应新时期宗教领域与社会发展的需要，提升宗教界队伍的整体素质，有效贯彻执行国家关于宗教工作的方针政策，依法管理宗教事务，监督检查宗教活动场所，为藁城区宗教领域和谐稳定打下良好基础。</w:t>
      </w:r>
      <w:r>
        <w:rPr>
          <w:rFonts w:hint="eastAsia" w:ascii="仿宋_GB2312" w:hAnsi="仿宋" w:eastAsia="仿宋_GB2312"/>
          <w:sz w:val="32"/>
          <w:szCs w:val="32"/>
        </w:rPr>
        <w:t>按年初预算，我局2021年预算项目经费共343.552593万元，目前已使用项目资金313.712593万元。主要支出明细如下：</w:t>
      </w:r>
    </w:p>
    <w:p w14:paraId="4C036DFB">
      <w:pPr>
        <w:adjustRightInd w:val="0"/>
        <w:snapToGrid w:val="0"/>
        <w:spacing w:line="360" w:lineRule="auto"/>
        <w:ind w:firstLine="640" w:firstLineChars="200"/>
        <w:rPr>
          <w:rFonts w:ascii="仿宋_GB2312" w:hAnsi="仿宋" w:eastAsia="仿宋_GB2312"/>
          <w:sz w:val="32"/>
          <w:szCs w:val="32"/>
        </w:rPr>
      </w:pPr>
      <w:r>
        <w:rPr>
          <w:rFonts w:hint="eastAsia" w:ascii="仿宋_GB2312" w:hAnsi="仿宋_GB2312" w:eastAsia="仿宋_GB2312" w:cs="仿宋_GB2312"/>
          <w:bCs/>
          <w:sz w:val="32"/>
          <w:szCs w:val="32"/>
        </w:rPr>
        <w:t>1、2017年中央少数民族发展资金30万元（支出0.16万元）；2、教职人员生活补贴6万元；3、劳务派遣人员工资4.622593万元；4、民族工作经费3.6万元；5、石财行[2022]4号关于下达2022年市级少数民族地区补助费5万元；6、石财农[2021]75号提前下达2022年中央财政衔接推进乡村振兴补助资金154万元；7、召开九门民族乡现场办公会资金9.8万元；8、驻村工作队工作生活保障经费120万元；9、宗教工作经费10.53万元。</w:t>
      </w:r>
      <w:r>
        <w:rPr>
          <w:rFonts w:hint="eastAsia" w:ascii="仿宋_GB2312" w:hAnsi="仿宋" w:eastAsia="仿宋_GB2312"/>
          <w:sz w:val="32"/>
          <w:szCs w:val="32"/>
        </w:rPr>
        <w:t>全年实现支出率91.31%。</w:t>
      </w:r>
    </w:p>
    <w:p w14:paraId="438F3504">
      <w:pPr>
        <w:spacing w:line="600" w:lineRule="exact"/>
        <w:ind w:firstLine="720"/>
        <w:rPr>
          <w:rFonts w:ascii="仿宋_GB2312" w:hAnsi="仿宋" w:eastAsia="仿宋_GB2312"/>
          <w:sz w:val="32"/>
          <w:szCs w:val="32"/>
        </w:rPr>
      </w:pPr>
      <w:r>
        <w:rPr>
          <w:rFonts w:hint="eastAsia" w:ascii="仿宋_GB2312" w:hAnsi="仿宋" w:eastAsia="仿宋_GB2312"/>
          <w:sz w:val="32"/>
          <w:szCs w:val="32"/>
        </w:rPr>
        <w:t>我局将上述资金细化，根据区级财政经费支出要求，结合我单位实际情况，制定了切实可行、可量化、可考评的年度目标，并依据财政制定的相关财经制度、及行政会计制度，在严格实行专款专用的前提下进行了实时监控、全程监督。单位领导十分重视专项资金的使用，严格按财政相关要求对资金项目进行支出使用。</w:t>
      </w:r>
    </w:p>
    <w:p w14:paraId="2851EE2C">
      <w:pPr>
        <w:spacing w:line="600" w:lineRule="exact"/>
        <w:ind w:firstLine="720"/>
        <w:rPr>
          <w:rFonts w:ascii="仿宋_GB2312" w:hAnsi="仿宋" w:eastAsia="仿宋_GB2312"/>
          <w:sz w:val="32"/>
          <w:szCs w:val="32"/>
        </w:rPr>
      </w:pPr>
      <w:r>
        <w:rPr>
          <w:rFonts w:hint="eastAsia" w:ascii="仿宋_GB2312" w:hAnsi="仿宋" w:eastAsia="仿宋_GB2312"/>
          <w:sz w:val="32"/>
          <w:szCs w:val="32"/>
        </w:rPr>
        <w:t>截至2022年</w:t>
      </w:r>
      <w:bookmarkStart w:id="0" w:name="_GoBack"/>
      <w:bookmarkEnd w:id="0"/>
      <w:r>
        <w:rPr>
          <w:rFonts w:hint="eastAsia" w:ascii="仿宋_GB2312" w:hAnsi="仿宋" w:eastAsia="仿宋_GB2312"/>
          <w:sz w:val="32"/>
          <w:szCs w:val="32"/>
        </w:rPr>
        <w:t>12月底，单位尚未发现有挪用、挤占专项资金的情况，整个项目资金使用率已达到91.31%。</w:t>
      </w:r>
    </w:p>
    <w:p w14:paraId="004B53F5">
      <w:pPr>
        <w:spacing w:line="600" w:lineRule="exact"/>
        <w:ind w:firstLine="720"/>
        <w:rPr>
          <w:rFonts w:ascii="黑体" w:hAnsi="黑体" w:eastAsia="黑体" w:cs="黑体"/>
          <w:sz w:val="32"/>
          <w:szCs w:val="32"/>
        </w:rPr>
      </w:pPr>
      <w:r>
        <w:rPr>
          <w:rFonts w:hint="eastAsia" w:ascii="黑体" w:hAnsi="黑体" w:eastAsia="黑体" w:cs="黑体"/>
          <w:sz w:val="32"/>
          <w:szCs w:val="32"/>
        </w:rPr>
        <w:t>四、评价结论和评价等级</w:t>
      </w:r>
    </w:p>
    <w:p w14:paraId="0403A2FA">
      <w:pPr>
        <w:spacing w:line="600" w:lineRule="exact"/>
        <w:ind w:firstLine="720"/>
        <w:rPr>
          <w:rFonts w:ascii="仿宋_GB2312" w:hAnsi="仿宋" w:eastAsia="仿宋_GB2312"/>
          <w:sz w:val="32"/>
          <w:szCs w:val="32"/>
        </w:rPr>
      </w:pPr>
      <w:r>
        <w:rPr>
          <w:rFonts w:hint="eastAsia" w:ascii="仿宋_GB2312" w:hAnsi="仿宋" w:eastAsia="仿宋_GB2312"/>
          <w:sz w:val="32"/>
          <w:szCs w:val="32"/>
        </w:rPr>
        <w:t>为更好更全面地做好评价工作，石家庄市藁城区民族宗教局结合预算绩效评价的绩效目标，覆盖了部门工作投入、过程（执行）、产出、效果等四个方面。根据项目执行情况和项目绩效情况，对各项项目预算情况及绩效进行了综合评价，针对以上9项支出分类，设置了9个绩效自评表，综合绩效评价等级为“优”。</w:t>
      </w:r>
    </w:p>
    <w:p w14:paraId="067E2FB0">
      <w:pPr>
        <w:spacing w:line="600" w:lineRule="exact"/>
        <w:ind w:firstLine="720"/>
        <w:rPr>
          <w:rFonts w:ascii="仿宋_GB2312" w:hAnsi="仿宋" w:eastAsia="仿宋_GB2312"/>
          <w:sz w:val="32"/>
          <w:szCs w:val="32"/>
        </w:rPr>
      </w:pPr>
      <w:r>
        <w:rPr>
          <w:rFonts w:hint="eastAsia" w:ascii="仿宋_GB2312" w:hAnsi="仿宋" w:eastAsia="仿宋_GB2312"/>
          <w:sz w:val="32"/>
          <w:szCs w:val="32"/>
        </w:rPr>
        <w:t>石家庄市藁城区民族宗教事务局 2022年设立的绩效目标符合国家法律法规、国民经济和社会发展总体规划，符合部门“三定”方案确定的职能职责，符合部门中长期实施规划。绩效指标清晰、可量化，与部门年度的任务数相对应，与2022年预算资金相匹配。预算配置科学合理，预算执行积极有效，预算管理透明规范，资产管理安全高效，职责履行目标完成、质量达标，履职效益较好。2022年度石家庄市藁城区民族宗教事务局严格执行财经制度和管理规定，按时完成预算执行进度，严格控制、合理利用各项经费，鼓励合法合规的经费开支，按要求进行预算管理。</w:t>
      </w:r>
    </w:p>
    <w:p w14:paraId="27F7C0A9">
      <w:pPr>
        <w:spacing w:line="600" w:lineRule="exact"/>
        <w:ind w:firstLine="720"/>
        <w:rPr>
          <w:rFonts w:ascii="黑体" w:hAnsi="黑体" w:eastAsia="黑体" w:cs="黑体"/>
          <w:sz w:val="32"/>
          <w:szCs w:val="32"/>
        </w:rPr>
      </w:pPr>
      <w:r>
        <w:rPr>
          <w:rFonts w:hint="eastAsia" w:ascii="黑体" w:hAnsi="黑体" w:eastAsia="黑体" w:cs="黑体"/>
          <w:sz w:val="32"/>
          <w:szCs w:val="32"/>
        </w:rPr>
        <w:t>五、整改措施及结果应用</w:t>
      </w:r>
    </w:p>
    <w:p w14:paraId="44D61A03">
      <w:pPr>
        <w:spacing w:line="600" w:lineRule="exact"/>
        <w:ind w:firstLine="720"/>
        <w:rPr>
          <w:rFonts w:ascii="仿宋_GB2312" w:hAnsi="仿宋" w:eastAsia="仿宋_GB2312"/>
          <w:sz w:val="32"/>
          <w:szCs w:val="32"/>
        </w:rPr>
      </w:pPr>
      <w:r>
        <w:rPr>
          <w:rFonts w:hint="eastAsia" w:ascii="仿宋_GB2312" w:hAnsi="仿宋" w:eastAsia="仿宋_GB2312"/>
          <w:sz w:val="32"/>
          <w:szCs w:val="32"/>
        </w:rPr>
        <w:t>1、加强政策学习，提高思想认识。组织单位工作人员认真学习《预算法》等相关法规，增强财务人员的预算意识，提高预算管理水平。加强财政资金管理，保证各项工作顺利开展，确保工作任务优质高效完成。</w:t>
      </w:r>
    </w:p>
    <w:p w14:paraId="6CEA463E">
      <w:pPr>
        <w:spacing w:line="600" w:lineRule="exact"/>
        <w:ind w:firstLine="720"/>
        <w:rPr>
          <w:rFonts w:ascii="仿宋_GB2312" w:hAnsi="仿宋" w:eastAsia="仿宋_GB2312"/>
          <w:sz w:val="32"/>
          <w:szCs w:val="32"/>
        </w:rPr>
      </w:pPr>
      <w:r>
        <w:rPr>
          <w:rFonts w:hint="eastAsia" w:ascii="仿宋_GB2312" w:hAnsi="仿宋" w:eastAsia="仿宋_GB2312"/>
          <w:sz w:val="32"/>
          <w:szCs w:val="32"/>
        </w:rPr>
        <w:t>2、了解资金使用是否达到了预期目标，资金管理是否规范，资金使用是否有效，检验资金支出效率和效果，分析存在问题及原因，及时总结经验，改进管理措施，不断增强和落实绩效管理责任，完善工作机制，有效提高资金管理水平和使用效益。</w:t>
      </w:r>
    </w:p>
    <w:p w14:paraId="0788025B">
      <w:pPr>
        <w:spacing w:line="600" w:lineRule="exact"/>
        <w:ind w:firstLine="640"/>
        <w:rPr>
          <w:rFonts w:ascii="仿宋_GB2312" w:hAnsi="仿宋" w:eastAsia="仿宋_GB2312"/>
          <w:sz w:val="32"/>
          <w:szCs w:val="32"/>
        </w:rPr>
      </w:pPr>
      <w:r>
        <w:rPr>
          <w:rFonts w:hint="eastAsia" w:ascii="仿宋_GB2312" w:hAnsi="仿宋" w:eastAsia="仿宋_GB2312"/>
          <w:sz w:val="32"/>
          <w:szCs w:val="32"/>
        </w:rPr>
        <w:t>3、通过整体支出绩效自评，制定了部门绩效管理办法及项目工作实施方案，建立了长效机制；促进单位规范使用项目资金。</w:t>
      </w:r>
    </w:p>
    <w:p w14:paraId="791DA0F6">
      <w:pPr>
        <w:snapToGrid w:val="0"/>
        <w:spacing w:line="560" w:lineRule="exact"/>
        <w:ind w:firstLine="640" w:firstLineChars="200"/>
        <w:rPr>
          <w:rFonts w:ascii="黑体" w:hAnsi="黑体" w:eastAsia="黑体" w:cs="黑体"/>
          <w:sz w:val="32"/>
          <w:szCs w:val="32"/>
        </w:rPr>
      </w:pPr>
    </w:p>
    <w:p w14:paraId="582212FA">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六、评价工作组人员名单及签字</w:t>
      </w:r>
    </w:p>
    <w:p w14:paraId="5CB267A3">
      <w:pPr>
        <w:snapToGrid w:val="0"/>
        <w:spacing w:line="560" w:lineRule="exact"/>
        <w:ind w:firstLine="640" w:firstLineChars="200"/>
        <w:rPr>
          <w:rFonts w:ascii="黑体" w:hAnsi="黑体" w:eastAsia="黑体" w:cs="黑体"/>
          <w:sz w:val="32"/>
          <w:szCs w:val="32"/>
        </w:rPr>
      </w:pPr>
    </w:p>
    <w:tbl>
      <w:tblPr>
        <w:tblStyle w:val="5"/>
        <w:tblW w:w="86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6"/>
        <w:gridCol w:w="2010"/>
        <w:gridCol w:w="2640"/>
        <w:gridCol w:w="2221"/>
      </w:tblGrid>
      <w:tr w14:paraId="350D0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786" w:type="dxa"/>
          </w:tcPr>
          <w:p w14:paraId="26672AAB">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姓名</w:t>
            </w:r>
          </w:p>
        </w:tc>
        <w:tc>
          <w:tcPr>
            <w:tcW w:w="2010" w:type="dxa"/>
          </w:tcPr>
          <w:p w14:paraId="5AB98E46">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工作单位</w:t>
            </w:r>
          </w:p>
        </w:tc>
        <w:tc>
          <w:tcPr>
            <w:tcW w:w="2640" w:type="dxa"/>
          </w:tcPr>
          <w:p w14:paraId="25D41C85">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职务</w:t>
            </w:r>
          </w:p>
        </w:tc>
        <w:tc>
          <w:tcPr>
            <w:tcW w:w="2221" w:type="dxa"/>
          </w:tcPr>
          <w:p w14:paraId="7CF80314">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签字</w:t>
            </w:r>
          </w:p>
        </w:tc>
      </w:tr>
      <w:tr w14:paraId="6CA46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1786" w:type="dxa"/>
          </w:tcPr>
          <w:p w14:paraId="10755996">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邓力宾</w:t>
            </w:r>
          </w:p>
        </w:tc>
        <w:tc>
          <w:tcPr>
            <w:tcW w:w="2010" w:type="dxa"/>
          </w:tcPr>
          <w:p w14:paraId="3299C7A6">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民宗局</w:t>
            </w:r>
          </w:p>
        </w:tc>
        <w:tc>
          <w:tcPr>
            <w:tcW w:w="2640" w:type="dxa"/>
          </w:tcPr>
          <w:p w14:paraId="2AC079B7">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党组书记</w:t>
            </w:r>
          </w:p>
        </w:tc>
        <w:tc>
          <w:tcPr>
            <w:tcW w:w="2221" w:type="dxa"/>
          </w:tcPr>
          <w:p w14:paraId="2F5C3B9B">
            <w:pPr>
              <w:tabs>
                <w:tab w:val="center" w:pos="4153"/>
                <w:tab w:val="right" w:pos="8306"/>
              </w:tabs>
              <w:snapToGrid w:val="0"/>
              <w:jc w:val="center"/>
              <w:rPr>
                <w:rFonts w:ascii="仿宋" w:hAnsi="仿宋" w:eastAsia="仿宋" w:cs="仿宋"/>
                <w:sz w:val="32"/>
                <w:szCs w:val="32"/>
              </w:rPr>
            </w:pPr>
          </w:p>
        </w:tc>
      </w:tr>
      <w:tr w14:paraId="73CF4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1786" w:type="dxa"/>
          </w:tcPr>
          <w:p w14:paraId="1297E67D">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孙景茹</w:t>
            </w:r>
          </w:p>
        </w:tc>
        <w:tc>
          <w:tcPr>
            <w:tcW w:w="2010" w:type="dxa"/>
          </w:tcPr>
          <w:p w14:paraId="6E4745A7">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民宗局</w:t>
            </w:r>
          </w:p>
        </w:tc>
        <w:tc>
          <w:tcPr>
            <w:tcW w:w="2640" w:type="dxa"/>
          </w:tcPr>
          <w:p w14:paraId="1159BB41">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局长</w:t>
            </w:r>
          </w:p>
        </w:tc>
        <w:tc>
          <w:tcPr>
            <w:tcW w:w="2221" w:type="dxa"/>
          </w:tcPr>
          <w:p w14:paraId="4FD0A66A">
            <w:pPr>
              <w:tabs>
                <w:tab w:val="center" w:pos="4153"/>
                <w:tab w:val="right" w:pos="8306"/>
              </w:tabs>
              <w:snapToGrid w:val="0"/>
              <w:jc w:val="center"/>
              <w:rPr>
                <w:rFonts w:ascii="仿宋" w:hAnsi="仿宋" w:eastAsia="仿宋" w:cs="仿宋"/>
                <w:sz w:val="32"/>
                <w:szCs w:val="32"/>
              </w:rPr>
            </w:pPr>
          </w:p>
        </w:tc>
      </w:tr>
      <w:tr w14:paraId="2919B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1786" w:type="dxa"/>
          </w:tcPr>
          <w:p w14:paraId="56A36A83">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张扬</w:t>
            </w:r>
          </w:p>
        </w:tc>
        <w:tc>
          <w:tcPr>
            <w:tcW w:w="2010" w:type="dxa"/>
          </w:tcPr>
          <w:p w14:paraId="2244A7AF">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民宗局</w:t>
            </w:r>
          </w:p>
        </w:tc>
        <w:tc>
          <w:tcPr>
            <w:tcW w:w="2640" w:type="dxa"/>
          </w:tcPr>
          <w:p w14:paraId="625D39D8">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党组成员、副局长</w:t>
            </w:r>
          </w:p>
        </w:tc>
        <w:tc>
          <w:tcPr>
            <w:tcW w:w="2221" w:type="dxa"/>
          </w:tcPr>
          <w:p w14:paraId="4AA8FABF">
            <w:pPr>
              <w:tabs>
                <w:tab w:val="center" w:pos="4153"/>
                <w:tab w:val="right" w:pos="8306"/>
              </w:tabs>
              <w:snapToGrid w:val="0"/>
              <w:jc w:val="center"/>
              <w:rPr>
                <w:rFonts w:ascii="仿宋" w:hAnsi="仿宋" w:eastAsia="仿宋" w:cs="仿宋"/>
                <w:sz w:val="32"/>
                <w:szCs w:val="32"/>
              </w:rPr>
            </w:pPr>
          </w:p>
        </w:tc>
      </w:tr>
      <w:tr w14:paraId="7FB97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1786" w:type="dxa"/>
          </w:tcPr>
          <w:p w14:paraId="53CA8D4A">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赵梦思</w:t>
            </w:r>
          </w:p>
        </w:tc>
        <w:tc>
          <w:tcPr>
            <w:tcW w:w="2010" w:type="dxa"/>
          </w:tcPr>
          <w:p w14:paraId="0FCD3E21">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民宗局</w:t>
            </w:r>
          </w:p>
        </w:tc>
        <w:tc>
          <w:tcPr>
            <w:tcW w:w="2640" w:type="dxa"/>
          </w:tcPr>
          <w:p w14:paraId="3B0CB6D9">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党组成员、副局长</w:t>
            </w:r>
          </w:p>
        </w:tc>
        <w:tc>
          <w:tcPr>
            <w:tcW w:w="2221" w:type="dxa"/>
          </w:tcPr>
          <w:p w14:paraId="19A0364E">
            <w:pPr>
              <w:tabs>
                <w:tab w:val="center" w:pos="4153"/>
                <w:tab w:val="right" w:pos="8306"/>
              </w:tabs>
              <w:snapToGrid w:val="0"/>
              <w:jc w:val="center"/>
              <w:rPr>
                <w:rFonts w:ascii="仿宋" w:hAnsi="仿宋" w:eastAsia="仿宋" w:cs="仿宋"/>
                <w:sz w:val="32"/>
                <w:szCs w:val="32"/>
              </w:rPr>
            </w:pPr>
          </w:p>
        </w:tc>
      </w:tr>
      <w:tr w14:paraId="0E4DA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786" w:type="dxa"/>
          </w:tcPr>
          <w:p w14:paraId="708C2843">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刘建军</w:t>
            </w:r>
          </w:p>
        </w:tc>
        <w:tc>
          <w:tcPr>
            <w:tcW w:w="2010" w:type="dxa"/>
          </w:tcPr>
          <w:p w14:paraId="64B5A007">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民宗局</w:t>
            </w:r>
          </w:p>
        </w:tc>
        <w:tc>
          <w:tcPr>
            <w:tcW w:w="2640" w:type="dxa"/>
          </w:tcPr>
          <w:p w14:paraId="0361CA1A">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办公室主任</w:t>
            </w:r>
          </w:p>
        </w:tc>
        <w:tc>
          <w:tcPr>
            <w:tcW w:w="2221" w:type="dxa"/>
          </w:tcPr>
          <w:p w14:paraId="554EB5A9">
            <w:pPr>
              <w:tabs>
                <w:tab w:val="center" w:pos="4153"/>
                <w:tab w:val="right" w:pos="8306"/>
              </w:tabs>
              <w:snapToGrid w:val="0"/>
              <w:jc w:val="center"/>
              <w:rPr>
                <w:rFonts w:ascii="仿宋" w:hAnsi="仿宋" w:eastAsia="仿宋" w:cs="仿宋"/>
                <w:sz w:val="32"/>
                <w:szCs w:val="32"/>
              </w:rPr>
            </w:pPr>
          </w:p>
        </w:tc>
      </w:tr>
      <w:tr w14:paraId="7B72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1786" w:type="dxa"/>
          </w:tcPr>
          <w:p w14:paraId="32883F83">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贺亚娜</w:t>
            </w:r>
          </w:p>
        </w:tc>
        <w:tc>
          <w:tcPr>
            <w:tcW w:w="2010" w:type="dxa"/>
          </w:tcPr>
          <w:p w14:paraId="4E66B06C">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民宗局</w:t>
            </w:r>
          </w:p>
        </w:tc>
        <w:tc>
          <w:tcPr>
            <w:tcW w:w="2640" w:type="dxa"/>
          </w:tcPr>
          <w:p w14:paraId="0BABEC7F">
            <w:pPr>
              <w:tabs>
                <w:tab w:val="center" w:pos="4153"/>
                <w:tab w:val="right" w:pos="8306"/>
              </w:tabs>
              <w:snapToGrid w:val="0"/>
              <w:jc w:val="center"/>
              <w:rPr>
                <w:rFonts w:ascii="仿宋" w:hAnsi="仿宋" w:eastAsia="仿宋" w:cs="仿宋"/>
                <w:sz w:val="32"/>
                <w:szCs w:val="32"/>
              </w:rPr>
            </w:pPr>
            <w:r>
              <w:rPr>
                <w:rFonts w:hint="eastAsia" w:ascii="仿宋" w:hAnsi="仿宋" w:eastAsia="仿宋" w:cs="仿宋"/>
                <w:sz w:val="32"/>
                <w:szCs w:val="32"/>
              </w:rPr>
              <w:t>财务</w:t>
            </w:r>
          </w:p>
        </w:tc>
        <w:tc>
          <w:tcPr>
            <w:tcW w:w="2221" w:type="dxa"/>
          </w:tcPr>
          <w:p w14:paraId="32B08026">
            <w:pPr>
              <w:tabs>
                <w:tab w:val="center" w:pos="4153"/>
                <w:tab w:val="right" w:pos="8306"/>
              </w:tabs>
              <w:snapToGrid w:val="0"/>
              <w:jc w:val="center"/>
              <w:rPr>
                <w:rFonts w:ascii="仿宋" w:hAnsi="仿宋" w:eastAsia="仿宋" w:cs="仿宋"/>
                <w:sz w:val="32"/>
                <w:szCs w:val="32"/>
              </w:rPr>
            </w:pPr>
          </w:p>
        </w:tc>
      </w:tr>
    </w:tbl>
    <w:p w14:paraId="3A2BF8F0">
      <w:pPr>
        <w:snapToGrid w:val="0"/>
        <w:spacing w:line="560" w:lineRule="exact"/>
        <w:ind w:left="630"/>
        <w:rPr>
          <w:rFonts w:ascii="仿宋" w:hAnsi="仿宋" w:eastAsia="仿宋" w:cs="仿宋"/>
          <w:sz w:val="32"/>
          <w:szCs w:val="32"/>
        </w:rPr>
      </w:pPr>
    </w:p>
    <w:p w14:paraId="72326B19">
      <w:pPr>
        <w:snapToGrid w:val="0"/>
        <w:spacing w:line="560" w:lineRule="exact"/>
        <w:ind w:left="630"/>
        <w:rPr>
          <w:rFonts w:ascii="仿宋" w:hAnsi="仿宋" w:eastAsia="仿宋" w:cs="仿宋"/>
          <w:sz w:val="32"/>
          <w:szCs w:val="32"/>
        </w:rPr>
      </w:pPr>
    </w:p>
    <w:p w14:paraId="1E44B455">
      <w:pPr>
        <w:snapToGrid w:val="0"/>
        <w:spacing w:line="560" w:lineRule="exact"/>
        <w:ind w:left="630"/>
        <w:rPr>
          <w:rFonts w:ascii="仿宋" w:hAnsi="仿宋" w:eastAsia="仿宋" w:cs="仿宋"/>
          <w:sz w:val="32"/>
          <w:szCs w:val="32"/>
        </w:rPr>
      </w:pPr>
    </w:p>
    <w:p w14:paraId="168619B2">
      <w:pPr>
        <w:snapToGrid w:val="0"/>
        <w:spacing w:line="560" w:lineRule="exact"/>
        <w:ind w:left="630"/>
        <w:jc w:val="right"/>
        <w:rPr>
          <w:rFonts w:ascii="仿宋" w:hAnsi="仿宋" w:eastAsia="仿宋" w:cs="仿宋"/>
          <w:sz w:val="32"/>
          <w:szCs w:val="32"/>
        </w:rPr>
      </w:pPr>
      <w:r>
        <w:rPr>
          <w:rFonts w:hint="eastAsia" w:ascii="仿宋" w:hAnsi="仿宋" w:eastAsia="仿宋" w:cs="仿宋"/>
          <w:sz w:val="32"/>
          <w:szCs w:val="32"/>
        </w:rPr>
        <w:t>石家庄市藁城区民族宗教事务局</w:t>
      </w:r>
    </w:p>
    <w:p w14:paraId="02587A87">
      <w:pPr>
        <w:snapToGrid w:val="0"/>
        <w:spacing w:line="560" w:lineRule="exact"/>
        <w:ind w:left="630" w:right="640"/>
        <w:jc w:val="center"/>
        <w:rPr>
          <w:rFonts w:ascii="仿宋" w:hAnsi="仿宋" w:eastAsia="仿宋" w:cs="仿宋"/>
          <w:sz w:val="32"/>
          <w:szCs w:val="32"/>
        </w:rPr>
      </w:pPr>
      <w:r>
        <w:rPr>
          <w:rFonts w:hint="eastAsia" w:ascii="仿宋" w:hAnsi="仿宋" w:eastAsia="仿宋" w:cs="仿宋"/>
          <w:sz w:val="32"/>
          <w:szCs w:val="32"/>
        </w:rPr>
        <w:t xml:space="preserve">                              2023年4月19日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932A9">
    <w:r>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path/>
          <v:fill on="f" focussize="0,0"/>
          <v:stroke on="f" joinstyle="miter"/>
          <v:imagedata o:title=""/>
          <o:lock v:ext="edit"/>
          <v:textbox inset="0mm,0mm,0mm,0mm" style="mso-fit-shape-to-text:t;">
            <w:txbxContent>
              <w:p w14:paraId="6DDE755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B55BC8">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EF16A3"/>
    <w:rsid w:val="000D193E"/>
    <w:rsid w:val="000D29F1"/>
    <w:rsid w:val="001132AE"/>
    <w:rsid w:val="001627CF"/>
    <w:rsid w:val="001646B1"/>
    <w:rsid w:val="00176210"/>
    <w:rsid w:val="001D2D4C"/>
    <w:rsid w:val="00383AC5"/>
    <w:rsid w:val="003B412A"/>
    <w:rsid w:val="00432709"/>
    <w:rsid w:val="0043554E"/>
    <w:rsid w:val="00475A0C"/>
    <w:rsid w:val="004919BA"/>
    <w:rsid w:val="00491FCD"/>
    <w:rsid w:val="004E6C05"/>
    <w:rsid w:val="004F6F9F"/>
    <w:rsid w:val="005062AC"/>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76882"/>
    <w:rsid w:val="008C31C3"/>
    <w:rsid w:val="008E0E58"/>
    <w:rsid w:val="00921BE8"/>
    <w:rsid w:val="00941865"/>
    <w:rsid w:val="00966800"/>
    <w:rsid w:val="00986803"/>
    <w:rsid w:val="0099577A"/>
    <w:rsid w:val="009F1522"/>
    <w:rsid w:val="00A06D88"/>
    <w:rsid w:val="00AB70A8"/>
    <w:rsid w:val="00AF5C06"/>
    <w:rsid w:val="00B11CEA"/>
    <w:rsid w:val="00B416CB"/>
    <w:rsid w:val="00B723C7"/>
    <w:rsid w:val="00B8177D"/>
    <w:rsid w:val="00B86365"/>
    <w:rsid w:val="00BE032C"/>
    <w:rsid w:val="00C242EC"/>
    <w:rsid w:val="00CE156F"/>
    <w:rsid w:val="00DD60DF"/>
    <w:rsid w:val="00DE50A2"/>
    <w:rsid w:val="00DF6FF4"/>
    <w:rsid w:val="00E03726"/>
    <w:rsid w:val="00E17D5D"/>
    <w:rsid w:val="00E61BFC"/>
    <w:rsid w:val="00E841B7"/>
    <w:rsid w:val="00ED5E84"/>
    <w:rsid w:val="00EF16A3"/>
    <w:rsid w:val="00F57E52"/>
    <w:rsid w:val="00FB4297"/>
    <w:rsid w:val="00FF4D1A"/>
    <w:rsid w:val="051D4810"/>
    <w:rsid w:val="055B525F"/>
    <w:rsid w:val="13B61930"/>
    <w:rsid w:val="1BAF1154"/>
    <w:rsid w:val="1C655171"/>
    <w:rsid w:val="20276775"/>
    <w:rsid w:val="24843207"/>
    <w:rsid w:val="3AEF6FE7"/>
    <w:rsid w:val="493B718D"/>
    <w:rsid w:val="53A42ADD"/>
    <w:rsid w:val="5C4A315B"/>
    <w:rsid w:val="661D3074"/>
    <w:rsid w:val="6BDE71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rFonts w:asciiTheme="minorHAnsi" w:hAnsiTheme="minorHAnsi" w:eastAsiaTheme="minorEastAsia" w:cstheme="minorBidi"/>
      <w:b/>
      <w:bCs/>
      <w:kern w:val="44"/>
      <w:sz w:val="44"/>
      <w:szCs w:val="44"/>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qFormat/>
    <w:uiPriority w:val="0"/>
    <w:rPr>
      <w:rFonts w:asciiTheme="minorHAnsi" w:hAnsiTheme="minorHAnsi" w:eastAsiaTheme="minorEastAsia" w:cstheme="minorBid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页眉 Char"/>
    <w:basedOn w:val="7"/>
    <w:link w:val="4"/>
    <w:qFormat/>
    <w:uiPriority w:val="99"/>
    <w:rPr>
      <w:sz w:val="18"/>
      <w:szCs w:val="18"/>
    </w:rPr>
  </w:style>
  <w:style w:type="character" w:customStyle="1" w:styleId="9">
    <w:name w:val="页脚 Char"/>
    <w:basedOn w:val="7"/>
    <w:link w:val="3"/>
    <w:qFormat/>
    <w:uiPriority w:val="99"/>
    <w:rPr>
      <w:sz w:val="18"/>
      <w:szCs w:val="18"/>
    </w:rPr>
  </w:style>
  <w:style w:type="character" w:customStyle="1" w:styleId="10">
    <w:name w:val="标题 1 Char"/>
    <w:basedOn w:val="7"/>
    <w:link w:val="2"/>
    <w:uiPriority w:val="0"/>
    <w:rPr>
      <w:rFonts w:asciiTheme="minorHAnsi" w:hAnsiTheme="minorHAnsi" w:eastAsiaTheme="minorEastAsia" w:cstheme="minorBidi"/>
      <w:b/>
      <w:bCs/>
      <w:kern w:val="44"/>
      <w:sz w:val="44"/>
      <w:szCs w:val="44"/>
    </w:rPr>
  </w:style>
  <w:style w:type="paragraph" w:styleId="11">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2550</Words>
  <Characters>2655</Characters>
  <Lines>19</Lines>
  <Paragraphs>5</Paragraphs>
  <TotalTime>402</TotalTime>
  <ScaleCrop>false</ScaleCrop>
  <LinksUpToDate>false</LinksUpToDate>
  <CharactersWithSpaces>2686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2024-09-19T10:58:24Z</dcterms:modified>
  <dc:title>附件2： </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26E2EB0D0A544CD09970CCE3FA279B24_12</vt:lpwstr>
  </property>
</Properties>
</file>