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</w:t>
      </w:r>
      <w:bookmarkStart w:id="0" w:name="_GoBack"/>
      <w:r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  <w:lang w:val="en-US" w:eastAsia="zh-CN"/>
        </w:rPr>
        <w:t>藁城区委网信办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</w:rPr>
        <w:t>部门年度</w:t>
      </w:r>
      <w:r>
        <w:rPr>
          <w:rFonts w:hint="eastAsia" w:ascii="方正小标宋_GBK" w:hAnsi="方正小标宋_GBK" w:eastAsia="方正小标宋_GBK" w:cs="方正小标宋_GBK"/>
          <w:b w:val="0"/>
          <w:bCs w:val="0"/>
          <w:kern w:val="0"/>
          <w:sz w:val="44"/>
          <w:szCs w:val="44"/>
          <w:lang w:eastAsia="zh-CN"/>
        </w:rPr>
        <w:t>整体支出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绩效自评工作报告</w:t>
      </w:r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藁城区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委网信办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为区委正科级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行政机关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，编制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13人，实有人数10人。内设综合股、网络宣传管理股、网络安全和信息化协调股。所属股级事业单位1个：石家庄市藁城区网络舆情中心。</w:t>
      </w:r>
    </w:p>
    <w:tbl>
      <w:tblPr>
        <w:tblStyle w:val="6"/>
        <w:tblpPr w:leftFromText="180" w:rightFromText="180" w:vertAnchor="text" w:horzAnchor="page" w:tblpX="1959" w:tblpY="109"/>
        <w:tblOverlap w:val="never"/>
        <w:tblW w:w="8900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25"/>
        <w:gridCol w:w="2225"/>
        <w:gridCol w:w="2225"/>
        <w:gridCol w:w="222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tblHeader/>
        </w:trPr>
        <w:tc>
          <w:tcPr>
            <w:tcW w:w="2225" w:type="dxa"/>
            <w:vAlign w:val="center"/>
          </w:tcPr>
          <w:p>
            <w:pPr>
              <w:pStyle w:val="11"/>
            </w:pPr>
            <w:r>
              <w:t>单位名称</w:t>
            </w:r>
          </w:p>
        </w:tc>
        <w:tc>
          <w:tcPr>
            <w:tcW w:w="2225" w:type="dxa"/>
            <w:vAlign w:val="center"/>
          </w:tcPr>
          <w:p>
            <w:pPr>
              <w:pStyle w:val="11"/>
            </w:pPr>
            <w:r>
              <w:t>单位性质</w:t>
            </w:r>
          </w:p>
        </w:tc>
        <w:tc>
          <w:tcPr>
            <w:tcW w:w="2225" w:type="dxa"/>
            <w:vAlign w:val="center"/>
          </w:tcPr>
          <w:p>
            <w:pPr>
              <w:pStyle w:val="11"/>
            </w:pPr>
            <w:r>
              <w:t>单位规格</w:t>
            </w:r>
          </w:p>
        </w:tc>
        <w:tc>
          <w:tcPr>
            <w:tcW w:w="2225" w:type="dxa"/>
            <w:vAlign w:val="center"/>
          </w:tcPr>
          <w:p>
            <w:pPr>
              <w:pStyle w:val="11"/>
            </w:pPr>
            <w: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8" w:hRule="atLeast"/>
        </w:trPr>
        <w:tc>
          <w:tcPr>
            <w:tcW w:w="2225" w:type="dxa"/>
            <w:vAlign w:val="center"/>
          </w:tcPr>
          <w:p>
            <w:pPr>
              <w:pStyle w:val="12"/>
            </w:pPr>
            <w:r>
              <w:t>中共石家庄市藁城区委网络安全和信息化委员会办公室本级</w:t>
            </w:r>
          </w:p>
        </w:tc>
        <w:tc>
          <w:tcPr>
            <w:tcW w:w="2225" w:type="dxa"/>
            <w:vAlign w:val="center"/>
          </w:tcPr>
          <w:p>
            <w:pPr>
              <w:pStyle w:val="13"/>
            </w:pPr>
            <w:r>
              <w:t>行政</w:t>
            </w:r>
          </w:p>
        </w:tc>
        <w:tc>
          <w:tcPr>
            <w:tcW w:w="2225" w:type="dxa"/>
            <w:vAlign w:val="center"/>
          </w:tcPr>
          <w:p>
            <w:pPr>
              <w:pStyle w:val="13"/>
            </w:pPr>
            <w:r>
              <w:t>正科级</w:t>
            </w:r>
          </w:p>
        </w:tc>
        <w:tc>
          <w:tcPr>
            <w:tcW w:w="2225" w:type="dxa"/>
            <w:vAlign w:val="center"/>
          </w:tcPr>
          <w:p>
            <w:pPr>
              <w:pStyle w:val="13"/>
            </w:pPr>
            <w:r>
              <w:t>财政拨款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部门基本职责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负责互联网信息内容管理工作，组织协调互联网宣传和舆论引导工作，推动网络阵地和网络文明建设工作，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统筹协调全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网络安全保障体系和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网络综合治理</w:t>
      </w:r>
      <w:r>
        <w:rPr>
          <w:rFonts w:hint="eastAsia" w:ascii="仿宋_GB2312" w:hAnsi="仿宋_GB2312" w:eastAsia="仿宋_GB2312" w:cs="仿宋_GB2312"/>
          <w:sz w:val="32"/>
          <w:szCs w:val="32"/>
        </w:rPr>
        <w:t>体系建设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部门收支预决算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2022年部门年初预算收支安排均为242.09万元，其中项目收支预算均为项目支出93.82万元；2022年部门收支决算均为319.55万元，其中项目收支决算均为162.98万元。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部门整体支出绩效目标指标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2022年，区委网信办负责互联网信息内容、网络舆情信息管理工作，组织协调互联网宣传和舆论引导工作，推动网络阵地和网络文明建设工作，</w:t>
      </w:r>
      <w:r>
        <w:rPr>
          <w:rFonts w:hint="eastAsia" w:ascii="仿宋_GB2312" w:hAnsi="仿宋_GB2312" w:eastAsia="仿宋_GB2312" w:cs="仿宋_GB2312"/>
          <w:sz w:val="32"/>
          <w:szCs w:val="32"/>
        </w:rPr>
        <w:t>统筹协调全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网络安全保障体系和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网络综合治理</w:t>
      </w:r>
      <w:r>
        <w:rPr>
          <w:rFonts w:hint="eastAsia" w:ascii="仿宋_GB2312" w:hAnsi="仿宋_GB2312" w:eastAsia="仿宋_GB2312" w:cs="仿宋_GB2312"/>
          <w:sz w:val="32"/>
          <w:szCs w:val="32"/>
        </w:rPr>
        <w:t>体系建设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完成省市网信办交办的各项工任务，我办申请的12个项目财政预算资金到位率100%，支出率均达到90%以上，所有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项目的预期绩效目标完成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率均在90%以上。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藁城区委网信办高度重视绩效自评工作，成立了由主任为组长、副主任为副组长，相关业务科室科长、财务人员为成员的绩效自评工作小组，通过实地查看、核对账务对2022年项目资金的收入、支出、日常财务管理等项目绩效实施情况作了系统、全面的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为更好地发挥网信办的职能作用，区委网信办2022年申请了12个项目资金共162.98万元，实际执行金额为162.98万元，各项目严格按照财政收支管理规定全部支出专项资金。</w:t>
      </w: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总体绩效目标实现情况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坚持以习近平新时代中国特色社会主义思想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特别是关于网络强国重要思想</w:t>
      </w:r>
      <w:r>
        <w:rPr>
          <w:rFonts w:hint="eastAsia" w:ascii="仿宋_GB2312" w:hAnsi="仿宋_GB2312" w:eastAsia="仿宋_GB2312" w:cs="仿宋_GB2312"/>
          <w:sz w:val="32"/>
          <w:szCs w:val="32"/>
        </w:rPr>
        <w:t>为指导，强力推进我区互联网信息内容建设和管理、网络安全和信息化工作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一方面</w:t>
      </w:r>
      <w:r>
        <w:rPr>
          <w:rFonts w:hint="eastAsia" w:ascii="仿宋_GB2312" w:hAnsi="仿宋_GB2312" w:eastAsia="仿宋_GB2312" w:cs="仿宋_GB2312"/>
          <w:sz w:val="32"/>
          <w:szCs w:val="32"/>
        </w:rPr>
        <w:t>网络宣传管理做到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“三个突出”。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即</w:t>
      </w:r>
      <w:r>
        <w:rPr>
          <w:rFonts w:hint="eastAsia" w:ascii="仿宋_GB2312" w:hAnsi="仿宋_GB2312" w:eastAsia="仿宋_GB2312" w:cs="仿宋_GB2312"/>
          <w:sz w:val="32"/>
          <w:szCs w:val="32"/>
        </w:rPr>
        <w:t>突出重大任务主题宣传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，突出网络文化精品推介，突出网络综合治理建设，强化舆情监测预警。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另一方面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网络安全防护做到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“三个推进”。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推进网络安全检查培训常态化，推进网络安全应急演练精准化，推进态势感知平台服务优质化。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以坚定的政治站位、务实的工作措施，不断提升工作品质、效率、效能，打造网信藁城新形象，</w:t>
      </w:r>
      <w:r>
        <w:rPr>
          <w:rFonts w:ascii="仿宋_GB2312" w:hAnsi="仿宋_GB2312" w:eastAsia="仿宋_GB2312" w:cs="仿宋_GB2312"/>
          <w:color w:val="auto"/>
          <w:sz w:val="32"/>
          <w:szCs w:val="32"/>
        </w:rPr>
        <w:t>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藁城区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“一极四城”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建设和经济社会高质量发展贡献网信力量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分项绩效目标实现情况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(-)网络安全防护能力有效提升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绩效目标: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网络安全工作体制机制逐步完善，网络安全工作责任制进一步落实，网络安全支撑力量不断拓展，网络安全基础工作更加扎实，网络安全防护能力有效提升。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绩效指标: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组织开展网络安全检查，进一步提升我区网络安全管理水平，增强网络安全防护能力。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(二)网络宣传管理效果进一步明显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绩效目标：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定期开展网络文艺作品创作，策划拍摄制作网络文化作品，全面展示我区网上新形象。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绩效指标:</w:t>
      </w: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突出抓好重要时间节点专题宣传。大力开展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网络文明志愿服务活动，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做好网评及舆论引导工作</w:t>
      </w: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（三）网络综合治理体系建设持续推进。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绩效目标：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持续提升网络安全意识，强化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舆情监测能力，推进新媒体建设。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绩效指标：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网络安全检查常态化，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专业化业务培训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长效化。进一步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打造我区新媒体健康发展新格局。</w:t>
      </w:r>
    </w:p>
    <w:p>
      <w:pPr>
        <w:widowControl w:val="0"/>
        <w:numPr>
          <w:ilvl w:val="0"/>
          <w:numId w:val="2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通过2022年绩效自评，2022年年初绩效目标设定质量较高，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绩效目标设定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清晰准确，绩效指标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全面完整、科学合理，绩效标准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比较</w:t>
      </w:r>
      <w:r>
        <w:rPr>
          <w:rFonts w:hint="eastAsia" w:ascii="仿宋_GB2312" w:hAnsi="仿宋_GB2312" w:eastAsia="仿宋_GB2312" w:cs="仿宋_GB2312"/>
          <w:sz w:val="32"/>
          <w:szCs w:val="32"/>
        </w:rPr>
        <w:t>恰当适宜、易于评价</w:t>
      </w:r>
      <w:r>
        <w:rPr>
          <w:rFonts w:hint="eastAsia" w:ascii="仿宋" w:hAnsi="仿宋" w:eastAsia="仿宋"/>
          <w:sz w:val="32"/>
          <w:szCs w:val="32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总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体</w:t>
      </w:r>
      <w:r>
        <w:rPr>
          <w:rFonts w:hint="eastAsia" w:ascii="仿宋_GB2312" w:hAnsi="仿宋_GB2312" w:eastAsia="仿宋_GB2312" w:cs="仿宋_GB2312"/>
          <w:sz w:val="32"/>
          <w:szCs w:val="32"/>
        </w:rPr>
        <w:t>得分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分，综合评价结论和项目综合绩效评价等级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为优秀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我办拟采取以下措施对绩效自评工作加以改进: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一方面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建立健全相关制度，进一步推进我区互联网信息内容、网络舆情舆论引导工作，推动网络阵地和网络文明建设工作，统筹协调全区网络安全保障体系和网络综合治理体系建设。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另一方面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进一步加强预算资金管理，对预算的事前、事中、事后进行全过程控制，加大对预算编制与执行的监督管理力度，提高预算资金使用效率。</w:t>
      </w:r>
    </w:p>
    <w:tbl>
      <w:tblPr>
        <w:tblStyle w:val="7"/>
        <w:tblpPr w:leftFromText="180" w:rightFromText="180" w:vertAnchor="text" w:horzAnchor="page" w:tblpX="2017" w:tblpY="635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335"/>
        <w:gridCol w:w="2025"/>
        <w:gridCol w:w="2730"/>
        <w:gridCol w:w="15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序号</w:t>
            </w:r>
          </w:p>
        </w:tc>
        <w:tc>
          <w:tcPr>
            <w:tcW w:w="13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20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工作单位</w:t>
            </w:r>
          </w:p>
        </w:tc>
        <w:tc>
          <w:tcPr>
            <w:tcW w:w="27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职务</w:t>
            </w:r>
          </w:p>
        </w:tc>
        <w:tc>
          <w:tcPr>
            <w:tcW w:w="15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3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桑晓辉</w:t>
            </w:r>
          </w:p>
        </w:tc>
        <w:tc>
          <w:tcPr>
            <w:tcW w:w="20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区委网信办</w:t>
            </w:r>
          </w:p>
        </w:tc>
        <w:tc>
          <w:tcPr>
            <w:tcW w:w="27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主任</w:t>
            </w:r>
          </w:p>
        </w:tc>
        <w:tc>
          <w:tcPr>
            <w:tcW w:w="15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3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张倩</w:t>
            </w:r>
          </w:p>
        </w:tc>
        <w:tc>
          <w:tcPr>
            <w:tcW w:w="20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区委网信办</w:t>
            </w:r>
          </w:p>
        </w:tc>
        <w:tc>
          <w:tcPr>
            <w:tcW w:w="27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副主任</w:t>
            </w:r>
          </w:p>
        </w:tc>
        <w:tc>
          <w:tcPr>
            <w:tcW w:w="15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3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石嘉</w:t>
            </w:r>
          </w:p>
        </w:tc>
        <w:tc>
          <w:tcPr>
            <w:tcW w:w="20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区委网信办</w:t>
            </w:r>
          </w:p>
        </w:tc>
        <w:tc>
          <w:tcPr>
            <w:tcW w:w="27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网络宣传管理股股长</w:t>
            </w:r>
          </w:p>
        </w:tc>
        <w:tc>
          <w:tcPr>
            <w:tcW w:w="15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3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孙影娜</w:t>
            </w:r>
          </w:p>
        </w:tc>
        <w:tc>
          <w:tcPr>
            <w:tcW w:w="20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区委网信办</w:t>
            </w:r>
          </w:p>
        </w:tc>
        <w:tc>
          <w:tcPr>
            <w:tcW w:w="27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综合股股长</w:t>
            </w:r>
          </w:p>
        </w:tc>
        <w:tc>
          <w:tcPr>
            <w:tcW w:w="15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33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蔡宏苗</w:t>
            </w:r>
          </w:p>
        </w:tc>
        <w:tc>
          <w:tcPr>
            <w:tcW w:w="202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区委网信办</w:t>
            </w:r>
          </w:p>
        </w:tc>
        <w:tc>
          <w:tcPr>
            <w:tcW w:w="27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网络安全和信息化协调股股长</w:t>
            </w:r>
          </w:p>
        </w:tc>
        <w:tc>
          <w:tcPr>
            <w:tcW w:w="15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left="0" w:lef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</w:p>
        </w:tc>
      </w:tr>
    </w:tbl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abstractNum w:abstractNumId="1">
    <w:nsid w:val="02E5A05E"/>
    <w:multiLevelType w:val="singleLevel"/>
    <w:tmpl w:val="02E5A05E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4C1031E5"/>
    <w:multiLevelType w:val="singleLevel"/>
    <w:tmpl w:val="4C1031E5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193E"/>
    <w:rsid w:val="000D29F1"/>
    <w:rsid w:val="00146C8E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6E6787"/>
    <w:rsid w:val="032E7D42"/>
    <w:rsid w:val="051D4810"/>
    <w:rsid w:val="055B525F"/>
    <w:rsid w:val="08E45D2C"/>
    <w:rsid w:val="0941124E"/>
    <w:rsid w:val="0A060F60"/>
    <w:rsid w:val="0C54658C"/>
    <w:rsid w:val="0C8F075F"/>
    <w:rsid w:val="0DD213A5"/>
    <w:rsid w:val="0E7F0D76"/>
    <w:rsid w:val="0F5D35D5"/>
    <w:rsid w:val="1034202A"/>
    <w:rsid w:val="103A04EE"/>
    <w:rsid w:val="13AF603A"/>
    <w:rsid w:val="13B61930"/>
    <w:rsid w:val="14DF3B6B"/>
    <w:rsid w:val="14FF7EE0"/>
    <w:rsid w:val="19DC54A6"/>
    <w:rsid w:val="19E2390D"/>
    <w:rsid w:val="1B3A143C"/>
    <w:rsid w:val="1B534145"/>
    <w:rsid w:val="1BAF1154"/>
    <w:rsid w:val="1C655171"/>
    <w:rsid w:val="200663F7"/>
    <w:rsid w:val="20276775"/>
    <w:rsid w:val="21762826"/>
    <w:rsid w:val="21875E74"/>
    <w:rsid w:val="247A7CE8"/>
    <w:rsid w:val="2876313C"/>
    <w:rsid w:val="28D20339"/>
    <w:rsid w:val="29653F33"/>
    <w:rsid w:val="2A016F3F"/>
    <w:rsid w:val="2ABF7126"/>
    <w:rsid w:val="2AF3316F"/>
    <w:rsid w:val="2BF44EB7"/>
    <w:rsid w:val="2C124911"/>
    <w:rsid w:val="2DC26554"/>
    <w:rsid w:val="2ECB63EA"/>
    <w:rsid w:val="33232A53"/>
    <w:rsid w:val="378A7BF1"/>
    <w:rsid w:val="38235929"/>
    <w:rsid w:val="3A476723"/>
    <w:rsid w:val="3AEF6FE7"/>
    <w:rsid w:val="3E1A0EF4"/>
    <w:rsid w:val="3E1C4F2E"/>
    <w:rsid w:val="3EF47799"/>
    <w:rsid w:val="432C1EBB"/>
    <w:rsid w:val="447F7A28"/>
    <w:rsid w:val="4878424D"/>
    <w:rsid w:val="493B718D"/>
    <w:rsid w:val="4AB23AAC"/>
    <w:rsid w:val="4B4A3B39"/>
    <w:rsid w:val="4BFD2163"/>
    <w:rsid w:val="4C2E6D8A"/>
    <w:rsid w:val="4D9C2E14"/>
    <w:rsid w:val="4E9C5633"/>
    <w:rsid w:val="500B7958"/>
    <w:rsid w:val="53A42ADD"/>
    <w:rsid w:val="550075B3"/>
    <w:rsid w:val="554E5316"/>
    <w:rsid w:val="55B5039C"/>
    <w:rsid w:val="5AAC4BCB"/>
    <w:rsid w:val="5B766E1F"/>
    <w:rsid w:val="5C4A315B"/>
    <w:rsid w:val="5C505911"/>
    <w:rsid w:val="5CFF255C"/>
    <w:rsid w:val="5FC244A5"/>
    <w:rsid w:val="603A5EC3"/>
    <w:rsid w:val="61087292"/>
    <w:rsid w:val="621D3933"/>
    <w:rsid w:val="65CA2E58"/>
    <w:rsid w:val="661D3074"/>
    <w:rsid w:val="6655150B"/>
    <w:rsid w:val="66B31EAD"/>
    <w:rsid w:val="68965855"/>
    <w:rsid w:val="68FE4F86"/>
    <w:rsid w:val="6B3C6C63"/>
    <w:rsid w:val="6BDE7164"/>
    <w:rsid w:val="6C00133F"/>
    <w:rsid w:val="6E3C6079"/>
    <w:rsid w:val="6EDC390C"/>
    <w:rsid w:val="7165305B"/>
    <w:rsid w:val="72856D75"/>
    <w:rsid w:val="735743C3"/>
    <w:rsid w:val="76382810"/>
    <w:rsid w:val="78C019DF"/>
    <w:rsid w:val="7C4A2848"/>
    <w:rsid w:val="7E150A1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customStyle="1" w:styleId="3">
    <w:name w:val="Body Text Indent1"/>
    <w:basedOn w:val="1"/>
    <w:qFormat/>
    <w:uiPriority w:val="0"/>
    <w:pPr>
      <w:spacing w:line="360" w:lineRule="auto"/>
      <w:ind w:firstLine="200" w:firstLineChars="200"/>
      <w:textAlignment w:val="baseline"/>
    </w:pPr>
    <w:rPr>
      <w:rFonts w:ascii="Times New Roman" w:hAnsi="Times New Roman" w:eastAsia="宋体" w:cs="Times New Roman"/>
      <w:sz w:val="21"/>
      <w:szCs w:val="21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paragraph" w:customStyle="1" w:styleId="11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2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3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7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HP</cp:lastModifiedBy>
  <cp:lastPrinted>2023-05-04T06:32:26Z</cp:lastPrinted>
  <dcterms:modified xsi:type="dcterms:W3CDTF">2023-05-04T06:32:59Z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