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spacing w:before="0" w:after="0" w:line="500" w:lineRule="exact"/>
        <w:ind w:firstLine="560"/>
        <w:jc w:val="left"/>
        <w:outlineLvl w:val="9"/>
      </w:pPr>
      <w:r>
        <w:rPr>
          <w:rFonts w:ascii="Times New Roman" w:hAnsi="Times New Roman" w:eastAsia="方正仿宋_GBK" w:cs="Times New Roman"/>
          <w:color w:val="000000"/>
          <w:sz w:val="28"/>
        </w:rPr>
        <w:t>根据《石家庄市藁城区南营镇人民政府职能配置、内设机构和人员编制规定》，石家庄市藁城区南营镇人民政府的主要职责是：</w:t>
      </w:r>
    </w:p>
    <w:p>
      <w:pPr>
        <w:pStyle w:val="9"/>
      </w:pPr>
      <w:r>
        <w:t>部门职责及机构设置情况</w:t>
      </w:r>
    </w:p>
    <w:p>
      <w:pPr>
        <w:pStyle w:val="9"/>
      </w:pPr>
      <w:r>
        <w:t>(一)</w:t>
      </w:r>
      <w:r>
        <w:tab/>
      </w:r>
      <w:r>
        <w:t>政务管理</w:t>
      </w:r>
      <w:r>
        <w:tab/>
      </w:r>
      <w:r>
        <w:t>依法依规履行机关日常管理职责。依法依规履行机关日常管理职责，确保政府工作正常运行。</w:t>
      </w:r>
    </w:p>
    <w:p>
      <w:pPr>
        <w:pStyle w:val="9"/>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pPr>
        <w:pStyle w:val="9"/>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9"/>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9"/>
      </w:pPr>
      <w:r>
        <w:t>(五)</w:t>
      </w:r>
      <w:r>
        <w:tab/>
      </w:r>
      <w:r>
        <w:t>社会救助政策及管理</w:t>
      </w:r>
      <w:r>
        <w:tab/>
      </w:r>
      <w:r>
        <w:t>承担社会救助体系建设，负责农村居民最低生活保障、五保供养、医疗救助。完善农村社会救助制度，实施分类救助，应保尽保,动态管理。</w:t>
      </w:r>
    </w:p>
    <w:p>
      <w:pPr>
        <w:pStyle w:val="9"/>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pPr>
        <w:pStyle w:val="9"/>
      </w:pPr>
      <w:r>
        <w:t>(七)</w:t>
      </w:r>
      <w:r>
        <w:tab/>
      </w:r>
      <w:r>
        <w:t>计生服务</w:t>
      </w:r>
      <w:r>
        <w:tab/>
      </w:r>
      <w:r>
        <w:t>开展计划生育各种知识宣传和咨询服务</w:t>
      </w:r>
      <w:r>
        <w:tab/>
      </w:r>
      <w:r>
        <w:t>以提高育龄群众对计划生育认知能力为目标，开展计划生育各种知识宣传和咨询服务。</w:t>
      </w:r>
    </w:p>
    <w:p>
      <w:pPr>
        <w:pStyle w:val="9"/>
      </w:pPr>
      <w:r>
        <w:t>(八)</w:t>
      </w:r>
      <w:r>
        <w:tab/>
      </w:r>
      <w:r>
        <w:t>预算管理</w:t>
      </w:r>
      <w:r>
        <w:tab/>
      </w:r>
      <w:r>
        <w:t>负责镇财政预算管理与执行保证镇机关正常运转</w:t>
      </w:r>
    </w:p>
    <w:p>
      <w:pPr>
        <w:pStyle w:val="9"/>
      </w:pPr>
      <w:r>
        <w:t>(九)</w:t>
      </w:r>
      <w:r>
        <w:tab/>
      </w:r>
      <w:r>
        <w:t>财务管理</w:t>
      </w:r>
      <w:r>
        <w:tab/>
      </w:r>
      <w:r>
        <w:t>负责镇机关收支活动，组织实施镇财务核算及监督工作</w:t>
      </w:r>
      <w:r>
        <w:tab/>
      </w:r>
      <w:r>
        <w:t>以收定支，合理安排支出，严防出现资金支出不规范现象发生。</w:t>
      </w:r>
    </w:p>
    <w:p>
      <w:pPr>
        <w:pStyle w:val="9"/>
      </w:pPr>
      <w:r>
        <w:t>(十)</w:t>
      </w:r>
      <w:r>
        <w:tab/>
      </w:r>
      <w:r>
        <w:t>村财镇代管</w:t>
      </w:r>
      <w:r>
        <w:tab/>
      </w:r>
      <w:r>
        <w:t>负责村级财务核算及监督工作</w:t>
      </w:r>
      <w:r>
        <w:tab/>
      </w:r>
      <w:r>
        <w:t>对村级财务进行规范化管理，严防支出票据不规范现象发生。</w:t>
      </w:r>
    </w:p>
    <w:p>
      <w:pPr>
        <w:pStyle w:val="9"/>
      </w:pPr>
      <w:r>
        <w:t>(十一)</w:t>
      </w:r>
      <w:r>
        <w:tab/>
      </w:r>
      <w:r>
        <w:t>涉农资金</w:t>
      </w:r>
      <w:r>
        <w:tab/>
      </w:r>
      <w:r>
        <w:t>负责涉农资金的落实，将各项涉农资金兑付落实，监督管理资金的合理有效使用。</w:t>
      </w:r>
    </w:p>
    <w:p>
      <w:pPr>
        <w:pStyle w:val="9"/>
      </w:pPr>
      <w:r>
        <w:t>(十二)</w:t>
      </w:r>
      <w:r>
        <w:tab/>
      </w:r>
      <w:r>
        <w:t>国有资产管理</w:t>
      </w:r>
      <w:r>
        <w:tab/>
      </w:r>
      <w:r>
        <w:t>负责管理镇国有资产，加强国有资产管理，严防国有资产流失</w:t>
      </w:r>
    </w:p>
    <w:p>
      <w:pPr>
        <w:pStyle w:val="9"/>
      </w:pPr>
      <w:r>
        <w:t>(十三)</w:t>
      </w:r>
      <w:r>
        <w:tab/>
      </w:r>
      <w:r>
        <w:t>债权债务管理</w:t>
      </w:r>
      <w:r>
        <w:tab/>
      </w:r>
      <w:r>
        <w:t>实施债权债务监督管理，实施债权债务监督管理，杜绝增加政府债务</w:t>
      </w:r>
    </w:p>
    <w:p>
      <w:pPr>
        <w:pStyle w:val="9"/>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pPr>
        <w:pStyle w:val="9"/>
      </w:pPr>
      <w:r>
        <w:t>(十五)</w:t>
      </w:r>
      <w:r>
        <w:tab/>
      </w:r>
      <w:r>
        <w:t>推动文化发展</w:t>
      </w:r>
      <w:r>
        <w:tab/>
      </w:r>
      <w:r>
        <w:t>运用多种文化艺术手段，开展丰富多彩群众活动。运用多种文化艺术手段，丰富群众文化、提高农民基本素质</w:t>
      </w:r>
    </w:p>
    <w:p>
      <w:pPr>
        <w:pStyle w:val="9"/>
      </w:pPr>
      <w:r>
        <w:t>(十六)</w:t>
      </w:r>
      <w:r>
        <w:tab/>
      </w:r>
      <w:r>
        <w:t>农村管理</w:t>
      </w:r>
      <w:r>
        <w:tab/>
      </w:r>
      <w:r>
        <w:t>对各行政村村容村貌及卫生维护提升，农村卫生长效管理机制</w:t>
      </w:r>
    </w:p>
    <w:p>
      <w:pPr>
        <w:pStyle w:val="9"/>
        <w:sectPr>
          <w:pgSz w:w="11900" w:h="16840"/>
          <w:pgMar w:top="1361" w:right="1020" w:bottom="1361" w:left="1020" w:header="720" w:footer="720" w:gutter="0"/>
          <w:pgNumType w:start="1"/>
          <w:cols w:space="720" w:num="1"/>
        </w:sectPr>
      </w:pPr>
      <w:r>
        <w:t>(十七)</w:t>
      </w:r>
      <w:r>
        <w:tab/>
      </w:r>
      <w:r>
        <w:t>政务管理</w:t>
      </w:r>
      <w:r>
        <w:tab/>
      </w:r>
      <w:r>
        <w:t>加强对社会关注关系民生的社会事管理，抓好土地、环保、安全生产、食品安全、社会环境等的治理</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人民政府成立了绩效评价小组，负责绩效评价的组织管理等工作。</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2、组织开展自评。石家庄市藁城区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人民政府按照要求整理相关数据和资料，对部门综合绩效情况进行自我评价，由绩效评价领导小组牵头，组织机关各科室对20</w:t>
      </w:r>
      <w:r>
        <w:rPr>
          <w:rFonts w:hint="eastAsia" w:ascii="仿宋_GB2312" w:hAnsi="仿宋" w:eastAsia="仿宋_GB2312"/>
          <w:sz w:val="32"/>
          <w:szCs w:val="32"/>
          <w:lang w:val="en-US" w:eastAsia="zh-CN"/>
        </w:rPr>
        <w:t>22</w:t>
      </w:r>
      <w:r>
        <w:rPr>
          <w:rFonts w:hint="eastAsia" w:ascii="仿宋_GB2312" w:hAnsi="仿宋" w:eastAsia="仿宋_GB2312"/>
          <w:sz w:val="32"/>
          <w:szCs w:val="32"/>
        </w:rPr>
        <w:t>年所有与本部门相关的财政支出项目开展了自评，逐个项目填报了《区级部门预算项目自评表》，并撰写《20</w:t>
      </w:r>
      <w:r>
        <w:rPr>
          <w:rFonts w:hint="eastAsia" w:ascii="仿宋_GB2312" w:hAnsi="仿宋" w:eastAsia="仿宋_GB2312"/>
          <w:sz w:val="32"/>
          <w:szCs w:val="32"/>
          <w:lang w:val="en-US" w:eastAsia="zh-CN"/>
        </w:rPr>
        <w:t>22</w:t>
      </w:r>
      <w:r>
        <w:rPr>
          <w:rFonts w:hint="eastAsia" w:ascii="仿宋_GB2312" w:hAnsi="仿宋" w:eastAsia="仿宋_GB2312"/>
          <w:sz w:val="32"/>
          <w:szCs w:val="32"/>
        </w:rPr>
        <w:t>部门年度绩效自评工作报告》。</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3、石家庄市藁城区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按年初预算，我镇20</w:t>
      </w:r>
      <w:r>
        <w:rPr>
          <w:rFonts w:hint="eastAsia" w:ascii="仿宋_GB2312" w:hAnsi="仿宋" w:eastAsia="仿宋_GB2312" w:cs="Times New Roman"/>
          <w:sz w:val="32"/>
          <w:szCs w:val="32"/>
          <w:lang w:val="en-US" w:eastAsia="zh-CN"/>
        </w:rPr>
        <w:t>22</w:t>
      </w:r>
      <w:r>
        <w:rPr>
          <w:rFonts w:hint="eastAsia" w:ascii="仿宋_GB2312" w:hAnsi="仿宋" w:eastAsia="仿宋_GB2312" w:cs="Times New Roman"/>
          <w:sz w:val="32"/>
          <w:szCs w:val="32"/>
        </w:rPr>
        <w:t>年预算项目共</w:t>
      </w:r>
      <w:r>
        <w:rPr>
          <w:rFonts w:hint="eastAsia" w:ascii="仿宋_GB2312" w:hAnsi="仿宋" w:eastAsia="仿宋_GB2312" w:cs="Times New Roman"/>
          <w:sz w:val="32"/>
          <w:szCs w:val="32"/>
          <w:lang w:val="en-US" w:eastAsia="zh-CN"/>
        </w:rPr>
        <w:t>25</w:t>
      </w:r>
      <w:r>
        <w:rPr>
          <w:rFonts w:hint="eastAsia" w:ascii="仿宋_GB2312" w:hAnsi="仿宋" w:eastAsia="仿宋_GB2312" w:cs="Times New Roman"/>
          <w:sz w:val="32"/>
          <w:szCs w:val="32"/>
        </w:rPr>
        <w:t>个，总计经费</w:t>
      </w:r>
      <w:r>
        <w:rPr>
          <w:rFonts w:hint="eastAsia" w:ascii="仿宋_GB2312" w:hAnsi="仿宋" w:eastAsia="仿宋_GB2312" w:cs="Times New Roman"/>
          <w:sz w:val="32"/>
          <w:szCs w:val="32"/>
          <w:lang w:val="en-US" w:eastAsia="zh-CN"/>
        </w:rPr>
        <w:t>1336.515702</w:t>
      </w:r>
      <w:r>
        <w:rPr>
          <w:rFonts w:hint="eastAsia" w:ascii="仿宋_GB2312" w:hAnsi="仿宋" w:eastAsia="仿宋_GB2312" w:cs="Times New Roman"/>
          <w:sz w:val="32"/>
          <w:szCs w:val="32"/>
        </w:rPr>
        <w:t>万元，主要支出明细如下：</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2018年人居环境整治项目资金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1900000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藁梅路第二期拆违资金追加</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654073</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衡井线占地补贴</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63555</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机关运转（综合工作经费）（运转保障）</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廉西大街拆迁搬迁费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4000000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南营镇2022年度学区工会费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158400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南营镇2022年度政府工会费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26900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南营镇藁梅路二期违建拆除资金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96583</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南营镇廉西大街拆违资金追加</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500000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农村独生子女费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40000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农村环境整治经费（综合工作经费）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185000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农村文化建设资金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120000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社会综合治理（综合工作经费）（运转保障）</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530626.02</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预拨廉西大街拆迁资金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1200000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执法队工作经费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120000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执法执纪业务活动（综合工作经费）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205000</w:t>
      </w:r>
      <w:r>
        <w:rPr>
          <w:rFonts w:hint="eastAsia" w:ascii="仿宋_GB2312" w:hAnsi="仿宋" w:eastAsia="仿宋_GB2312" w:cs="Times New Roman"/>
          <w:sz w:val="32"/>
          <w:szCs w:val="32"/>
        </w:rPr>
        <w:tab/>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石财教[2021]123号关于提前下达2022年市县科技创新和科学普及专项资金预算（第二批）的通知（科技特派员工作站）</w:t>
      </w:r>
      <w:r>
        <w:rPr>
          <w:rFonts w:hint="eastAsia" w:ascii="仿宋_GB2312" w:hAnsi="仿宋" w:eastAsia="仿宋_GB2312" w:cs="Times New Roman"/>
          <w:sz w:val="32"/>
          <w:szCs w:val="32"/>
          <w:lang w:val="en-US" w:eastAsia="zh-CN"/>
        </w:rPr>
        <w:t xml:space="preserve"> </w:t>
      </w:r>
      <w:r>
        <w:rPr>
          <w:rFonts w:hint="eastAsia" w:ascii="仿宋_GB2312" w:hAnsi="仿宋" w:eastAsia="仿宋_GB2312" w:cs="Times New Roman"/>
          <w:sz w:val="32"/>
          <w:szCs w:val="32"/>
        </w:rPr>
        <w:t>50000</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拨付原经贸系统关闭企业下放回乡的合同工、副业工涉军人员生活补贴（2022年）</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37620</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页岩砖企业转型升级奖补资金（南营镇）</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3867900</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改厕资金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272400</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南营美丽乡村建设资金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95000</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[13010922X000007983723]石财农[2022]58号2022年中央农村综合改革转移支付预算的通知一事一议项目资金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250000农税科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石财农[2022]13号关于下达2022年省级农村综合改革转移支付资金的通知</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630000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农税科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石财农[2022]58号关于下达2022年中央农村综合改革转移支付预算的通知</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1500000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农税科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石财农【2021】88号关于提前下达2022年中央农村综合改革转移支付预算的通知</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600000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农税科</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zh-CN"/>
        </w:rPr>
        <w:t>南营镇</w:t>
      </w:r>
      <w:r>
        <w:rPr>
          <w:rFonts w:hint="eastAsia" w:ascii="仿宋_GB2312" w:hAnsi="仿宋" w:eastAsia="仿宋_GB2312" w:cs="Times New Roman"/>
          <w:sz w:val="32"/>
          <w:szCs w:val="32"/>
        </w:rPr>
        <w:t>20</w:t>
      </w:r>
      <w:r>
        <w:rPr>
          <w:rFonts w:hint="eastAsia" w:ascii="仿宋_GB2312" w:hAnsi="仿宋" w:eastAsia="仿宋_GB2312" w:cs="Times New Roman"/>
          <w:sz w:val="32"/>
          <w:szCs w:val="32"/>
          <w:lang w:val="en-US" w:eastAsia="zh-CN"/>
        </w:rPr>
        <w:t>22</w:t>
      </w:r>
      <w:r>
        <w:rPr>
          <w:rFonts w:hint="eastAsia" w:ascii="仿宋_GB2312" w:hAnsi="仿宋" w:eastAsia="仿宋_GB2312" w:cs="Times New Roman"/>
          <w:sz w:val="32"/>
          <w:szCs w:val="32"/>
        </w:rPr>
        <w:t>年</w:t>
      </w:r>
      <w:r>
        <w:rPr>
          <w:rFonts w:hint="eastAsia" w:ascii="仿宋_GB2312" w:hAnsi="仿宋" w:eastAsia="仿宋_GB2312" w:cs="Times New Roman"/>
          <w:sz w:val="32"/>
          <w:szCs w:val="32"/>
          <w:lang w:eastAsia="zh-CN"/>
        </w:rPr>
        <w:t>共有学区工会费、政府工会费</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综合工作经费等25</w:t>
      </w:r>
      <w:r>
        <w:rPr>
          <w:rFonts w:hint="eastAsia" w:ascii="仿宋_GB2312" w:hAnsi="仿宋" w:eastAsia="仿宋_GB2312" w:cs="Times New Roman"/>
          <w:sz w:val="32"/>
          <w:szCs w:val="32"/>
        </w:rPr>
        <w:t>个项目</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年初预算金额为</w:t>
      </w:r>
      <w:r>
        <w:rPr>
          <w:rFonts w:hint="eastAsia" w:ascii="仿宋_GB2312" w:hAnsi="仿宋" w:eastAsia="仿宋_GB2312" w:cs="Times New Roman"/>
          <w:sz w:val="32"/>
          <w:szCs w:val="32"/>
          <w:lang w:val="en-US" w:eastAsia="zh-CN"/>
        </w:rPr>
        <w:t>1336.515702</w:t>
      </w:r>
      <w:r>
        <w:rPr>
          <w:rFonts w:hint="eastAsia" w:ascii="仿宋_GB2312" w:hAnsi="仿宋" w:eastAsia="仿宋_GB2312" w:cs="Times New Roman"/>
          <w:sz w:val="32"/>
          <w:szCs w:val="32"/>
        </w:rPr>
        <w:t>万元。</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项目实施单位为</w:t>
      </w:r>
      <w:r>
        <w:rPr>
          <w:rFonts w:hint="eastAsia" w:ascii="仿宋_GB2312" w:hAnsi="仿宋" w:eastAsia="仿宋_GB2312" w:cs="Times New Roman"/>
          <w:sz w:val="32"/>
          <w:szCs w:val="32"/>
          <w:lang w:eastAsia="zh-CN"/>
        </w:rPr>
        <w:t>南营镇</w:t>
      </w:r>
      <w:r>
        <w:rPr>
          <w:rFonts w:hint="eastAsia" w:ascii="仿宋_GB2312" w:hAnsi="仿宋" w:eastAsia="仿宋_GB2312" w:cs="Times New Roman"/>
          <w:sz w:val="32"/>
          <w:szCs w:val="32"/>
        </w:rPr>
        <w:t>人民政府，</w:t>
      </w:r>
      <w:r>
        <w:rPr>
          <w:rFonts w:hint="eastAsia" w:ascii="仿宋_GB2312" w:hAnsi="仿宋" w:eastAsia="仿宋_GB2312" w:cs="Times New Roman"/>
          <w:sz w:val="32"/>
          <w:szCs w:val="32"/>
          <w:lang w:eastAsia="zh-CN"/>
        </w:rPr>
        <w:t>上述</w:t>
      </w:r>
      <w:r>
        <w:rPr>
          <w:rFonts w:hint="eastAsia" w:ascii="仿宋_GB2312" w:hAnsi="仿宋" w:eastAsia="仿宋_GB2312" w:cs="Times New Roman"/>
          <w:sz w:val="32"/>
          <w:szCs w:val="32"/>
        </w:rPr>
        <w:t>项目是</w:t>
      </w:r>
      <w:r>
        <w:rPr>
          <w:rFonts w:hint="eastAsia" w:ascii="仿宋_GB2312" w:hAnsi="仿宋" w:eastAsia="仿宋_GB2312" w:cs="Times New Roman"/>
          <w:sz w:val="32"/>
          <w:szCs w:val="32"/>
          <w:lang w:eastAsia="zh-CN"/>
        </w:rPr>
        <w:t>依据</w:t>
      </w:r>
      <w:bookmarkStart w:id="0" w:name="_GoBack"/>
      <w:bookmarkEnd w:id="0"/>
      <w:r>
        <w:rPr>
          <w:rFonts w:hint="eastAsia" w:ascii="仿宋_GB2312" w:hAnsi="仿宋" w:eastAsia="仿宋_GB2312" w:cs="Times New Roman"/>
          <w:sz w:val="32"/>
          <w:szCs w:val="32"/>
          <w:lang w:eastAsia="zh-CN"/>
        </w:rPr>
        <w:t>区财政“保工资、保运转、保民生”的原则进行设定的。南营镇</w:t>
      </w:r>
      <w:r>
        <w:rPr>
          <w:rFonts w:hint="eastAsia" w:ascii="仿宋_GB2312" w:hAnsi="仿宋" w:eastAsia="仿宋_GB2312" w:cs="Times New Roman"/>
          <w:sz w:val="32"/>
          <w:szCs w:val="32"/>
        </w:rPr>
        <w:t>本着</w:t>
      </w:r>
      <w:r>
        <w:rPr>
          <w:rFonts w:hint="eastAsia" w:ascii="仿宋_GB2312" w:hAnsi="仿宋" w:eastAsia="仿宋_GB2312" w:cs="Times New Roman"/>
          <w:sz w:val="32"/>
          <w:szCs w:val="32"/>
          <w:lang w:eastAsia="zh-CN"/>
        </w:rPr>
        <w:t>强化</w:t>
      </w:r>
      <w:r>
        <w:rPr>
          <w:rFonts w:hint="eastAsia" w:ascii="仿宋_GB2312" w:hAnsi="仿宋" w:eastAsia="仿宋_GB2312" w:cs="Times New Roman"/>
          <w:sz w:val="32"/>
          <w:szCs w:val="32"/>
        </w:rPr>
        <w:t>环境整治</w:t>
      </w:r>
      <w:r>
        <w:rPr>
          <w:rFonts w:hint="eastAsia" w:ascii="仿宋_GB2312" w:hAnsi="仿宋" w:eastAsia="仿宋_GB2312" w:cs="Times New Roman"/>
          <w:sz w:val="32"/>
          <w:szCs w:val="32"/>
          <w:lang w:eastAsia="zh-CN"/>
        </w:rPr>
        <w:t>、促进</w:t>
      </w:r>
      <w:r>
        <w:rPr>
          <w:rFonts w:hint="eastAsia" w:ascii="仿宋_GB2312" w:hAnsi="仿宋" w:eastAsia="仿宋_GB2312" w:cs="Times New Roman"/>
          <w:sz w:val="32"/>
          <w:szCs w:val="32"/>
        </w:rPr>
        <w:t>面貌</w:t>
      </w:r>
      <w:r>
        <w:rPr>
          <w:rFonts w:hint="eastAsia" w:ascii="仿宋_GB2312" w:hAnsi="仿宋" w:eastAsia="仿宋_GB2312" w:cs="Times New Roman"/>
          <w:sz w:val="32"/>
          <w:szCs w:val="32"/>
          <w:lang w:eastAsia="zh-CN"/>
        </w:rPr>
        <w:t>提升</w:t>
      </w:r>
      <w:r>
        <w:rPr>
          <w:rFonts w:hint="eastAsia" w:ascii="仿宋_GB2312" w:hAnsi="仿宋" w:eastAsia="仿宋_GB2312" w:cs="Times New Roman"/>
          <w:sz w:val="32"/>
          <w:szCs w:val="32"/>
        </w:rPr>
        <w:t>、维护信访稳定、防治环境污染、清理违法占地、维护食品安全、保障安全生产等</w:t>
      </w:r>
      <w:r>
        <w:rPr>
          <w:rFonts w:hint="eastAsia" w:ascii="仿宋_GB2312" w:hAnsi="仿宋" w:eastAsia="仿宋_GB2312" w:cs="Times New Roman"/>
          <w:sz w:val="32"/>
          <w:szCs w:val="32"/>
          <w:lang w:eastAsia="zh-CN"/>
        </w:rPr>
        <w:t>工作统筹</w:t>
      </w:r>
      <w:r>
        <w:rPr>
          <w:rFonts w:hint="eastAsia" w:ascii="仿宋_GB2312" w:hAnsi="仿宋" w:eastAsia="仿宋_GB2312" w:cs="Times New Roman"/>
          <w:sz w:val="32"/>
          <w:szCs w:val="32"/>
        </w:rPr>
        <w:t>使用</w:t>
      </w:r>
      <w:r>
        <w:rPr>
          <w:rFonts w:hint="eastAsia" w:ascii="仿宋_GB2312" w:hAnsi="仿宋" w:eastAsia="仿宋_GB2312" w:cs="Times New Roman"/>
          <w:sz w:val="32"/>
          <w:szCs w:val="32"/>
          <w:lang w:eastAsia="zh-CN"/>
        </w:rPr>
        <w:t>项目资金</w:t>
      </w:r>
      <w:r>
        <w:rPr>
          <w:rFonts w:hint="eastAsia" w:ascii="仿宋_GB2312" w:hAnsi="仿宋" w:eastAsia="仿宋_GB2312" w:cs="Times New Roman"/>
          <w:sz w:val="32"/>
          <w:szCs w:val="32"/>
        </w:rPr>
        <w:t>，项目资金来源是财政预算拨款。</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政府信访、环保、土地、食品、安全生产、协税等工作经费及劳务费预期绩效总目标是按</w:t>
      </w:r>
      <w:r>
        <w:rPr>
          <w:rFonts w:hint="eastAsia" w:ascii="仿宋_GB2312" w:hAnsi="仿宋" w:eastAsia="仿宋_GB2312" w:cs="Times New Roman"/>
          <w:sz w:val="32"/>
          <w:szCs w:val="32"/>
          <w:lang w:val="en-US" w:eastAsia="zh-CN"/>
        </w:rPr>
        <w:t>2022年度各项工作任务情况进行设定，经自评，各项任务目标均已达到，</w:t>
      </w:r>
      <w:r>
        <w:rPr>
          <w:rFonts w:hint="eastAsia" w:ascii="仿宋_GB2312" w:hAnsi="仿宋" w:eastAsia="仿宋_GB2312" w:cs="Times New Roman"/>
          <w:sz w:val="32"/>
          <w:szCs w:val="32"/>
        </w:rPr>
        <w:t>资金使用率100%</w:t>
      </w:r>
      <w:r>
        <w:rPr>
          <w:rFonts w:hint="eastAsia" w:ascii="仿宋_GB2312" w:hAnsi="仿宋" w:eastAsia="仿宋_GB2312" w:cs="Times New Roman"/>
          <w:sz w:val="32"/>
          <w:szCs w:val="32"/>
          <w:lang w:eastAsia="zh-CN"/>
        </w:rPr>
        <w:t>，各项目绩效执行情况良好。</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学区工会费、政府工会费能够严格根据预算执行。综合公用经费，涵盖范围交广，涉及内容较多，且信访、环保、土地、食品、安全生产、协税等工作经费及劳务费预算编制主要参考往年支出并结合对下年的预期进行编制，但实际执行过程中因为阶段性重点工作的变化，存在一定偏差。</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改进措施：及时与财政沟通，根据不同情况合理列支支出项目。</w:t>
      </w:r>
    </w:p>
    <w:p>
      <w:pPr>
        <w:spacing w:line="600" w:lineRule="exact"/>
        <w:ind w:firstLine="72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W w:w="8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60"/>
        <w:gridCol w:w="1904"/>
        <w:gridCol w:w="17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6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90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733" w:type="dxa"/>
            <w:vAlign w:val="center"/>
          </w:tcPr>
          <w:p>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赵阳</w:t>
            </w:r>
          </w:p>
        </w:tc>
        <w:tc>
          <w:tcPr>
            <w:tcW w:w="226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  长</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2" w:hRule="atLeast"/>
          <w:jc w:val="center"/>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张永辉</w:t>
            </w:r>
          </w:p>
        </w:tc>
        <w:tc>
          <w:tcPr>
            <w:tcW w:w="226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政法委书记、纪检委书记（代理）</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樊彦涛</w:t>
            </w:r>
          </w:p>
        </w:tc>
        <w:tc>
          <w:tcPr>
            <w:tcW w:w="226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副镇长</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7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党志伟</w:t>
            </w:r>
          </w:p>
        </w:tc>
        <w:tc>
          <w:tcPr>
            <w:tcW w:w="226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904" w:type="dxa"/>
            <w:vAlign w:val="center"/>
          </w:tcPr>
          <w:p>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副镇长</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bl>
    <w:p>
      <w:pPr>
        <w:widowControl w:val="0"/>
        <w:numPr>
          <w:ilvl w:val="0"/>
          <w:numId w:val="0"/>
        </w:numPr>
        <w:wordWrap/>
        <w:adjustRightInd/>
        <w:snapToGrid w:val="0"/>
        <w:spacing w:line="560" w:lineRule="exact"/>
        <w:ind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40CAE115"/>
    <w:multiLevelType w:val="singleLevel"/>
    <w:tmpl w:val="40CAE115"/>
    <w:lvl w:ilvl="0" w:tentative="0">
      <w:start w:val="1"/>
      <w:numFmt w:val="decimal"/>
      <w:lvlText w:val="%1."/>
      <w:lvlJc w:val="left"/>
      <w:pPr>
        <w:ind w:left="425" w:hanging="425"/>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4YzdlMTdhYjZkNGI5ZjEzNzhjZDI3ZGZjMzU2M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13B61930"/>
    <w:rsid w:val="1BAF1154"/>
    <w:rsid w:val="1C655171"/>
    <w:rsid w:val="20276775"/>
    <w:rsid w:val="26CA2B79"/>
    <w:rsid w:val="39BE4798"/>
    <w:rsid w:val="3AEF6FE7"/>
    <w:rsid w:val="464F7E61"/>
    <w:rsid w:val="493B718D"/>
    <w:rsid w:val="4FA639A5"/>
    <w:rsid w:val="53A42ADD"/>
    <w:rsid w:val="55F27FE3"/>
    <w:rsid w:val="5C4A315B"/>
    <w:rsid w:val="5D8C6958"/>
    <w:rsid w:val="661D3074"/>
    <w:rsid w:val="6BDE7164"/>
    <w:rsid w:val="7B7D378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2643</Words>
  <Characters>2935</Characters>
  <Lines>3</Lines>
  <Paragraphs>1</Paragraphs>
  <TotalTime>0</TotalTime>
  <ScaleCrop>false</ScaleCrop>
  <LinksUpToDate>false</LinksUpToDate>
  <CharactersWithSpaces>3024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Fan.tasy</cp:lastModifiedBy>
  <cp:lastPrinted>2023-04-24T08:41:00Z</cp:lastPrinted>
  <dcterms:modified xsi:type="dcterms:W3CDTF">2023-07-18T03:29:14Z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63F81FF4D34D40FE824F2583D0F1314E</vt:lpwstr>
  </property>
</Properties>
</file>