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计生协</w:t>
      </w: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1.部门概况及组织机构:</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宋体" w:hAnsi="宋体"/>
          <w:sz w:val="32"/>
          <w:lang w:val="en-US" w:eastAsia="zh-CN"/>
        </w:rPr>
        <w:t xml:space="preserve"> </w:t>
      </w:r>
      <w:r>
        <w:rPr>
          <w:rFonts w:hint="eastAsia" w:ascii="仿宋" w:hAnsi="仿宋" w:eastAsia="仿宋" w:cs="仿宋"/>
          <w:sz w:val="32"/>
          <w:szCs w:val="32"/>
          <w:lang w:val="en-US" w:eastAsia="zh-CN"/>
        </w:rPr>
        <w:t>藁城区计划生育协会为财政拨款参公群团单位，预算编码为725001，独立核算机构。 财政拨款行政编制9个，在职人员9人，全部财政开支。</w:t>
      </w:r>
    </w:p>
    <w:p>
      <w:pPr>
        <w:snapToGrid w:val="0"/>
        <w:spacing w:line="520" w:lineRule="exact"/>
        <w:ind w:firstLine="640" w:firstLineChars="200"/>
        <w:rPr>
          <w:rFonts w:hint="default" w:ascii="仿宋_GB2312" w:hAnsi="仿宋" w:eastAsia="仿宋_GB2312"/>
          <w:sz w:val="32"/>
          <w:szCs w:val="32"/>
          <w:lang w:val="en-US" w:eastAsia="zh-CN"/>
        </w:rPr>
      </w:pPr>
      <w:r>
        <w:rPr>
          <w:rFonts w:hint="eastAsia" w:ascii="仿宋" w:hAnsi="仿宋" w:eastAsia="仿宋" w:cs="仿宋"/>
          <w:sz w:val="32"/>
          <w:szCs w:val="32"/>
          <w:lang w:val="en-US" w:eastAsia="zh-CN"/>
        </w:rPr>
        <w:t>2.部门基本</w:t>
      </w:r>
      <w:r>
        <w:rPr>
          <w:rFonts w:hint="eastAsia" w:ascii="仿宋_GB2312" w:hAnsi="仿宋" w:eastAsia="仿宋_GB2312"/>
          <w:sz w:val="32"/>
          <w:szCs w:val="32"/>
          <w:lang w:val="en-US" w:eastAsia="zh-CN"/>
        </w:rPr>
        <w:t>职责:</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承担区委、区政府和石家庄市计划生育协会交办的有关事项。</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3.部门整体支出绩效目标指标完成情况：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对辖区内符合条件的计划生育家庭全部覆盖，为计生农村独生子女家庭赠送一份计划生育家庭意外伤害保险，给予计生失独家庭护工保险补贴。实施“天使圆梦”助学活动。实施计划生育特困家庭帮扶制度，对计划生育家庭进行节日活动慰问和亲情关爱，保障和改善民生，促进社会和谐稳定。对育龄群众进行优生优育指导，依法维护群众在计划生育和生殖健康方面的合法权益。全面落实“六项重点任务”。</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部门收支预决算</w:t>
      </w:r>
      <w:r>
        <w:rPr>
          <w:rFonts w:hint="eastAsia" w:ascii="仿宋" w:hAnsi="仿宋" w:eastAsia="仿宋" w:cs="仿宋"/>
          <w:sz w:val="32"/>
          <w:szCs w:val="32"/>
          <w:lang w:val="en-US" w:eastAsia="zh-CN"/>
        </w:rPr>
        <w:t>情况：</w:t>
      </w:r>
    </w:p>
    <w:p>
      <w:pPr>
        <w:pStyle w:val="9"/>
        <w:spacing w:line="360" w:lineRule="auto"/>
        <w:ind w:firstLine="640"/>
        <w:rPr>
          <w:rFonts w:hint="eastAsia" w:ascii="仿宋" w:hAnsi="仿宋" w:eastAsia="仿宋" w:cs="仿宋"/>
          <w:sz w:val="32"/>
          <w:szCs w:val="32"/>
        </w:rPr>
      </w:pPr>
      <w:r>
        <w:rPr>
          <w:rFonts w:hint="default" w:ascii="仿宋" w:hAnsi="仿宋" w:eastAsia="仿宋" w:cs="仿宋"/>
          <w:kern w:val="2"/>
          <w:sz w:val="32"/>
          <w:szCs w:val="32"/>
          <w:lang w:val="en-US" w:eastAsia="zh-CN" w:bidi="ar-SA"/>
        </w:rPr>
        <w:t>202</w:t>
      </w:r>
      <w:r>
        <w:rPr>
          <w:rFonts w:hint="eastAsia" w:ascii="仿宋" w:hAnsi="仿宋" w:eastAsia="仿宋" w:cs="仿宋"/>
          <w:kern w:val="2"/>
          <w:sz w:val="32"/>
          <w:szCs w:val="32"/>
          <w:lang w:val="en-US" w:eastAsia="zh-CN" w:bidi="ar-SA"/>
        </w:rPr>
        <w:t>2年本单位收入年初预算安排为213.14万元，支出为219.035068万，比去年年初预算增加了5.8950687万元，主要原因是职级晋升人员经费增加。</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1.主要做法</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为做好专项施行的跟踪检查工作。我单位定期不定期的对专项资金施行情况和经费使用情况进展跟踪检查，对能实现预期绩效目标的项目予以充分肯定；对进展缓慢，预期绩效目标较差的项目及时调整并提出整改措施，确保每个项目达到预期绩效目标。</w:t>
      </w:r>
    </w:p>
    <w:p>
      <w:pPr>
        <w:widowControl w:val="0"/>
        <w:numPr>
          <w:ilvl w:val="0"/>
          <w:numId w:val="0"/>
        </w:numPr>
        <w:wordWrap/>
        <w:adjustRightInd/>
        <w:snapToGrid w:val="0"/>
        <w:spacing w:line="560" w:lineRule="exact"/>
        <w:ind w:leftChars="0"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2.专项组织实施情况</w:t>
      </w:r>
    </w:p>
    <w:p>
      <w:pPr>
        <w:widowControl w:val="0"/>
        <w:numPr>
          <w:ilvl w:val="0"/>
          <w:numId w:val="0"/>
        </w:numPr>
        <w:wordWrap/>
        <w:adjustRightInd/>
        <w:snapToGrid w:val="0"/>
        <w:spacing w:line="560" w:lineRule="exact"/>
        <w:ind w:leftChars="0"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在区财政局的指导下，2022年我单位所有专项均按照相关管理制度执行，建立了工作有方案，实施有方案，日常有监管的管理机制。六个专项全部按预算实施完成。</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总体绩效目标实现情况：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 完成全区共4002户计生家庭投保意外伤害险.78户特殊家庭计生失独家庭护工保险补贴。“5.29”“7.11”“12.1”等活动日扩大计生宣传，积极为计生困难家庭考入“985”“211”高校的女孩争取支持，2022年为全区10名考入高校的女孩提供每人4000元的助学金及物品。利用重大传统节日开展“暖心活动”对全区78户计生特殊家庭给予慰问和亲情关爱.</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2.分项绩效目标实现情况：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农村独生子女家庭意外伤害保险项目。2022年计生协共为全区4002户0-19周岁的农村计划生育独生子女家庭、失独、孤儿、低保等家庭投保意外伤害保险。以较低的保费，较全较高的保额，最大限度地维护计划生育家庭的利益，增强了计生家庭抵御意外伤害的能力。</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劳务派遣工作人员费用</w:t>
      </w:r>
      <w:r>
        <w:rPr>
          <w:rFonts w:hint="eastAsia" w:ascii="仿宋" w:hAnsi="仿宋" w:eastAsia="仿宋" w:cs="仿宋"/>
          <w:sz w:val="32"/>
          <w:szCs w:val="32"/>
          <w:lang w:val="en-US" w:eastAsia="zh-CN"/>
        </w:rPr>
        <w:t>项目。为了加强计生协队伍建设，提高工作效率，为进一步增强计生协能力建设，通过购买社会服务的形式，通过劳务公司招录相关人员1名。</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 实施计划生育特困家庭帮</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扶制度，对计划生育家庭进行节日慰问和亲情关爱,开展精神慰藉紧急救助等走访活动。保障和改善民生，促进社会和谐稳定。利用重大传统节日开展“暖心活动”2022年对全区78户计生特殊家庭给予慰问和亲情关爱 。</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计生协宣传服务专项经费</w:t>
      </w:r>
      <w:r>
        <w:rPr>
          <w:rFonts w:hint="eastAsia" w:ascii="仿宋" w:hAnsi="仿宋" w:eastAsia="仿宋" w:cs="仿宋"/>
          <w:sz w:val="32"/>
          <w:szCs w:val="32"/>
          <w:lang w:val="en-US" w:eastAsia="zh-CN"/>
        </w:rPr>
        <w:t>项目。</w:t>
      </w:r>
      <w:r>
        <w:rPr>
          <w:rFonts w:hint="default" w:ascii="仿宋" w:hAnsi="仿宋" w:eastAsia="仿宋" w:cs="仿宋"/>
          <w:sz w:val="32"/>
          <w:szCs w:val="32"/>
          <w:lang w:val="en-US" w:eastAsia="zh-CN"/>
        </w:rPr>
        <w:t>为进一步发挥计生协生</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力军的作用，重点开展一系列宣传活动，实施“天使圆梦”助学活动。在“5.29”“7.11”“12.1”等活动日扩大计生宣传，积极为10名计生困难家庭考入“985”“211”高校的女孩争取支持，逐步完善藁城区“天使圆梦”活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项目。实施计划生育特困家庭帮扶制</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度，对计划生育家庭进行节日活动慰问和亲情关爱，2022年对全区78户计生特殊家庭给予慰问和亲情关爱，并对78户特殊家庭投护工保险，保障在住院期间有人陪护，使计划生育家庭在养老、医疗方面的特殊困难得到缓解。</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计生协宣传服务</w:t>
      </w:r>
      <w:r>
        <w:rPr>
          <w:rFonts w:hint="eastAsia" w:ascii="仿宋" w:hAnsi="仿宋" w:eastAsia="仿宋" w:cs="仿宋"/>
          <w:sz w:val="32"/>
          <w:szCs w:val="32"/>
          <w:lang w:val="en-US" w:eastAsia="zh-CN"/>
        </w:rPr>
        <w:t>活动</w:t>
      </w:r>
      <w:r>
        <w:rPr>
          <w:rFonts w:hint="default" w:ascii="仿宋" w:hAnsi="仿宋" w:eastAsia="仿宋" w:cs="仿宋"/>
          <w:sz w:val="32"/>
          <w:szCs w:val="32"/>
          <w:lang w:val="en-US" w:eastAsia="zh-CN"/>
        </w:rPr>
        <w:t>经费</w:t>
      </w:r>
      <w:r>
        <w:rPr>
          <w:rFonts w:hint="eastAsia" w:ascii="仿宋" w:hAnsi="仿宋" w:eastAsia="仿宋" w:cs="仿宋"/>
          <w:sz w:val="32"/>
          <w:szCs w:val="32"/>
          <w:lang w:val="en-US" w:eastAsia="zh-CN"/>
        </w:rPr>
        <w:t>项目。</w:t>
      </w:r>
      <w:r>
        <w:rPr>
          <w:rFonts w:hint="default" w:ascii="仿宋" w:hAnsi="仿宋" w:eastAsia="仿宋" w:cs="仿宋"/>
          <w:sz w:val="32"/>
          <w:szCs w:val="32"/>
          <w:lang w:val="en-US" w:eastAsia="zh-CN"/>
        </w:rPr>
        <w:t>为进一步发挥计生协</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生力军的作用，重点开展一系列宣传活动，实施“天使圆梦”助学活动。在“5.29”“7.11”“12.1”等活动日扩大计生宣传</w:t>
      </w:r>
      <w:r>
        <w:rPr>
          <w:rFonts w:hint="eastAsia" w:ascii="仿宋" w:hAnsi="仿宋" w:eastAsia="仿宋" w:cs="仿宋"/>
          <w:sz w:val="32"/>
          <w:szCs w:val="32"/>
          <w:lang w:val="en-US" w:eastAsia="zh-CN"/>
        </w:rPr>
        <w:t>。</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评价结论和评价等级</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2022年计划生育协会各项项目预算共为41.4936万元，支出41.4936万元，总体支出进度为100%。</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农村独生子女家庭意外伤害保险项目预算9.96万元，支出为9.96万元，支出进度为100%。自评分为96分。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关于招聘劳务派遣工作人员费用</w:t>
      </w:r>
      <w:r>
        <w:rPr>
          <w:rFonts w:hint="eastAsia" w:ascii="仿宋" w:hAnsi="仿宋" w:eastAsia="仿宋" w:cs="仿宋"/>
          <w:sz w:val="32"/>
          <w:szCs w:val="32"/>
          <w:lang w:val="en-US" w:eastAsia="zh-CN"/>
        </w:rPr>
        <w:t>项目预算4.9136万元，支出为4.9136万元，支出进度为100%。自评分为96分。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项目预算8.58万元，支出为8.58万元，支出进度为100%。自评分为96分。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计生协宣传服务专项经费</w:t>
      </w:r>
      <w:r>
        <w:rPr>
          <w:rFonts w:hint="eastAsia" w:ascii="仿宋" w:hAnsi="仿宋" w:eastAsia="仿宋" w:cs="仿宋"/>
          <w:sz w:val="32"/>
          <w:szCs w:val="32"/>
          <w:lang w:val="en-US" w:eastAsia="zh-CN"/>
        </w:rPr>
        <w:t>项目预算8.8万元，支出为8.8万元，支出进度为100%。自评分为96分。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项目预算7.24万元，支出为7.24万元，支出进度为100%。自评分为96分。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计生协宣传服务</w:t>
      </w:r>
      <w:r>
        <w:rPr>
          <w:rFonts w:hint="eastAsia" w:ascii="仿宋" w:hAnsi="仿宋" w:eastAsia="仿宋" w:cs="仿宋"/>
          <w:sz w:val="32"/>
          <w:szCs w:val="32"/>
          <w:lang w:val="en-US" w:eastAsia="zh-CN"/>
        </w:rPr>
        <w:t>活动</w:t>
      </w:r>
      <w:r>
        <w:rPr>
          <w:rFonts w:hint="default" w:ascii="仿宋" w:hAnsi="仿宋" w:eastAsia="仿宋" w:cs="仿宋"/>
          <w:sz w:val="32"/>
          <w:szCs w:val="32"/>
          <w:lang w:val="en-US" w:eastAsia="zh-CN"/>
        </w:rPr>
        <w:t>经费</w:t>
      </w:r>
      <w:r>
        <w:rPr>
          <w:rFonts w:hint="eastAsia" w:ascii="仿宋" w:hAnsi="仿宋" w:eastAsia="仿宋" w:cs="仿宋"/>
          <w:sz w:val="32"/>
          <w:szCs w:val="32"/>
          <w:lang w:val="en-US" w:eastAsia="zh-CN"/>
        </w:rPr>
        <w:t>项目预算2万元，支出为2万元，支出进度为100%。自评分为96分。</w:t>
      </w: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numPr>
          <w:ilvl w:val="0"/>
          <w:numId w:val="0"/>
        </w:numPr>
        <w:spacing w:line="560" w:lineRule="exact"/>
        <w:ind w:leftChars="100" w:firstLine="320" w:firstLineChars="100"/>
        <w:rPr>
          <w:rFonts w:hint="default" w:ascii="新宋体" w:hAnsi="新宋体" w:eastAsia="新宋体" w:cs="新宋体"/>
          <w:b/>
          <w:bCs/>
          <w:sz w:val="32"/>
          <w:lang w:val="en-US" w:eastAsia="zh-CN"/>
        </w:rPr>
      </w:pPr>
      <w:r>
        <w:rPr>
          <w:rFonts w:hint="eastAsia" w:ascii="仿宋" w:hAnsi="仿宋" w:eastAsia="仿宋" w:cs="仿宋"/>
          <w:sz w:val="32"/>
          <w:szCs w:val="32"/>
          <w:lang w:val="en-US" w:eastAsia="zh-CN"/>
        </w:rPr>
        <w:t>1.</w:t>
      </w:r>
      <w:r>
        <w:rPr>
          <w:rFonts w:hint="eastAsia" w:ascii="新宋体" w:hAnsi="新宋体" w:eastAsia="新宋体" w:cs="新宋体"/>
          <w:b/>
          <w:bCs/>
          <w:sz w:val="32"/>
        </w:rPr>
        <w:t>项目存在的主要问题</w:t>
      </w:r>
      <w:r>
        <w:rPr>
          <w:rFonts w:hint="eastAsia" w:ascii="新宋体" w:hAnsi="新宋体" w:eastAsia="新宋体" w:cs="新宋体"/>
          <w:b/>
          <w:bCs/>
          <w:sz w:val="32"/>
          <w:lang w:val="en-US" w:eastAsia="zh-CN"/>
        </w:rPr>
        <w:t>及原因分析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对于绩效评价的认识不够深入，把预算绩效简单等同于工作目标、工作考核和业务管理。绩效目标和指标往往根据项目实际完成情况制定，对项目执行过程有效约束不够，存在一定的偏差。</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问题成因分析：在绩效考评指标的设计上，部分特色指标缺乏数据支持和可行的分析测评，绩效指标体系有待完善。</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仿宋" w:hAnsi="仿宋" w:eastAsia="仿宋" w:cs="仿宋"/>
          <w:sz w:val="32"/>
          <w:szCs w:val="32"/>
          <w:lang w:val="en-US" w:eastAsia="zh-CN"/>
        </w:rPr>
        <w:t>2.</w:t>
      </w:r>
      <w:r>
        <w:rPr>
          <w:rFonts w:hint="eastAsia" w:ascii="黑体" w:hAnsi="黑体" w:eastAsia="黑体" w:cs="黑体"/>
          <w:sz w:val="32"/>
          <w:szCs w:val="32"/>
        </w:rPr>
        <w:t>整改措施</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1）加强项目绩效认识。提高机关及分管人员对绩效管理及预算资金使用效益的认识，把预算资金是否发挥使用效益与各岗位是否履职尽责相结合。</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2）加强预算绩效管理。进一步加强机关预算资金管理，减少预算资金使用的随意性，对预算的事前、事中、事后进行全过程控制，加大对预算编制与执行的监督管理力度，提高预算资金使用效率。</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3）加强项目实施监控。加强对项目实施进度的实时监控， 对项目实施过程中进度异常、实施范围调整等情况及时按照流程报批。</w:t>
      </w:r>
    </w:p>
    <w:p>
      <w:pPr>
        <w:spacing w:line="560" w:lineRule="exact"/>
        <w:ind w:firstLine="643" w:firstLineChars="200"/>
        <w:rPr>
          <w:rFonts w:hint="eastAsia" w:ascii="新宋体" w:hAnsi="新宋体" w:eastAsia="新宋体" w:cs="新宋体"/>
          <w:b/>
          <w:bCs/>
          <w:sz w:val="32"/>
        </w:rPr>
      </w:pPr>
      <w:r>
        <w:rPr>
          <w:rFonts w:hint="eastAsia" w:ascii="新宋体" w:hAnsi="新宋体" w:eastAsia="新宋体" w:cs="新宋体"/>
          <w:b/>
          <w:bCs/>
          <w:sz w:val="32"/>
          <w:lang w:val="en-US" w:eastAsia="zh-CN"/>
        </w:rPr>
        <w:t>3.</w:t>
      </w:r>
      <w:r>
        <w:rPr>
          <w:rFonts w:hint="eastAsia" w:ascii="新宋体" w:hAnsi="新宋体" w:eastAsia="新宋体" w:cs="新宋体"/>
          <w:b/>
          <w:bCs/>
          <w:sz w:val="32"/>
        </w:rPr>
        <w:t>结果应用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绩效自评结果将在政府门户网站上进行公开，接受社会监督。绩效评价结果将通报相关人员督促整改，进一步提高项目绩效。</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W w:w="9056" w:type="dxa"/>
        <w:tblInd w:w="135" w:type="dxa"/>
        <w:tblLayout w:type="fixed"/>
        <w:tblCellMar>
          <w:top w:w="0" w:type="dxa"/>
          <w:left w:w="108" w:type="dxa"/>
          <w:bottom w:w="0" w:type="dxa"/>
          <w:right w:w="108" w:type="dxa"/>
        </w:tblCellMar>
      </w:tblPr>
      <w:tblGrid>
        <w:gridCol w:w="1024"/>
        <w:gridCol w:w="1674"/>
        <w:gridCol w:w="2468"/>
        <w:gridCol w:w="2078"/>
        <w:gridCol w:w="1812"/>
      </w:tblGrid>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序号</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姓名</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工作单位</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签字</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1</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孟庆瑶</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党组书记</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孟庆瑶</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2</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高思思</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常务副会长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高思思</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3</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郭新峰</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郭新峰</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4</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李翠娟</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李翠娟</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5</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高兵霞</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rPr>
              <w:t>财务人员</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高兵霞</w:t>
            </w:r>
            <w:bookmarkStart w:id="0" w:name="_GoBack"/>
            <w:bookmarkEnd w:id="0"/>
          </w:p>
        </w:tc>
      </w:tr>
    </w:tbl>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MWUyMzEwYWQ5ZTA5OWFmMGMyZDllZGVmYzE5M2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1F743BA9"/>
    <w:rsid w:val="20276775"/>
    <w:rsid w:val="318F2D5D"/>
    <w:rsid w:val="35C93EB2"/>
    <w:rsid w:val="3AEF6FE7"/>
    <w:rsid w:val="493B718D"/>
    <w:rsid w:val="4C513678"/>
    <w:rsid w:val="4E255D2C"/>
    <w:rsid w:val="53A42ADD"/>
    <w:rsid w:val="5C4A315B"/>
    <w:rsid w:val="661D3074"/>
    <w:rsid w:val="6BDE7164"/>
    <w:rsid w:val="7D35333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p0"/>
    <w:basedOn w:val="1"/>
    <w:qFormat/>
    <w:uiPriority w:val="0"/>
    <w:pPr>
      <w:widowControl/>
    </w:pPr>
    <w:rPr>
      <w:rFonts w:hint="eastAsia"/>
    </w:rPr>
  </w:style>
  <w:style w:type="paragraph" w:customStyle="1" w:styleId="9">
    <w:name w:val="p15"/>
    <w:basedOn w:val="1"/>
    <w:qFormat/>
    <w:uiPriority w:val="0"/>
    <w:pPr>
      <w:widowControl/>
    </w:pPr>
    <w:rPr>
      <w:rFonts w:hint="eastAsi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2512</Words>
  <Characters>2698</Characters>
  <Lines>3</Lines>
  <Paragraphs>1</Paragraphs>
  <TotalTime>1</TotalTime>
  <ScaleCrop>false</ScaleCrop>
  <LinksUpToDate>false</LinksUpToDate>
  <CharactersWithSpaces>2704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2023-07-18T02:36:49Z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06C2484BB7504B00B3DF1554645EC352_12</vt:lpwstr>
  </property>
</Properties>
</file>