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int="eastAsia" w:hAnsi="宋体" w:asciiTheme="minorEastAsia" w:eastAsiaTheme="minorEastAsia"/>
                      <w:color w:val="FDEFBE"/>
                      <w:sz w:val="96"/>
                      <w:szCs w:val="96"/>
                      <w:lang w:val="en-US" w:eastAsia="zh-CN"/>
                    </w:rPr>
                  </w:pPr>
                  <w:r>
                    <w:rPr>
                      <w:rFonts w:hint="eastAsia" w:hAnsi="宋体" w:asciiTheme="minorEastAsia" w:eastAsiaTheme="minorEastAsia"/>
                      <w:color w:val="FDEFBE"/>
                      <w:sz w:val="96"/>
                      <w:szCs w:val="96"/>
                      <w:lang w:val="en-US" w:eastAsia="zh-CN"/>
                    </w:rPr>
                    <w:t>南孟镇人民政府</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eastAsia="zh-CN"/>
        </w:rPr>
        <w:t>十</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二十九</w:t>
      </w:r>
      <w:r>
        <w:rPr>
          <w:rFonts w:hint="eastAsia" w:ascii="楷体_GB2312" w:hAnsi="楷体" w:eastAsia="楷体_GB2312" w:cs="楷体"/>
          <w:b/>
          <w:sz w:val="40"/>
          <w:szCs w:val="40"/>
        </w:rPr>
        <w:t>日</w:t>
      </w:r>
    </w:p>
    <w:p>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75648;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南孟镇政府</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74624;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257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numPr>
          <w:ilvl w:val="0"/>
          <w:numId w:val="1"/>
        </w:numPr>
        <w:ind w:firstLine="560"/>
        <w:rPr>
          <w:rFonts w:hint="eastAsia"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62336;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部门职责</w:t>
      </w:r>
    </w:p>
    <w:p>
      <w:pPr>
        <w:numPr>
          <w:ilvl w:val="0"/>
          <w:numId w:val="0"/>
        </w:numPr>
        <w:ind w:firstLine="560" w:firstLineChars="200"/>
        <w:rPr>
          <w:rFonts w:ascii="????_GBK" w:eastAsia="Times New Roman" w:cs="Times New Roman"/>
          <w:sz w:val="28"/>
          <w:szCs w:val="28"/>
        </w:rPr>
      </w:pPr>
      <w:r>
        <w:rPr>
          <w:rFonts w:ascii="????_GBK" w:hAnsi="宋体" w:eastAsia="Times New Roman" w:cs="Times New Roman"/>
          <w:sz w:val="28"/>
          <w:szCs w:val="28"/>
        </w:rPr>
        <w:t>一、继续抓好项目建设</w:t>
      </w:r>
    </w:p>
    <w:p>
      <w:pPr>
        <w:ind w:firstLine="560"/>
        <w:rPr>
          <w:rFonts w:ascii="????_GBK" w:eastAsia="Times New Roman" w:cs="Times New Roman"/>
          <w:sz w:val="28"/>
          <w:szCs w:val="28"/>
        </w:rPr>
      </w:pPr>
      <w:r>
        <w:rPr>
          <w:rFonts w:ascii="????_GBK" w:hAnsi="宋体" w:eastAsia="Times New Roman" w:cs="Times New Roman"/>
          <w:sz w:val="28"/>
          <w:szCs w:val="28"/>
        </w:rPr>
        <w:t>二、着力做好调结构转方式</w:t>
      </w:r>
    </w:p>
    <w:p>
      <w:pPr>
        <w:ind w:firstLine="560"/>
        <w:rPr>
          <w:rFonts w:ascii="????_GBK" w:eastAsia="Times New Roman" w:cs="Times New Roman"/>
          <w:sz w:val="28"/>
          <w:szCs w:val="28"/>
        </w:rPr>
      </w:pPr>
      <w:r>
        <w:rPr>
          <w:rFonts w:ascii="????_GBK" w:hAnsi="宋体" w:eastAsia="Times New Roman" w:cs="Times New Roman"/>
          <w:sz w:val="28"/>
          <w:szCs w:val="28"/>
        </w:rPr>
        <w:t>三、全面落实统筹发展</w:t>
      </w:r>
    </w:p>
    <w:p>
      <w:pPr>
        <w:ind w:firstLine="560"/>
        <w:rPr>
          <w:rFonts w:ascii="????_GBK" w:eastAsia="Times New Roman" w:cs="Times New Roman"/>
          <w:sz w:val="28"/>
          <w:szCs w:val="28"/>
        </w:rPr>
      </w:pPr>
      <w:r>
        <w:rPr>
          <w:rFonts w:ascii="????_GBK" w:hAnsi="宋体" w:eastAsia="Times New Roman" w:cs="Times New Roman"/>
          <w:sz w:val="28"/>
          <w:szCs w:val="28"/>
        </w:rPr>
        <w:t>四、治理生态环境</w:t>
      </w:r>
    </w:p>
    <w:p>
      <w:pPr>
        <w:ind w:firstLine="560"/>
        <w:rPr>
          <w:rFonts w:ascii="????_GBK" w:eastAsia="Times New Roman" w:cs="Times New Roman"/>
          <w:sz w:val="28"/>
          <w:szCs w:val="28"/>
        </w:rPr>
      </w:pPr>
      <w:r>
        <w:rPr>
          <w:rFonts w:ascii="????_GBK" w:hAnsi="宋体" w:eastAsia="Times New Roman" w:cs="Times New Roman"/>
          <w:sz w:val="28"/>
          <w:szCs w:val="28"/>
        </w:rPr>
        <w:t>五、优先保障社会民生</w:t>
      </w:r>
    </w:p>
    <w:p>
      <w:pPr>
        <w:pStyle w:val="2"/>
        <w:spacing w:before="0" w:after="0" w:line="600" w:lineRule="exact"/>
        <w:ind w:firstLine="560" w:firstLineChars="200"/>
        <w:jc w:val="left"/>
        <w:rPr>
          <w:rFonts w:ascii="黑体" w:eastAsia="黑体" w:cs="黑体" w:hAnsiTheme="minorHAnsi"/>
          <w:b w:val="0"/>
          <w:bCs w:val="0"/>
          <w:kern w:val="0"/>
          <w:sz w:val="32"/>
          <w:szCs w:val="32"/>
        </w:rPr>
      </w:pPr>
      <w:r>
        <w:rPr>
          <w:rFonts w:ascii="????_GBK" w:hAnsi="宋体" w:eastAsia="Times New Roman" w:cs="Times New Roman"/>
          <w:sz w:val="28"/>
          <w:szCs w:val="28"/>
        </w:rPr>
        <w:t>六、抓好干部队伍建设</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 xml:space="preserve">从决算编报单位构成看，纳入2018 年度本部门决算汇编范围的独立核算单位（以下简称“单位”）共 </w:t>
      </w:r>
      <w:r>
        <w:rPr>
          <w:rFonts w:hint="eastAsia" w:ascii="仿宋_GB2312" w:eastAsia="仿宋_GB2312" w:cs="ArialUnicodeMS" w:hAnsiTheme="minorHAnsi"/>
          <w:kern w:val="0"/>
          <w:sz w:val="32"/>
          <w:szCs w:val="32"/>
          <w:lang w:val="en-US" w:eastAsia="zh-CN"/>
        </w:rPr>
        <w:t>2</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05"/>
        <w:gridCol w:w="212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80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12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805" w:type="dxa"/>
          </w:tcPr>
          <w:p>
            <w:pPr>
              <w:spacing w:after="0" w:line="560" w:lineRule="exact"/>
              <w:rPr>
                <w:rFonts w:ascii="仿宋_GB2312" w:eastAsia="仿宋_GB2312" w:cs="ArialUnicodeMS" w:hAnsiTheme="minorHAnsi"/>
                <w:kern w:val="0"/>
                <w:sz w:val="28"/>
                <w:szCs w:val="28"/>
              </w:rPr>
            </w:pPr>
            <w:r>
              <w:rPr>
                <w:rFonts w:hint="eastAsia" w:ascii="宋体" w:hAnsi="宋体"/>
                <w:sz w:val="24"/>
              </w:rPr>
              <w:t>石家庄市藁城区南孟镇人民政府</w:t>
            </w:r>
          </w:p>
        </w:tc>
        <w:tc>
          <w:tcPr>
            <w:tcW w:w="2125" w:type="dxa"/>
          </w:tcPr>
          <w:p>
            <w:pPr>
              <w:spacing w:after="0" w:line="560" w:lineRule="exact"/>
              <w:jc w:val="center"/>
              <w:rPr>
                <w:rFonts w:hint="eastAsia" w:ascii="仿宋_GB2312" w:eastAsia="宋体" w:cs="ArialUnicodeMS" w:hAnsiTheme="minorHAnsi"/>
                <w:kern w:val="0"/>
                <w:sz w:val="28"/>
                <w:szCs w:val="28"/>
                <w:lang w:eastAsia="zh-CN"/>
              </w:rPr>
            </w:pPr>
            <w:r>
              <w:rPr>
                <w:rFonts w:hint="eastAsia" w:ascii="宋体" w:hAnsi="宋体"/>
                <w:sz w:val="24"/>
              </w:rPr>
              <w:t>行政</w:t>
            </w:r>
            <w:r>
              <w:rPr>
                <w:rFonts w:hint="eastAsia" w:ascii="宋体" w:hAnsi="宋体"/>
                <w:sz w:val="24"/>
                <w:lang w:eastAsia="zh-CN"/>
              </w:rPr>
              <w:t>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宋体" w:hAnsi="宋体"/>
                <w:sz w:val="24"/>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805" w:type="dxa"/>
          </w:tcPr>
          <w:p>
            <w:pPr>
              <w:spacing w:after="0" w:line="560" w:lineRule="exact"/>
              <w:rPr>
                <w:rFonts w:ascii="仿宋_GB2312" w:eastAsia="仿宋_GB2312" w:cs="ArialUnicodeMS" w:hAnsiTheme="minorHAnsi"/>
                <w:kern w:val="0"/>
                <w:sz w:val="28"/>
                <w:szCs w:val="28"/>
              </w:rPr>
            </w:pPr>
            <w:r>
              <w:rPr>
                <w:rFonts w:hint="eastAsia" w:ascii="宋体" w:hAnsi="宋体"/>
                <w:sz w:val="18"/>
              </w:rPr>
              <w:t>石家庄市藁城区南孟镇中心校</w:t>
            </w:r>
          </w:p>
        </w:tc>
        <w:tc>
          <w:tcPr>
            <w:tcW w:w="2125" w:type="dxa"/>
          </w:tcPr>
          <w:p>
            <w:pPr>
              <w:spacing w:after="0" w:line="560" w:lineRule="exact"/>
              <w:jc w:val="center"/>
              <w:rPr>
                <w:rFonts w:hint="eastAsia" w:ascii="仿宋_GB2312" w:eastAsia="宋体" w:cs="ArialUnicodeMS" w:hAnsiTheme="minorHAnsi"/>
                <w:kern w:val="0"/>
                <w:sz w:val="28"/>
                <w:szCs w:val="28"/>
                <w:lang w:eastAsia="zh-CN"/>
              </w:rPr>
            </w:pPr>
            <w:r>
              <w:rPr>
                <w:rFonts w:hint="eastAsia" w:ascii="宋体" w:hAnsi="宋体"/>
                <w:sz w:val="18"/>
                <w:lang w:eastAsia="zh-CN"/>
              </w:rPr>
              <w:t>财政补助</w:t>
            </w:r>
            <w:r>
              <w:rPr>
                <w:rFonts w:hint="eastAsia" w:ascii="宋体" w:hAnsi="宋体"/>
                <w:sz w:val="18"/>
              </w:rPr>
              <w:t>事业</w:t>
            </w:r>
            <w:r>
              <w:rPr>
                <w:rFonts w:hint="eastAsia" w:ascii="宋体" w:hAnsi="宋体"/>
                <w:sz w:val="18"/>
                <w:lang w:eastAsia="zh-CN"/>
              </w:rPr>
              <w:t>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方正书宋_GBK" w:eastAsia="方正书宋_GBK"/>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7.2pt;margin-top:159.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8486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w:t>
      </w:r>
      <w:r>
        <w:rPr>
          <w:rFonts w:hint="eastAsia" w:asciiTheme="majorEastAsia" w:hAnsiTheme="majorEastAsia" w:eastAsiaTheme="majorEastAsia" w:cstheme="majorEastAsia"/>
          <w:sz w:val="32"/>
          <w:szCs w:val="32"/>
          <w:lang w:val="en-US" w:eastAsia="zh-CN"/>
        </w:rPr>
        <w:t>5273.39</w:t>
      </w:r>
      <w:r>
        <w:rPr>
          <w:rFonts w:hint="eastAsia" w:ascii="仿宋_GB2312" w:eastAsia="仿宋_GB2312" w:cs="DengXian-Regular"/>
          <w:sz w:val="32"/>
          <w:szCs w:val="32"/>
        </w:rPr>
        <w:t>万元。与2017年度决算相比，收支各增加</w:t>
      </w:r>
      <w:r>
        <w:rPr>
          <w:rFonts w:hint="eastAsia" w:asciiTheme="majorEastAsia" w:hAnsiTheme="majorEastAsia" w:eastAsiaTheme="majorEastAsia" w:cstheme="majorEastAsia"/>
          <w:sz w:val="32"/>
          <w:szCs w:val="32"/>
          <w:lang w:val="en-US" w:eastAsia="zh-CN"/>
        </w:rPr>
        <w:t>974.59</w:t>
      </w:r>
      <w:r>
        <w:rPr>
          <w:rFonts w:hint="eastAsia" w:ascii="仿宋_GB2312" w:eastAsia="仿宋_GB2312" w:cs="DengXian-Regular"/>
          <w:sz w:val="32"/>
          <w:szCs w:val="32"/>
        </w:rPr>
        <w:t>万元，增长</w:t>
      </w:r>
      <w:r>
        <w:rPr>
          <w:rFonts w:hint="eastAsia" w:asciiTheme="majorEastAsia" w:hAnsiTheme="majorEastAsia" w:eastAsiaTheme="majorEastAsia" w:cstheme="majorEastAsia"/>
          <w:b w:val="0"/>
          <w:bCs w:val="0"/>
          <w:sz w:val="32"/>
          <w:szCs w:val="32"/>
          <w:lang w:val="en-US" w:eastAsia="zh-CN"/>
        </w:rPr>
        <w:t>22.67</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增加工资及人员调入</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5273.39</w:t>
      </w:r>
      <w:r>
        <w:rPr>
          <w:rFonts w:hint="eastAsia" w:ascii="仿宋_GB2312" w:eastAsia="仿宋_GB2312" w:cs="DengXian-Regular"/>
          <w:sz w:val="32"/>
          <w:szCs w:val="32"/>
        </w:rPr>
        <w:t>万元，其中：财政拨款收入</w:t>
      </w:r>
      <w:r>
        <w:rPr>
          <w:rFonts w:hint="eastAsia" w:asciiTheme="majorEastAsia" w:hAnsiTheme="majorEastAsia" w:eastAsiaTheme="majorEastAsia" w:cstheme="majorEastAsia"/>
          <w:sz w:val="32"/>
          <w:szCs w:val="32"/>
          <w:lang w:val="en-US" w:eastAsia="zh-CN"/>
        </w:rPr>
        <w:t>5273.39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672576" behindDoc="0" locked="0" layoutInCell="1" allowOverlap="1">
            <wp:simplePos x="0" y="0"/>
            <wp:positionH relativeFrom="column">
              <wp:posOffset>582295</wp:posOffset>
            </wp:positionH>
            <wp:positionV relativeFrom="paragraph">
              <wp:posOffset>244475</wp:posOffset>
            </wp:positionV>
            <wp:extent cx="4318000" cy="2638425"/>
            <wp:effectExtent l="4445" t="4445" r="20955" b="5080"/>
            <wp:wrapSquare wrapText="bothSides"/>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pict>
          <v:group id="_x0000_s1076" o:spid="_x0000_s1076" o:spt="203" style="position:absolute;left:0pt;margin-left:73.8pt;margin-top:8.3pt;height:247.35pt;width:303.05pt;z-index:251670528;mso-width-relative:page;mso-height-relative:page;" coordorigin="6817,180097" coordsize="5156,324420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9" cropleft="2131f" croptop="1490f" cropright="1218f" cropbottom="5217f" o:title=""/>
              <o:lock v:ext="edit" aspectratio="t"/>
            </v:shape>
            <v:shape id="_x0000_s1077" o:spid="_x0000_s1077" o:spt="202" type="#_x0000_t202" style="position:absolute;left:7658;top:182920;height:421;width:3303;"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adjustRightInd w:val="0"/>
        <w:snapToGrid w:val="0"/>
        <w:spacing w:after="0" w:line="580" w:lineRule="exact"/>
        <w:ind w:firstLine="1920" w:firstLineChars="600"/>
        <w:rPr>
          <w:rFonts w:hint="eastAsia" w:ascii="仿宋_GB2312" w:eastAsia="仿宋_GB2312" w:cs="DengXian-Regular"/>
          <w:sz w:val="32"/>
          <w:szCs w:val="32"/>
          <w:lang w:eastAsia="zh-CN"/>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本部门2018年度本年支出合计</w:t>
      </w:r>
      <w:r>
        <w:rPr>
          <w:rFonts w:hint="eastAsia" w:asciiTheme="majorEastAsia" w:hAnsiTheme="majorEastAsia" w:eastAsiaTheme="majorEastAsia" w:cstheme="majorEastAsia"/>
          <w:sz w:val="32"/>
          <w:szCs w:val="32"/>
          <w:lang w:val="en-US" w:eastAsia="zh-CN"/>
        </w:rPr>
        <w:t>5273.39</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5072.</w:t>
      </w:r>
      <w:r>
        <w:rPr>
          <w:rFonts w:hint="eastAsia" w:asciiTheme="majorEastAsia" w:hAnsiTheme="majorEastAsia" w:eastAsiaTheme="majorEastAsia" w:cstheme="majorEastAsia"/>
          <w:sz w:val="32"/>
          <w:szCs w:val="32"/>
          <w:lang w:val="en-US" w:eastAsia="zh-CN"/>
        </w:rPr>
        <w:t>49</w:t>
      </w:r>
      <w:r>
        <w:rPr>
          <w:rFonts w:hint="eastAsia" w:ascii="仿宋_GB2312" w:eastAsia="仿宋_GB2312" w:cs="DengXian-Regular"/>
          <w:sz w:val="32"/>
          <w:szCs w:val="32"/>
        </w:rPr>
        <w:t>万元，占</w:t>
      </w:r>
      <w:r>
        <w:rPr>
          <w:rFonts w:hint="eastAsia" w:asciiTheme="majorEastAsia" w:hAnsiTheme="majorEastAsia" w:eastAsiaTheme="majorEastAsia" w:cstheme="majorEastAsia"/>
          <w:sz w:val="32"/>
          <w:szCs w:val="32"/>
          <w:lang w:val="en-US" w:eastAsia="zh-CN"/>
        </w:rPr>
        <w:t>96.19</w:t>
      </w:r>
      <w:r>
        <w:rPr>
          <w:rFonts w:hint="eastAsia" w:ascii="仿宋_GB2312" w:eastAsia="仿宋_GB2312" w:cs="DengXian-Regular"/>
          <w:sz w:val="32"/>
          <w:szCs w:val="32"/>
        </w:rPr>
        <w:t>%；项目支出</w:t>
      </w:r>
      <w:r>
        <w:rPr>
          <w:rFonts w:hint="eastAsia" w:asciiTheme="majorEastAsia" w:hAnsiTheme="majorEastAsia" w:eastAsiaTheme="majorEastAsia" w:cstheme="majorEastAsia"/>
          <w:sz w:val="32"/>
          <w:szCs w:val="32"/>
          <w:lang w:val="en-US" w:eastAsia="zh-CN"/>
        </w:rPr>
        <w:t>200.9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3.81</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rPr>
          <w:rFonts w:hint="eastAsia" w:eastAsia="宋体"/>
          <w:lang w:eastAsia="zh-CN"/>
        </w:rPr>
      </w:pPr>
      <w:r>
        <w:rPr>
          <w:rFonts w:hint="eastAsia" w:eastAsia="宋体"/>
          <w:lang w:eastAsia="zh-CN"/>
        </w:rPr>
        <w:drawing>
          <wp:inline distT="0" distB="0" distL="114300" distR="114300">
            <wp:extent cx="5080000" cy="3810000"/>
            <wp:effectExtent l="0" t="0" r="0" b="0"/>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adjustRightInd w:val="0"/>
        <w:snapToGrid w:val="0"/>
        <w:spacing w:after="0" w:line="580" w:lineRule="exact"/>
        <w:ind w:firstLine="1260" w:firstLineChars="600"/>
        <w:rPr>
          <w:rFonts w:ascii="仿宋_GB2312" w:eastAsia="仿宋_GB2312" w:cs="DengXian-Regular"/>
          <w:sz w:val="32"/>
          <w:szCs w:val="32"/>
        </w:rPr>
      </w:pPr>
      <w:r>
        <w:pict>
          <v:group id="_x0000_s1073" o:spid="_x0000_s1073" o:spt="203" style="position:absolute;left:0pt;margin-left:59.55pt;margin-top:6.75pt;height:230.55pt;width:274.45pt;z-index:-251646976;mso-width-relative:page;mso-height-relative:page;" coordorigin="7032,190738" coordsize="4600,360720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74" o:spid="_x0000_s1074"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580" w:lineRule="exact"/>
        <w:ind w:firstLine="2640" w:firstLineChars="600"/>
        <w:rPr>
          <w:sz w:val="44"/>
        </w:rPr>
      </w:pPr>
      <w:r>
        <w:rPr>
          <w:sz w:val="44"/>
        </w:rPr>
        <w:pict>
          <v:group id="_x0000_s1070" o:spid="_x0000_s1070"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580" w:lineRule="exact"/>
        <w:ind w:firstLine="2640" w:firstLineChars="600"/>
        <w:rPr>
          <w:sz w:val="44"/>
        </w:rPr>
      </w:pPr>
    </w:p>
    <w:p>
      <w:pPr>
        <w:adjustRightInd w:val="0"/>
        <w:snapToGrid w:val="0"/>
        <w:spacing w:after="0" w:line="580" w:lineRule="exact"/>
        <w:rPr>
          <w:rFonts w:ascii="黑体" w:eastAsia="黑体"/>
          <w:b w:val="0"/>
          <w:bCs w:val="0"/>
        </w:rPr>
      </w:pPr>
      <w:r>
        <w:rPr>
          <w:rFonts w:hint="eastAsia" w:ascii="黑体" w:eastAsia="黑体"/>
          <w:b w:val="0"/>
          <w:bCs w:val="0"/>
          <w:sz w:val="32"/>
          <w:szCs w:val="32"/>
        </w:rPr>
        <w:t>四、</w:t>
      </w:r>
      <w:r>
        <w:rPr>
          <w:rFonts w:hint="eastAsia" w:ascii="黑体" w:eastAsia="黑体" w:cs="黑体" w:hAnsiTheme="minorHAnsi"/>
          <w:b w:val="0"/>
          <w:bCs w:val="0"/>
          <w:kern w:val="0"/>
          <w:sz w:val="32"/>
          <w:szCs w:val="32"/>
        </w:rPr>
        <w:t>财政</w:t>
      </w:r>
      <w:r>
        <w:rPr>
          <w:rFonts w:hint="eastAsia" w:ascii="黑体" w:eastAsia="黑体"/>
          <w:b w:val="0"/>
          <w:bCs w:val="0"/>
          <w:sz w:val="32"/>
          <w:szCs w:val="32"/>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Theme="majorEastAsia" w:hAnsiTheme="majorEastAsia" w:eastAsiaTheme="majorEastAsia" w:cstheme="majorEastAsia"/>
          <w:sz w:val="32"/>
          <w:szCs w:val="32"/>
          <w:lang w:val="en-US" w:eastAsia="zh-CN"/>
        </w:rPr>
        <w:t>5273.39</w:t>
      </w:r>
      <w:r>
        <w:rPr>
          <w:rFonts w:hint="eastAsia" w:ascii="仿宋_GB2312" w:eastAsia="仿宋_GB2312" w:cs="DengXian-Regular"/>
          <w:sz w:val="32"/>
          <w:szCs w:val="32"/>
        </w:rPr>
        <w:t>万元,比2017年度增加</w:t>
      </w:r>
      <w:r>
        <w:rPr>
          <w:rFonts w:hint="eastAsia" w:asciiTheme="majorEastAsia" w:hAnsiTheme="majorEastAsia" w:eastAsiaTheme="majorEastAsia" w:cstheme="majorEastAsia"/>
          <w:sz w:val="32"/>
          <w:szCs w:val="32"/>
          <w:lang w:val="en-US" w:eastAsia="zh-CN"/>
        </w:rPr>
        <w:t>974.59</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22.67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税收增加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5273.39</w:t>
      </w:r>
      <w:r>
        <w:rPr>
          <w:rFonts w:hint="eastAsia" w:ascii="仿宋_GB2312" w:eastAsia="仿宋_GB2312" w:cs="DengXian-Regular"/>
          <w:sz w:val="32"/>
          <w:szCs w:val="32"/>
        </w:rPr>
        <w:t>万元，增加</w:t>
      </w:r>
      <w:r>
        <w:rPr>
          <w:rFonts w:hint="eastAsia" w:asciiTheme="majorEastAsia" w:hAnsiTheme="majorEastAsia" w:eastAsiaTheme="majorEastAsia" w:cstheme="majorEastAsia"/>
          <w:sz w:val="32"/>
          <w:szCs w:val="32"/>
          <w:lang w:val="en-US" w:eastAsia="zh-CN"/>
        </w:rPr>
        <w:t>974.59</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22.67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人员调入及增加工资</w:t>
      </w:r>
      <w:r>
        <w:rPr>
          <w:rFonts w:hint="eastAsia" w:ascii="仿宋_GB2312" w:eastAsia="仿宋_GB2312" w:cs="DengXian-Regular"/>
          <w:sz w:val="32"/>
          <w:szCs w:val="32"/>
        </w:rPr>
        <w:t>。</w:t>
      </w:r>
    </w:p>
    <w:p>
      <w:pPr>
        <w:adjustRightInd w:val="0"/>
        <w:snapToGrid w:val="0"/>
        <w:spacing w:after="0" w:line="580" w:lineRule="exact"/>
        <w:rPr>
          <w:rFonts w:hint="eastAsia" w:ascii="楷体_GB2312" w:eastAsia="楷体_GB2312" w:cs="DengXian-Bold"/>
          <w:b/>
          <w:bCs/>
          <w:sz w:val="32"/>
          <w:szCs w:val="32"/>
          <w:lang w:eastAsia="zh-CN"/>
        </w:rPr>
      </w:pPr>
    </w:p>
    <w:p>
      <w:pPr>
        <w:adjustRightInd w:val="0"/>
        <w:snapToGrid w:val="0"/>
        <w:spacing w:after="0" w:line="580" w:lineRule="exact"/>
        <w:ind w:firstLine="643" w:firstLineChars="200"/>
        <w:rPr>
          <w:rFonts w:hint="eastAsia" w:ascii="楷体_GB2312" w:eastAsia="楷体_GB2312" w:cs="DengXian-Bold"/>
          <w:b/>
          <w:bCs/>
          <w:sz w:val="32"/>
          <w:szCs w:val="32"/>
        </w:rPr>
      </w:pPr>
    </w:p>
    <w:p>
      <w:pPr>
        <w:adjustRightInd w:val="0"/>
        <w:snapToGrid w:val="0"/>
        <w:spacing w:after="0" w:line="240" w:lineRule="auto"/>
        <w:rPr>
          <w:rFonts w:hint="eastAsia" w:ascii="楷体_GB2312" w:eastAsia="楷体_GB2312" w:cs="DengXian-Bold"/>
          <w:b/>
          <w:bCs/>
          <w:sz w:val="32"/>
          <w:szCs w:val="32"/>
        </w:rPr>
      </w:pPr>
      <w:r>
        <w:drawing>
          <wp:inline distT="0" distB="0" distL="114300" distR="114300">
            <wp:extent cx="5689600" cy="3856355"/>
            <wp:effectExtent l="0" t="0" r="6350" b="1079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1"/>
                    <a:stretch>
                      <a:fillRect/>
                    </a:stretch>
                  </pic:blipFill>
                  <pic:spPr>
                    <a:xfrm>
                      <a:off x="0" y="0"/>
                      <a:ext cx="5689600" cy="3856355"/>
                    </a:xfrm>
                    <a:prstGeom prst="rect">
                      <a:avLst/>
                    </a:prstGeom>
                    <a:noFill/>
                    <a:ln>
                      <a:noFill/>
                    </a:ln>
                  </pic:spPr>
                </pic:pic>
              </a:graphicData>
            </a:graphic>
          </wp:inline>
        </w:drawing>
      </w:r>
    </w:p>
    <w:p>
      <w:pPr>
        <w:adjustRightInd w:val="0"/>
        <w:snapToGrid w:val="0"/>
        <w:spacing w:after="0" w:line="580" w:lineRule="exact"/>
        <w:rPr>
          <w:rFonts w:hint="eastAsia" w:ascii="楷体_GB2312" w:eastAsia="楷体_GB2312" w:cs="DengXian-Bold"/>
          <w:b/>
          <w:bCs/>
          <w:sz w:val="32"/>
          <w:szCs w:val="32"/>
        </w:rPr>
      </w:pPr>
    </w:p>
    <w:p>
      <w:pPr>
        <w:adjustRightInd w:val="0"/>
        <w:snapToGrid w:val="0"/>
        <w:spacing w:after="0" w:line="580" w:lineRule="exact"/>
        <w:ind w:firstLine="420" w:firstLineChars="200"/>
        <w:rPr>
          <w:rFonts w:ascii="仿宋_GB2312" w:eastAsia="仿宋_GB2312" w:cs="DengXian-Bold"/>
          <w:b/>
          <w:bCs/>
          <w:sz w:val="32"/>
          <w:szCs w:val="32"/>
        </w:rPr>
      </w:pPr>
      <w:r>
        <w:pict>
          <v:group id="_x0000_s1064" o:spid="_x0000_s1064" o:spt="203" style="position:absolute;left:0pt;margin-left:51.25pt;margin-top:13.45pt;height:210.05pt;width:331.1pt;z-index:-251629568;mso-width-relative:page;mso-height-relative:page;" coordorigin="6151,199960" coordsize="6345,404820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66"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2" o:title=""/>
              <o:lock v:ext="edit" aspectratio="t"/>
            </v:shape>
            <v:shape id="_x0000_s1065" o:spid="_x0000_s1065" o:spt="202" type="#_x0000_t202" style="position:absolute;left:6151;top:203196;height:812;width:6345;" fillcolor="#FFFFFF" filled="t"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本部门2018年度一般公共预算财政拨款收入</w:t>
      </w:r>
      <w:r>
        <w:rPr>
          <w:rFonts w:hint="eastAsia" w:asciiTheme="majorEastAsia" w:hAnsiTheme="majorEastAsia" w:eastAsiaTheme="majorEastAsia" w:cstheme="majorEastAsia"/>
          <w:sz w:val="32"/>
          <w:szCs w:val="32"/>
          <w:lang w:val="en-US" w:eastAsia="zh-CN"/>
        </w:rPr>
        <w:t>5273.39</w:t>
      </w:r>
      <w:r>
        <w:rPr>
          <w:rFonts w:hint="eastAsia" w:ascii="仿宋_GB2312" w:eastAsia="仿宋_GB2312" w:cs="DengXian-Regular"/>
          <w:sz w:val="32"/>
          <w:szCs w:val="32"/>
        </w:rPr>
        <w:t>万元，完成年初预算的</w:t>
      </w:r>
      <w:r>
        <w:rPr>
          <w:rFonts w:hint="eastAsia" w:asciiTheme="majorEastAsia" w:hAnsiTheme="majorEastAsia" w:eastAsiaTheme="majorEastAsia" w:cstheme="majorEastAsia"/>
          <w:sz w:val="32"/>
          <w:szCs w:val="32"/>
          <w:lang w:val="en-US" w:eastAsia="zh-CN"/>
        </w:rPr>
        <w:t>98.98</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54.18</w:t>
      </w:r>
      <w:r>
        <w:rPr>
          <w:rFonts w:hint="eastAsia" w:ascii="仿宋_GB2312" w:eastAsia="仿宋_GB2312" w:cs="DengXian-Regular"/>
          <w:sz w:val="32"/>
          <w:szCs w:val="32"/>
        </w:rPr>
        <w:t>万元，决算数大小于预算数主要原因是</w:t>
      </w:r>
      <w:r>
        <w:rPr>
          <w:rFonts w:hint="eastAsia" w:ascii="仿宋_GB2312" w:eastAsia="仿宋_GB2312" w:cs="DengXian-Regular"/>
          <w:sz w:val="32"/>
          <w:szCs w:val="32"/>
          <w:lang w:eastAsia="zh-CN"/>
        </w:rPr>
        <w:t>税收减少</w:t>
      </w:r>
      <w:r>
        <w:rPr>
          <w:rFonts w:hint="eastAsia" w:ascii="仿宋_GB2312" w:eastAsia="仿宋_GB2312" w:cs="DengXian-Regular"/>
          <w:sz w:val="32"/>
          <w:szCs w:val="32"/>
        </w:rPr>
        <w:t>；本年支出</w:t>
      </w:r>
      <w:r>
        <w:rPr>
          <w:rFonts w:hint="eastAsia" w:asciiTheme="majorEastAsia" w:hAnsiTheme="majorEastAsia" w:eastAsiaTheme="majorEastAsia" w:cstheme="majorEastAsia"/>
          <w:sz w:val="32"/>
          <w:szCs w:val="32"/>
          <w:lang w:val="en-US" w:eastAsia="zh-CN"/>
        </w:rPr>
        <w:t>5273.39</w:t>
      </w:r>
      <w:r>
        <w:rPr>
          <w:rFonts w:hint="eastAsia" w:ascii="仿宋_GB2312" w:eastAsia="仿宋_GB2312" w:cs="DengXian-Regular"/>
          <w:sz w:val="32"/>
          <w:szCs w:val="32"/>
        </w:rPr>
        <w:t>万元，完成年初预算的</w:t>
      </w:r>
      <w:r>
        <w:rPr>
          <w:rFonts w:hint="eastAsia" w:asciiTheme="majorEastAsia" w:hAnsiTheme="majorEastAsia" w:eastAsiaTheme="majorEastAsia" w:cstheme="majorEastAsia"/>
          <w:sz w:val="32"/>
          <w:szCs w:val="32"/>
          <w:lang w:val="en-US" w:eastAsia="zh-CN"/>
        </w:rPr>
        <w:t>98.98</w:t>
      </w:r>
      <w:r>
        <w:rPr>
          <w:rFonts w:hint="eastAsia" w:ascii="仿宋_GB2312" w:eastAsia="仿宋_GB2312" w:cs="DengXian-Regular"/>
          <w:sz w:val="32"/>
          <w:szCs w:val="32"/>
        </w:rPr>
        <w:t>%,比年初预算</w:t>
      </w:r>
      <w:r>
        <w:rPr>
          <w:rFonts w:hint="eastAsia" w:ascii="仿宋_GB2312" w:eastAsia="仿宋_GB2312" w:cs="DengXian-Regular"/>
          <w:sz w:val="32"/>
          <w:szCs w:val="32"/>
          <w:lang w:val="en-US" w:eastAsia="zh-CN"/>
        </w:rPr>
        <w:t>54.18</w:t>
      </w:r>
      <w:r>
        <w:rPr>
          <w:rFonts w:hint="eastAsia" w:ascii="仿宋_GB2312" w:eastAsia="仿宋_GB2312" w:cs="DengXian-Regular"/>
          <w:sz w:val="32"/>
          <w:szCs w:val="32"/>
        </w:rPr>
        <w:t>万元，决算数小</w:t>
      </w:r>
      <w:r>
        <w:rPr>
          <w:sz w:val="44"/>
        </w:rPr>
        <w:pict>
          <v:group id="_x0000_s1061" o:spid="_x0000_s1061" o:spt="203" style="position:absolute;left:0pt;margin-left:-0.55pt;margin-top:29.3pt;height:43.95pt;width:301.85pt;mso-position-horizontal-relative:page;mso-position-vertical-relative:page;z-index:25167769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En7KztsAAAALAQAADwAAAAAAAAAB&#10;ACAAAAAiAAAAZHJzL2Rvd25yZXYueG1sUEsBAhQAFAAAAAgAh07iQHsbYhEqAwAA7ggAAA4AAAAA&#10;AAAAAQAgAAAAKgEAAGRycy9lMm9Eb2MueG1sUEsFBgAAAAAGAAYAWQEAAMYGAAAAAA==&#10;">
            <o:lock v:ext="edit"/>
            <v:rect id="矩形 13" o:spid="_x0000_s1063" o:spt="1" style="position:absolute;left:4551;top:52615;height:1175;width:8546;v-text-anchor:middle;" fillcolor="#D9D9D9"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62" o:spt="1" style="position:absolute;left:4577;top:52890;height:1123;width:832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于预算数主要原因是</w:t>
      </w:r>
      <w:r>
        <w:rPr>
          <w:rFonts w:hint="eastAsia" w:ascii="仿宋_GB2312" w:eastAsia="仿宋_GB2312" w:cs="DengXian-Regular"/>
          <w:sz w:val="32"/>
          <w:szCs w:val="32"/>
          <w:lang w:eastAsia="zh-CN"/>
        </w:rPr>
        <w:t>压缩日常公用支出</w:t>
      </w:r>
      <w:r>
        <w:rPr>
          <w:rFonts w:hint="eastAsia" w:ascii="仿宋_GB2312" w:eastAsia="仿宋_GB2312" w:cs="DengXian-Regular"/>
          <w:sz w:val="32"/>
          <w:szCs w:val="32"/>
        </w:rPr>
        <w:t>。</w:t>
      </w:r>
    </w:p>
    <w:p>
      <w:pPr>
        <w:adjustRightInd w:val="0"/>
        <w:snapToGrid w:val="0"/>
        <w:spacing w:after="0" w:line="240" w:lineRule="auto"/>
        <w:ind w:firstLine="643" w:firstLineChars="200"/>
        <w:rPr>
          <w:rFonts w:hint="eastAsia" w:ascii="楷体_GB2312" w:eastAsia="楷体_GB2312" w:cs="DengXian-Bold"/>
          <w:b/>
          <w:bCs/>
          <w:sz w:val="32"/>
          <w:szCs w:val="32"/>
          <w:lang w:eastAsia="zh-CN"/>
        </w:rPr>
      </w:pPr>
      <w:r>
        <w:rPr>
          <w:rFonts w:hint="eastAsia" w:ascii="楷体_GB2312" w:eastAsia="楷体_GB2312" w:cs="DengXian-Bold"/>
          <w:b/>
          <w:bCs/>
          <w:sz w:val="32"/>
          <w:szCs w:val="32"/>
          <w:lang w:eastAsia="zh-CN"/>
        </w:rPr>
        <w:drawing>
          <wp:inline distT="0" distB="0" distL="114300" distR="114300">
            <wp:extent cx="5095875" cy="3819525"/>
            <wp:effectExtent l="0" t="0" r="9525" b="9525"/>
            <wp:docPr id="15" name="图片 15" descr="图片1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图片1333"/>
                    <pic:cNvPicPr>
                      <a:picLocks noChangeAspect="1"/>
                    </pic:cNvPicPr>
                  </pic:nvPicPr>
                  <pic:blipFill>
                    <a:blip r:embed="rId13"/>
                    <a:stretch>
                      <a:fillRect/>
                    </a:stretch>
                  </pic:blipFill>
                  <pic:spPr>
                    <a:xfrm>
                      <a:off x="0" y="0"/>
                      <a:ext cx="5095875" cy="3819525"/>
                    </a:xfrm>
                    <a:prstGeom prst="rect">
                      <a:avLst/>
                    </a:prstGeom>
                  </pic:spPr>
                </pic:pic>
              </a:graphicData>
            </a:graphic>
          </wp:inline>
        </w:drawing>
      </w:r>
    </w:p>
    <w:p>
      <w:pPr>
        <w:adjustRightInd w:val="0"/>
        <w:snapToGrid w:val="0"/>
        <w:spacing w:after="0" w:line="580" w:lineRule="exact"/>
        <w:ind w:firstLine="643" w:firstLineChars="200"/>
        <w:rPr>
          <w:rFonts w:hint="eastAsia" w:ascii="楷体_GB2312" w:eastAsia="楷体_GB2312" w:cs="DengXian-Bold"/>
          <w:b/>
          <w:bCs/>
          <w:sz w:val="32"/>
          <w:szCs w:val="32"/>
          <w:lang w:eastAsia="zh-CN"/>
        </w:rPr>
      </w:pPr>
    </w:p>
    <w:p>
      <w:pPr>
        <w:adjustRightInd w:val="0"/>
        <w:snapToGrid w:val="0"/>
        <w:spacing w:after="0" w:line="580" w:lineRule="exact"/>
        <w:ind w:firstLine="210" w:firstLineChars="100"/>
        <w:rPr>
          <w:rFonts w:ascii="楷体_GB2312" w:eastAsia="楷体_GB2312" w:cs="DengXian-Bold"/>
          <w:b/>
          <w:bCs/>
          <w:sz w:val="32"/>
          <w:szCs w:val="32"/>
        </w:rPr>
      </w:pPr>
      <w:r>
        <w:pict>
          <v:group id="_x0000_s1058" o:spid="_x0000_s1058" o:spt="203" style="position:absolute;left:0pt;margin-left:45.95pt;margin-top:0.4pt;height:208.2pt;width:343.1pt;z-index:-251628544;mso-width-relative:page;mso-height-relative:page;" coordorigin="5233,225704" coordsize="6344,385020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60"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4" o:title=""/>
              <o:lock v:ext="edit" aspectratio="t"/>
            </v:shape>
            <v:shape id="文本框 28" o:spid="_x0000_s1059"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r>
        <w:rPr>
          <w:rFonts w:hint="eastAsia" w:ascii="楷体_GB2312" w:eastAsia="楷体_GB2312" w:cs="DengXian-Bold"/>
          <w:b/>
          <w:bCs/>
          <w:sz w:val="32"/>
          <w:szCs w:val="32"/>
          <w:lang w:eastAsia="zh-CN"/>
        </w:rPr>
        <w:t>（三）</w:t>
      </w: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Theme="majorEastAsia" w:hAnsiTheme="majorEastAsia" w:eastAsiaTheme="majorEastAsia" w:cstheme="majorEastAsia"/>
          <w:sz w:val="32"/>
          <w:szCs w:val="32"/>
          <w:lang w:val="en-US" w:eastAsia="zh-CN"/>
        </w:rPr>
        <w:t>5273.39</w:t>
      </w:r>
      <w:r>
        <w:rPr>
          <w:rFonts w:hint="eastAsia" w:ascii="仿宋_GB2312" w:eastAsia="仿宋_GB2312" w:cs="DengXian-Regular"/>
          <w:sz w:val="32"/>
          <w:szCs w:val="32"/>
        </w:rPr>
        <w:t>万元，主要用于以下方面一般公共服务（类）支出</w:t>
      </w:r>
      <w:r>
        <w:rPr>
          <w:rFonts w:hint="eastAsia" w:asciiTheme="majorEastAsia" w:hAnsiTheme="majorEastAsia" w:eastAsiaTheme="majorEastAsia" w:cstheme="majorEastAsia"/>
          <w:sz w:val="32"/>
          <w:szCs w:val="32"/>
          <w:lang w:val="en-US" w:eastAsia="zh-CN"/>
        </w:rPr>
        <w:t>879.81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16.68</w:t>
      </w:r>
      <w:r>
        <w:rPr>
          <w:rFonts w:hint="eastAsia" w:ascii="仿宋_GB2312" w:eastAsia="仿宋_GB2312" w:cs="DengXian-Regular"/>
          <w:sz w:val="32"/>
          <w:szCs w:val="32"/>
        </w:rPr>
        <w:t>%；教育（类）支出</w:t>
      </w:r>
      <w:r>
        <w:rPr>
          <w:rFonts w:hint="eastAsia" w:ascii="仿宋_GB2312" w:eastAsia="仿宋_GB2312" w:cs="DengXian-Regular"/>
          <w:sz w:val="32"/>
          <w:szCs w:val="32"/>
          <w:lang w:val="en-US" w:eastAsia="zh-CN"/>
        </w:rPr>
        <w:t>3567.02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67.65</w:t>
      </w:r>
      <w:r>
        <w:rPr>
          <w:rFonts w:hint="eastAsia" w:ascii="仿宋_GB2312" w:eastAsia="仿宋_GB2312" w:cs="DengXian-Regular"/>
          <w:sz w:val="32"/>
          <w:szCs w:val="32"/>
        </w:rPr>
        <w:t xml:space="preserve">%；社会保障和就业（类）支出 </w:t>
      </w:r>
      <w:r>
        <w:rPr>
          <w:rFonts w:hint="eastAsia" w:ascii="仿宋_GB2312" w:eastAsia="仿宋_GB2312" w:cs="DengXian-Regular"/>
          <w:sz w:val="32"/>
          <w:szCs w:val="32"/>
          <w:lang w:val="en-US" w:eastAsia="zh-CN"/>
        </w:rPr>
        <w:t>674.31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12.78</w:t>
      </w:r>
      <w:r>
        <w:rPr>
          <w:rFonts w:hint="eastAsia" w:ascii="仿宋_GB2312" w:eastAsia="仿宋_GB2312" w:cs="DengXian-Regular"/>
          <w:sz w:val="32"/>
          <w:szCs w:val="32"/>
        </w:rPr>
        <w:t>%；</w:t>
      </w:r>
      <w:r>
        <w:rPr>
          <w:rFonts w:hint="eastAsia" w:ascii="仿宋_GB2312" w:eastAsia="仿宋_GB2312" w:cs="DengXian-Regular"/>
          <w:sz w:val="32"/>
          <w:szCs w:val="32"/>
          <w:lang w:eastAsia="zh-CN"/>
        </w:rPr>
        <w:t>城乡社区支出</w:t>
      </w:r>
      <w:r>
        <w:rPr>
          <w:rFonts w:hint="eastAsia" w:ascii="仿宋_GB2312" w:eastAsia="仿宋_GB2312" w:cs="DengXian-Regular"/>
          <w:sz w:val="32"/>
          <w:szCs w:val="32"/>
          <w:lang w:val="en-US" w:eastAsia="zh-CN"/>
        </w:rPr>
        <w:t>51.14万元，占</w:t>
      </w:r>
      <w:r>
        <w:rPr>
          <w:rFonts w:hint="eastAsia" w:asciiTheme="majorEastAsia" w:hAnsiTheme="majorEastAsia" w:eastAsiaTheme="majorEastAsia" w:cstheme="majorEastAsia"/>
          <w:sz w:val="32"/>
          <w:szCs w:val="32"/>
          <w:lang w:val="en-US" w:eastAsia="zh-CN"/>
        </w:rPr>
        <w:t>0.96</w:t>
      </w:r>
      <w:r>
        <w:rPr>
          <w:rFonts w:hint="eastAsia" w:ascii="仿宋_GB2312" w:eastAsia="仿宋_GB2312" w:cs="DengXian-Regular"/>
          <w:sz w:val="32"/>
          <w:szCs w:val="32"/>
          <w:lang w:val="en-US" w:eastAsia="zh-CN"/>
        </w:rPr>
        <w:t>%；农林水支出20万元，占0.38%；</w:t>
      </w:r>
      <w:r>
        <w:rPr>
          <w:rFonts w:hint="eastAsia" w:ascii="仿宋_GB2312" w:eastAsia="仿宋_GB2312" w:cs="DengXian-Regular"/>
          <w:sz w:val="32"/>
          <w:szCs w:val="32"/>
          <w:lang w:eastAsia="zh-CN"/>
        </w:rPr>
        <w:t>国土海洋气象等支出</w:t>
      </w:r>
      <w:r>
        <w:rPr>
          <w:rFonts w:hint="eastAsia" w:ascii="仿宋_GB2312" w:eastAsia="仿宋_GB2312" w:cs="DengXian-Regular"/>
          <w:sz w:val="32"/>
          <w:szCs w:val="32"/>
          <w:lang w:val="en-US" w:eastAsia="zh-CN"/>
        </w:rPr>
        <w:t>81.11万元占1.55%</w:t>
      </w:r>
      <w:r>
        <w:rPr>
          <w:rFonts w:hint="eastAsia" w:ascii="仿宋_GB2312" w:eastAsia="仿宋_GB2312" w:cs="DengXian-Regular"/>
          <w:sz w:val="32"/>
          <w:szCs w:val="32"/>
        </w:rPr>
        <w:t>。</w:t>
      </w:r>
    </w:p>
    <w:p>
      <w:pPr>
        <w:adjustRightInd w:val="0"/>
        <w:snapToGrid w:val="0"/>
        <w:spacing w:after="0" w:line="240" w:lineRule="auto"/>
        <w:rPr>
          <w:rFonts w:hint="eastAsia"/>
          <w:lang w:val="en-US" w:eastAsia="zh-CN"/>
        </w:rPr>
      </w:pPr>
      <w:r>
        <w:pict>
          <v:group id="_x0000_s1055" o:spid="_x0000_s1055" o:spt="203" style="position:absolute;left:0pt;margin-left:86.35pt;margin-top:15.9pt;height:195.05pt;width:296.35pt;z-index:-251630592;mso-width-relative:page;mso-height-relative:page;" coordorigin="6921,180284" coordsize="5331,3886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56" o:spid="_x0000_s105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r>
        <w:rPr>
          <w:sz w:val="44"/>
        </w:rPr>
        <w:pict>
          <v:group id="_x0000_s1052" o:spid="_x0000_s1052" o:spt="203" style="position:absolute;left:0pt;margin-left:-0.55pt;margin-top:29.3pt;height:43.95pt;width:301.85pt;mso-position-horizontal-relative:page;mso-position-vertical-relative:page;z-index:25167872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lang w:val="en-US" w:eastAsia="zh-CN"/>
        </w:rPr>
        <w:t xml:space="preserve">  </w:t>
      </w:r>
      <w:r>
        <w:rPr>
          <w:rFonts w:hint="eastAsia"/>
          <w:lang w:val="en-US" w:eastAsia="zh-CN"/>
        </w:rPr>
        <w:drawing>
          <wp:inline distT="0" distB="0" distL="114300" distR="114300">
            <wp:extent cx="5004435" cy="3538855"/>
            <wp:effectExtent l="0" t="0" r="5715" b="4445"/>
            <wp:docPr id="18" name="图片 18" descr="图片1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片1999"/>
                    <pic:cNvPicPr>
                      <a:picLocks noChangeAspect="1"/>
                    </pic:cNvPicPr>
                  </pic:nvPicPr>
                  <pic:blipFill>
                    <a:blip r:embed="rId15"/>
                    <a:stretch>
                      <a:fillRect/>
                    </a:stretch>
                  </pic:blipFill>
                  <pic:spPr>
                    <a:xfrm>
                      <a:off x="0" y="0"/>
                      <a:ext cx="5004435" cy="3538855"/>
                    </a:xfrm>
                    <a:prstGeom prst="rect">
                      <a:avLst/>
                    </a:prstGeom>
                  </pic:spPr>
                </pic:pic>
              </a:graphicData>
            </a:graphic>
          </wp:inline>
        </w:drawing>
      </w:r>
    </w:p>
    <w:p>
      <w:pPr>
        <w:adjustRightInd w:val="0"/>
        <w:snapToGrid w:val="0"/>
        <w:spacing w:after="0" w:line="580" w:lineRule="exact"/>
        <w:rPr>
          <w:rFonts w:hint="eastAsia"/>
          <w:lang w:val="en-US" w:eastAsia="zh-CN"/>
        </w:rPr>
      </w:pPr>
    </w:p>
    <w:p>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Theme="majorEastAsia" w:hAnsiTheme="majorEastAsia" w:eastAsiaTheme="majorEastAsia" w:cstheme="majorEastAsia"/>
          <w:sz w:val="32"/>
          <w:szCs w:val="32"/>
          <w:lang w:val="en-US" w:eastAsia="zh-CN"/>
        </w:rPr>
        <w:t>5072.49</w:t>
      </w:r>
      <w:r>
        <w:rPr>
          <w:rFonts w:hint="eastAsia" w:ascii="仿宋_GB2312" w:eastAsia="仿宋_GB2312" w:cs="DengXian-Regular"/>
          <w:sz w:val="32"/>
          <w:szCs w:val="32"/>
        </w:rPr>
        <w:t>万元，其中：人员经费</w:t>
      </w:r>
      <w:r>
        <w:rPr>
          <w:rFonts w:hint="eastAsia" w:asciiTheme="majorEastAsia" w:hAnsiTheme="majorEastAsia" w:eastAsiaTheme="majorEastAsia" w:cstheme="majorEastAsia"/>
          <w:sz w:val="32"/>
          <w:szCs w:val="32"/>
          <w:lang w:val="en-US" w:eastAsia="zh-CN"/>
        </w:rPr>
        <w:t>4965.53</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Theme="majorEastAsia" w:hAnsiTheme="majorEastAsia" w:eastAsiaTheme="majorEastAsia" w:cstheme="majorEastAsia"/>
          <w:sz w:val="32"/>
          <w:szCs w:val="32"/>
        </w:rPr>
        <w:t xml:space="preserve"> </w:t>
      </w:r>
      <w:r>
        <w:rPr>
          <w:rFonts w:hint="eastAsia" w:asciiTheme="majorEastAsia" w:hAnsiTheme="majorEastAsia" w:eastAsiaTheme="majorEastAsia" w:cstheme="majorEastAsia"/>
          <w:sz w:val="32"/>
          <w:szCs w:val="32"/>
          <w:lang w:val="en-US" w:eastAsia="zh-CN"/>
        </w:rPr>
        <w:t>106.96</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w:t>
      </w:r>
      <w:r>
        <w:rPr>
          <w:rFonts w:hint="eastAsia" w:ascii="仿宋_GB2312" w:eastAsia="仿宋_GB2312" w:cs="DengXian-Regular"/>
          <w:b/>
          <w:bCs/>
          <w:sz w:val="32"/>
          <w:szCs w:val="32"/>
          <w:lang w:val="en-US" w:eastAsia="zh-CN"/>
        </w:rPr>
        <w:t>1.8</w:t>
      </w:r>
      <w:r>
        <w:rPr>
          <w:rFonts w:hint="eastAsia" w:ascii="仿宋_GB2312" w:eastAsia="仿宋_GB2312" w:cs="DengXian-Regular"/>
          <w:b/>
          <w:bCs/>
          <w:sz w:val="32"/>
          <w:szCs w:val="32"/>
        </w:rPr>
        <w:t>万元</w:t>
      </w:r>
      <w:r>
        <w:rPr>
          <w:rFonts w:hint="eastAsia" w:ascii="仿宋_GB2312" w:eastAsia="仿宋_GB2312" w:cs="DengXian-Regular"/>
          <w:b/>
          <w:bCs/>
          <w:sz w:val="32"/>
          <w:szCs w:val="32"/>
          <w:lang w:eastAsia="zh-CN"/>
        </w:rPr>
        <w:t>，</w:t>
      </w:r>
      <w:r>
        <w:rPr>
          <w:rFonts w:hint="eastAsia" w:ascii="仿宋_GB2312" w:eastAsia="仿宋_GB2312" w:cs="DengXian-Regular"/>
          <w:b/>
          <w:bCs/>
          <w:sz w:val="32"/>
          <w:szCs w:val="32"/>
        </w:rPr>
        <w:t>降低</w:t>
      </w:r>
      <w:r>
        <w:rPr>
          <w:rFonts w:hint="eastAsia" w:ascii="仿宋_GB2312" w:eastAsia="仿宋_GB2312" w:cs="DengXian-Regular"/>
          <w:b/>
          <w:bCs/>
          <w:sz w:val="32"/>
          <w:szCs w:val="32"/>
          <w:lang w:val="en-US" w:eastAsia="zh-CN"/>
        </w:rPr>
        <w:t>31.03</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7974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w:t>
      </w:r>
      <w:bookmarkStart w:id="0" w:name="_GoBack"/>
      <w:bookmarkEnd w:id="0"/>
      <w:r>
        <w:rPr>
          <w:rFonts w:hint="eastAsia" w:ascii="仿宋_GB2312" w:eastAsia="仿宋_GB2312" w:cs="DengXian-Regular"/>
          <w:sz w:val="32"/>
          <w:szCs w:val="32"/>
        </w:rPr>
        <w:t>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4</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1.8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31.03</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加强管理，压缩开支</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hint="eastAsia" w:ascii="仿宋_GB2312" w:eastAsia="仿宋_GB2312" w:cs="DengXian-Regular"/>
          <w:sz w:val="32"/>
          <w:szCs w:val="32"/>
          <w:highlight w:val="none"/>
          <w:lang w:eastAsia="zh-CN"/>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color w:val="000000" w:themeColor="text1"/>
          <w:sz w:val="32"/>
          <w:szCs w:val="32"/>
          <w:highlight w:val="none"/>
        </w:rPr>
        <w:t>未发生公务用车购置经费支出与年初预算持平</w:t>
      </w:r>
      <w:r>
        <w:rPr>
          <w:rFonts w:hint="eastAsia" w:ascii="仿宋_GB2312" w:eastAsia="仿宋_GB2312" w:cs="DengXian-Regular"/>
          <w:color w:val="000000" w:themeColor="text1"/>
          <w:sz w:val="32"/>
          <w:szCs w:val="32"/>
          <w:highlight w:val="none"/>
          <w:lang w:eastAsia="zh-CN"/>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辆。公车运行维护费支出较年初预算增加减少</w:t>
      </w:r>
      <w:r>
        <w:rPr>
          <w:rFonts w:hint="eastAsia" w:ascii="仿宋_GB2312" w:eastAsia="仿宋_GB2312" w:cs="DengXian-Regular"/>
          <w:sz w:val="32"/>
          <w:szCs w:val="32"/>
          <w:lang w:val="en-US" w:eastAsia="zh-CN"/>
        </w:rPr>
        <w:t>1.8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31.03</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加强管理，压缩开支</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w:pict>
          <v:group id="_x0000_s1043" o:spid="_x0000_s1043" o:spt="203" style="position:absolute;left:0pt;margin-left:-0.55pt;margin-top:29.3pt;height:43.95pt;width:301.85pt;mso-position-horizontal-relative:page;mso-position-vertical-relative:page;z-index:25168076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人次。公务接待费支出较年初预算减少</w:t>
      </w:r>
      <w:r>
        <w:rPr>
          <w:rFonts w:hint="eastAsia" w:ascii="仿宋_GB2312" w:eastAsia="仿宋_GB2312" w:cs="DengXian-Regular"/>
          <w:sz w:val="32"/>
          <w:szCs w:val="32"/>
          <w:lang w:val="en-US" w:eastAsia="zh-CN"/>
        </w:rPr>
        <w:t>1.4</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加强管理厉行节约</w:t>
      </w:r>
      <w:r>
        <w:rPr>
          <w:rFonts w:hint="eastAsia" w:ascii="仿宋_GB2312" w:eastAsia="仿宋_GB2312" w:cs="DengXian-Regular"/>
          <w:sz w:val="32"/>
          <w:szCs w:val="32"/>
        </w:rPr>
        <w:t>。</w:t>
      </w:r>
    </w:p>
    <w:p>
      <w:pPr>
        <w:pStyle w:val="3"/>
        <w:spacing w:before="0" w:after="0" w:line="500" w:lineRule="exact"/>
        <w:ind w:firstLine="643" w:firstLineChars="200"/>
        <w:rPr>
          <w:rFonts w:ascii="黑体" w:eastAsia="黑体" w:cs="Times New Roman"/>
          <w:shd w:val="clear" w:color="auto" w:fill="auto"/>
        </w:rPr>
      </w:pPr>
      <w:r>
        <w:rPr>
          <w:rFonts w:hint="eastAsia" w:ascii="黑体" w:eastAsia="黑体"/>
          <w:szCs w:val="40"/>
        </w:rPr>
        <w:t>六、</w:t>
      </w:r>
      <w:r>
        <w:rPr>
          <w:rFonts w:hint="eastAsia" w:ascii="黑体" w:eastAsia="黑体" w:cs="Times New Roman"/>
          <w:shd w:val="clear" w:color="auto" w:fill="auto"/>
        </w:rPr>
        <w:t>绩效预算情况说明</w:t>
      </w:r>
    </w:p>
    <w:p>
      <w:p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（一）绩效管理工作开展情况</w:t>
      </w:r>
    </w:p>
    <w:p>
      <w:pPr>
        <w:adjustRightInd w:val="0"/>
        <w:snapToGrid w:val="0"/>
        <w:spacing w:after="0" w:line="500" w:lineRule="exact"/>
        <w:ind w:firstLine="640" w:firstLineChars="200"/>
        <w:rPr>
          <w:rFonts w:hint="eastAsia" w:ascii="仿宋_GB2312" w:eastAsia="仿宋_GB2312" w:cs="DengXian-Regular"/>
          <w:color w:val="FF0000"/>
          <w:sz w:val="32"/>
          <w:szCs w:val="32"/>
          <w:shd w:val="clear" w:color="auto" w:fill="auto"/>
          <w:lang w:eastAsia="zh-CN"/>
        </w:rPr>
      </w:pPr>
      <w:r>
        <w:rPr>
          <w:rFonts w:hint="eastAsia" w:ascii="仿宋_GB2312" w:eastAsia="仿宋_GB2312" w:cs="DengXian-Regular"/>
          <w:sz w:val="32"/>
          <w:szCs w:val="32"/>
          <w:shd w:val="clear" w:color="auto" w:fill="auto"/>
        </w:rPr>
        <w:t>根据《关于开展2018年度财政专项资金部门绩效自评价工作的通知》（石财绩</w:t>
      </w:r>
      <w:r>
        <w:rPr>
          <w:rFonts w:hint="eastAsia" w:ascii="宋体" w:hAnsi="宋体" w:cs="宋体"/>
          <w:sz w:val="32"/>
          <w:szCs w:val="32"/>
          <w:shd w:val="clear" w:color="auto" w:fill="auto"/>
        </w:rPr>
        <w:t>[2019]</w:t>
      </w:r>
      <w:r>
        <w:rPr>
          <w:rFonts w:hint="eastAsia" w:ascii="仿宋_GB2312" w:eastAsia="仿宋_GB2312" w:cs="DengXian-Regular"/>
          <w:sz w:val="32"/>
          <w:szCs w:val="32"/>
          <w:shd w:val="clear" w:color="auto" w:fill="auto"/>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auto"/>
          <w:sz w:val="32"/>
          <w:szCs w:val="32"/>
          <w:shd w:val="clear" w:color="auto" w:fill="auto"/>
        </w:rPr>
        <w:t>优秀</w:t>
      </w:r>
      <w:r>
        <w:rPr>
          <w:rFonts w:hint="eastAsia" w:ascii="仿宋_GB2312" w:eastAsia="仿宋_GB2312" w:cs="DengXian-Regular"/>
          <w:color w:val="auto"/>
          <w:sz w:val="32"/>
          <w:szCs w:val="32"/>
          <w:shd w:val="clear" w:color="auto" w:fill="auto"/>
          <w:lang w:eastAsia="zh-CN"/>
        </w:rPr>
        <w:t>。</w:t>
      </w:r>
    </w:p>
    <w:p>
      <w:p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（二）预算项目绩效评价开展情况</w:t>
      </w:r>
    </w:p>
    <w:p>
      <w:p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根据预算绩效管理要求，本单位组织对201</w:t>
      </w:r>
      <w:r>
        <w:rPr>
          <w:rFonts w:hint="eastAsia" w:ascii="仿宋_GB2312" w:eastAsia="仿宋_GB2312" w:cs="DengXian-Regular"/>
          <w:sz w:val="32"/>
          <w:szCs w:val="32"/>
          <w:shd w:val="clear" w:color="auto" w:fill="auto"/>
          <w:lang w:val="en-US" w:eastAsia="zh-CN"/>
        </w:rPr>
        <w:t>8</w:t>
      </w:r>
      <w:r>
        <w:rPr>
          <w:rFonts w:hint="eastAsia" w:ascii="仿宋_GB2312" w:eastAsia="仿宋_GB2312" w:cs="DengXian-Regular"/>
          <w:sz w:val="32"/>
          <w:szCs w:val="32"/>
          <w:shd w:val="clear" w:color="auto" w:fill="auto"/>
        </w:rPr>
        <w:t>年度一般公共预算项目支出全面开展绩效自评，涉及</w:t>
      </w:r>
      <w:r>
        <w:rPr>
          <w:rFonts w:hint="eastAsia" w:ascii="仿宋_GB2312" w:eastAsia="仿宋_GB2312" w:cs="DengXian-Regular"/>
          <w:sz w:val="32"/>
          <w:szCs w:val="32"/>
          <w:shd w:val="clear" w:color="auto" w:fill="auto"/>
          <w:lang w:eastAsia="zh-CN"/>
        </w:rPr>
        <w:t>城乡社区支出、对村民委员会和村党支部支出、土地资源利用与保护</w:t>
      </w:r>
      <w:r>
        <w:rPr>
          <w:rFonts w:hint="eastAsia" w:ascii="仿宋_GB2312" w:eastAsia="仿宋_GB2312" w:cs="DengXian-Regular"/>
          <w:sz w:val="32"/>
          <w:szCs w:val="32"/>
          <w:shd w:val="clear" w:color="auto" w:fill="auto"/>
          <w:lang w:val="en-US" w:eastAsia="zh-CN"/>
        </w:rPr>
        <w:t>3</w:t>
      </w:r>
      <w:r>
        <w:rPr>
          <w:rFonts w:hint="eastAsia" w:ascii="仿宋_GB2312" w:eastAsia="仿宋_GB2312" w:cs="DengXian-Regular"/>
          <w:sz w:val="32"/>
          <w:szCs w:val="32"/>
          <w:shd w:val="clear" w:color="auto" w:fill="auto"/>
        </w:rPr>
        <w:t>个项目，涉及资金</w:t>
      </w:r>
      <w:r>
        <w:rPr>
          <w:rFonts w:hint="eastAsia" w:ascii="仿宋_GB2312" w:eastAsia="仿宋_GB2312" w:cs="DengXian-Regular"/>
          <w:sz w:val="32"/>
          <w:szCs w:val="32"/>
          <w:shd w:val="clear" w:color="auto" w:fill="auto"/>
          <w:lang w:val="en-US" w:eastAsia="zh-CN"/>
        </w:rPr>
        <w:t>152.26</w:t>
      </w:r>
      <w:r>
        <w:rPr>
          <w:rFonts w:hint="eastAsia" w:ascii="仿宋_GB2312" w:eastAsia="仿宋_GB2312" w:cs="DengXian-Regular"/>
          <w:sz w:val="32"/>
          <w:szCs w:val="32"/>
          <w:shd w:val="clear" w:color="auto" w:fill="auto"/>
        </w:rPr>
        <w:t>万元。从评价情况看，评价结果为优秀的项目有</w:t>
      </w:r>
      <w:r>
        <w:rPr>
          <w:rFonts w:hint="eastAsia" w:ascii="仿宋_GB2312" w:eastAsia="仿宋_GB2312" w:cs="DengXian-Regular"/>
          <w:sz w:val="32"/>
          <w:szCs w:val="32"/>
          <w:shd w:val="clear" w:color="auto" w:fill="auto"/>
          <w:lang w:val="en-US" w:eastAsia="zh-CN"/>
        </w:rPr>
        <w:t>3</w:t>
      </w:r>
      <w:r>
        <w:rPr>
          <w:rFonts w:hint="eastAsia" w:ascii="仿宋_GB2312" w:eastAsia="仿宋_GB2312" w:cs="DengXian-Regular"/>
          <w:sz w:val="32"/>
          <w:szCs w:val="32"/>
          <w:shd w:val="clear" w:color="auto" w:fill="auto"/>
        </w:rPr>
        <w:t>个</w:t>
      </w:r>
    </w:p>
    <w:p>
      <w:pPr>
        <w:adjustRightInd w:val="0"/>
        <w:snapToGrid w:val="0"/>
        <w:spacing w:after="0" w:line="500" w:lineRule="exact"/>
        <w:ind w:firstLine="640" w:firstLineChars="200"/>
        <w:rPr>
          <w:rFonts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（三）预算项目绩效自评选例</w:t>
      </w:r>
    </w:p>
    <w:p>
      <w:pPr>
        <w:adjustRightInd w:val="0"/>
        <w:snapToGrid w:val="0"/>
        <w:spacing w:after="0" w:line="500" w:lineRule="exact"/>
        <w:ind w:firstLine="640" w:firstLineChars="200"/>
        <w:rPr>
          <w:rFonts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本单位</w:t>
      </w:r>
      <w:r>
        <w:rPr>
          <w:rFonts w:hint="eastAsia" w:ascii="仿宋_GB2312" w:eastAsia="仿宋_GB2312" w:cs="DengXian-Regular"/>
          <w:sz w:val="32"/>
          <w:szCs w:val="32"/>
          <w:shd w:val="clear" w:color="auto" w:fill="auto"/>
          <w:lang w:eastAsia="zh-CN"/>
        </w:rPr>
        <w:t>土地资源利用与保护</w:t>
      </w:r>
      <w:r>
        <w:rPr>
          <w:rFonts w:hint="eastAsia" w:ascii="仿宋_GB2312" w:eastAsia="仿宋_GB2312" w:cs="DengXian-Regular"/>
          <w:sz w:val="32"/>
          <w:szCs w:val="32"/>
          <w:shd w:val="clear" w:color="auto" w:fill="auto"/>
        </w:rPr>
        <w:t>项目绩效自评：根据年初设定的绩效目标，</w:t>
      </w:r>
      <w:r>
        <w:rPr>
          <w:rFonts w:hint="eastAsia" w:ascii="仿宋_GB2312" w:eastAsia="仿宋_GB2312" w:cs="DengXian-Regular"/>
          <w:sz w:val="32"/>
          <w:szCs w:val="32"/>
          <w:shd w:val="clear" w:color="auto" w:fill="auto"/>
          <w:lang w:eastAsia="zh-CN"/>
        </w:rPr>
        <w:t>土地资源利用与保护</w:t>
      </w:r>
      <w:r>
        <w:rPr>
          <w:rFonts w:hint="eastAsia" w:ascii="仿宋_GB2312" w:eastAsia="仿宋_GB2312" w:cs="DengXian-Regular"/>
          <w:sz w:val="32"/>
          <w:szCs w:val="32"/>
          <w:shd w:val="clear" w:color="auto" w:fill="auto"/>
        </w:rPr>
        <w:t>项目绩效自评结果为优秀。项目全年预算数为</w:t>
      </w:r>
      <w:r>
        <w:rPr>
          <w:rFonts w:hint="eastAsia" w:ascii="仿宋_GB2312" w:eastAsia="仿宋_GB2312" w:cs="DengXian-Regular"/>
          <w:sz w:val="32"/>
          <w:szCs w:val="32"/>
          <w:shd w:val="clear" w:color="auto" w:fill="auto"/>
          <w:lang w:val="en-US" w:eastAsia="zh-CN"/>
        </w:rPr>
        <w:t>81.12</w:t>
      </w:r>
      <w:r>
        <w:rPr>
          <w:rFonts w:hint="eastAsia" w:ascii="仿宋_GB2312" w:eastAsia="仿宋_GB2312" w:cs="DengXian-Regular"/>
          <w:sz w:val="32"/>
          <w:szCs w:val="32"/>
          <w:shd w:val="clear" w:color="auto" w:fill="auto"/>
        </w:rPr>
        <w:t>万元，执行数为</w:t>
      </w:r>
      <w:r>
        <w:rPr>
          <w:rFonts w:hint="eastAsia" w:ascii="仿宋_GB2312" w:eastAsia="仿宋_GB2312" w:cs="DengXian-Regular"/>
          <w:sz w:val="32"/>
          <w:szCs w:val="32"/>
          <w:shd w:val="clear" w:color="auto" w:fill="auto"/>
          <w:lang w:val="en-US" w:eastAsia="zh-CN"/>
        </w:rPr>
        <w:t>81.12</w:t>
      </w:r>
      <w:r>
        <w:rPr>
          <w:rFonts w:hint="eastAsia" w:ascii="仿宋_GB2312" w:eastAsia="仿宋_GB2312" w:cs="DengXian-Regular"/>
          <w:sz w:val="32"/>
          <w:szCs w:val="32"/>
          <w:shd w:val="clear" w:color="auto" w:fill="auto"/>
        </w:rPr>
        <w:t>万元，完成预算的</w:t>
      </w:r>
      <w:r>
        <w:rPr>
          <w:rFonts w:hint="eastAsia" w:ascii="仿宋_GB2312" w:eastAsia="仿宋_GB2312" w:cs="DengXian-Regular"/>
          <w:sz w:val="32"/>
          <w:szCs w:val="32"/>
          <w:shd w:val="clear" w:color="auto" w:fill="auto"/>
          <w:lang w:val="en-US" w:eastAsia="zh-CN"/>
        </w:rPr>
        <w:t>100</w:t>
      </w:r>
      <w:r>
        <w:rPr>
          <w:rFonts w:hint="eastAsia" w:ascii="仿宋_GB2312" w:eastAsia="仿宋_GB2312" w:cs="DengXian-Regular"/>
          <w:sz w:val="32"/>
          <w:szCs w:val="32"/>
          <w:shd w:val="clear" w:color="auto" w:fill="auto"/>
        </w:rPr>
        <w:t>%。主要产出和效果是</w:t>
      </w:r>
      <w:r>
        <w:rPr>
          <w:rFonts w:hint="eastAsia" w:ascii="仿宋_GB2312" w:eastAsia="仿宋_GB2312" w:cs="DengXian-Regular"/>
          <w:sz w:val="32"/>
          <w:szCs w:val="32"/>
          <w:shd w:val="clear" w:color="auto" w:fill="auto"/>
          <w:lang w:eastAsia="zh-CN"/>
        </w:rPr>
        <w:t>有效遏制了非法占有土地问题</w:t>
      </w:r>
      <w:r>
        <w:rPr>
          <w:rFonts w:hint="eastAsia" w:ascii="仿宋_GB2312" w:eastAsia="仿宋_GB2312" w:cs="DengXian-Regular"/>
          <w:sz w:val="32"/>
          <w:szCs w:val="32"/>
          <w:shd w:val="clear" w:color="auto" w:fill="auto"/>
        </w:rPr>
        <w:t>。</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Theme="majorEastAsia" w:hAnsiTheme="majorEastAsia" w:eastAsiaTheme="majorEastAsia" w:cstheme="majorEastAsia"/>
          <w:sz w:val="32"/>
          <w:szCs w:val="32"/>
          <w:lang w:val="en-US" w:eastAsia="zh-CN"/>
        </w:rPr>
        <w:t>106.96</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年初预算数</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。其中，机要通信用车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1、本部门2018年度无收支及结转结余情况，故以空表列示。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8179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360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82816;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8384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155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6"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9224F92-52CC-4478-90BF-76B8D66526D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0956E1F7-D66E-438A-BA2F-601AFB367F82}"/>
  </w:font>
  <w:font w:name="Cambria">
    <w:panose1 w:val="02040503050406030204"/>
    <w:charset w:val="00"/>
    <w:family w:val="roman"/>
    <w:pitch w:val="default"/>
    <w:sig w:usb0="E00006FF" w:usb1="420024FF" w:usb2="02000000" w:usb3="00000000" w:csb0="2000019F" w:csb1="00000000"/>
    <w:embedRegular r:id="rId3" w:fontKey="{8AC4B26D-D445-4276-BE2D-D93123CF5A0F}"/>
  </w:font>
  <w:font w:name="楷体">
    <w:panose1 w:val="02010609060101010101"/>
    <w:charset w:val="86"/>
    <w:family w:val="modern"/>
    <w:pitch w:val="default"/>
    <w:sig w:usb0="800002BF" w:usb1="38CF7CFA" w:usb2="00000016" w:usb3="00000000" w:csb0="00040001" w:csb1="00000000"/>
    <w:embedRegular r:id="rId4" w:fontKey="{063D76E9-A77A-465B-A7D2-A7FFF277EC37}"/>
  </w:font>
  <w:font w:name="楷体_GB2312">
    <w:panose1 w:val="02010609030101010101"/>
    <w:charset w:val="86"/>
    <w:family w:val="modern"/>
    <w:pitch w:val="default"/>
    <w:sig w:usb0="00000001" w:usb1="080E0000" w:usb2="00000000" w:usb3="00000000" w:csb0="00040000" w:csb1="00000000"/>
    <w:embedRegular r:id="rId5" w:fontKey="{1244F0C4-FCCA-4DAB-9300-80200288946E}"/>
  </w:font>
  <w:font w:name="仿宋_GB2312">
    <w:panose1 w:val="02010609030101010101"/>
    <w:charset w:val="86"/>
    <w:family w:val="modern"/>
    <w:pitch w:val="default"/>
    <w:sig w:usb0="00000001" w:usb1="080E0000" w:usb2="00000000" w:usb3="00000000" w:csb0="00040000" w:csb1="00000000"/>
    <w:embedRegular r:id="rId6" w:fontKey="{CA983FBB-0D74-402B-98EF-7BAB06491F5A}"/>
  </w:font>
  <w:font w:name="ArialUnicodeMS">
    <w:altName w:val="Malgun Gothic"/>
    <w:panose1 w:val="00000000000000000000"/>
    <w:charset w:val="81"/>
    <w:family w:val="auto"/>
    <w:pitch w:val="default"/>
    <w:sig w:usb0="00000000" w:usb1="00000000" w:usb2="00000010" w:usb3="00000000" w:csb0="00080001" w:csb1="00000000"/>
    <w:embedRegular r:id="rId7" w:fontKey="{6240A90E-0E66-483C-A55D-DBE9249C13CE}"/>
  </w:font>
  <w:font w:name="????_GBK">
    <w:altName w:val="Times New Roman"/>
    <w:panose1 w:val="00000000000000000000"/>
    <w:charset w:val="00"/>
    <w:family w:val="auto"/>
    <w:pitch w:val="default"/>
    <w:sig w:usb0="00000000" w:usb1="00000000" w:usb2="00000000" w:usb3="00000000" w:csb0="00000001" w:csb1="00000000"/>
  </w:font>
  <w:font w:name="方正书宋_GBK">
    <w:altName w:val="微软雅黑"/>
    <w:panose1 w:val="03000509000000000000"/>
    <w:charset w:val="86"/>
    <w:family w:val="script"/>
    <w:pitch w:val="default"/>
    <w:sig w:usb0="00000000" w:usb1="00000000" w:usb2="00000010" w:usb3="00000000" w:csb0="00040000" w:csb1="00000000"/>
    <w:embedRegular r:id="rId8" w:fontKey="{1F7AC033-4FF3-4BEB-AA75-47C68F906D1C}"/>
  </w:font>
  <w:font w:name="MS-UIGothic,Bold">
    <w:altName w:val="Malgun Gothic"/>
    <w:panose1 w:val="00000000000000000000"/>
    <w:charset w:val="81"/>
    <w:family w:val="auto"/>
    <w:pitch w:val="default"/>
    <w:sig w:usb0="00000000" w:usb1="00000000" w:usb2="00000010" w:usb3="00000000" w:csb0="00080000" w:csb1="00000000"/>
    <w:embedRegular r:id="rId9" w:fontKey="{9F79326E-61F7-4EE2-B5FC-096D9F125E3D}"/>
  </w:font>
  <w:font w:name="DengXian-Regular">
    <w:altName w:val="宋体"/>
    <w:panose1 w:val="00000000000000000000"/>
    <w:charset w:val="86"/>
    <w:family w:val="auto"/>
    <w:pitch w:val="default"/>
    <w:sig w:usb0="00000000" w:usb1="00000000" w:usb2="00000010" w:usb3="00000000" w:csb0="00040001" w:csb1="00000000"/>
    <w:embedRegular r:id="rId10" w:fontKey="{DC968627-2C08-44E1-9DBE-F711E6C75AD3}"/>
  </w:font>
  <w:font w:name="DengXian-Bold">
    <w:altName w:val="宋体"/>
    <w:panose1 w:val="00000000000000000000"/>
    <w:charset w:val="86"/>
    <w:family w:val="auto"/>
    <w:pitch w:val="default"/>
    <w:sig w:usb0="00000000" w:usb1="00000000" w:usb2="00000010" w:usb3="00000000" w:csb0="00040001" w:csb1="00000000"/>
    <w:embedRegular r:id="rId11" w:fontKey="{C56CD5CA-0380-4B3C-9203-7D6E180FCC97}"/>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888C048"/>
    <w:multiLevelType w:val="singleLevel"/>
    <w:tmpl w:val="F888C04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2YyNmI1OTMzNmRhZDMwMDhhNzRiZWNlZjdiNGY1ZGI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4EDA"/>
    <w:rsid w:val="00FD3BD5"/>
    <w:rsid w:val="00FE3DC8"/>
    <w:rsid w:val="03A97734"/>
    <w:rsid w:val="04073F84"/>
    <w:rsid w:val="093C64BC"/>
    <w:rsid w:val="0B60750A"/>
    <w:rsid w:val="0B60788A"/>
    <w:rsid w:val="0BCC23D0"/>
    <w:rsid w:val="0C181C16"/>
    <w:rsid w:val="10686488"/>
    <w:rsid w:val="10DF728A"/>
    <w:rsid w:val="1264200E"/>
    <w:rsid w:val="12FC6CFE"/>
    <w:rsid w:val="141C5B77"/>
    <w:rsid w:val="146B7507"/>
    <w:rsid w:val="165966CE"/>
    <w:rsid w:val="18D8339D"/>
    <w:rsid w:val="1A21388F"/>
    <w:rsid w:val="1A570D2F"/>
    <w:rsid w:val="1B7C6095"/>
    <w:rsid w:val="1EA119E1"/>
    <w:rsid w:val="1EA7131A"/>
    <w:rsid w:val="25554140"/>
    <w:rsid w:val="271832B1"/>
    <w:rsid w:val="27C1557E"/>
    <w:rsid w:val="28FB0B8D"/>
    <w:rsid w:val="29B6503E"/>
    <w:rsid w:val="2A9870FC"/>
    <w:rsid w:val="2CBA588D"/>
    <w:rsid w:val="2CBA69DF"/>
    <w:rsid w:val="2D2B7942"/>
    <w:rsid w:val="2D46481D"/>
    <w:rsid w:val="2E733B28"/>
    <w:rsid w:val="30CF7729"/>
    <w:rsid w:val="31852B5A"/>
    <w:rsid w:val="319F25A9"/>
    <w:rsid w:val="32D01238"/>
    <w:rsid w:val="36115834"/>
    <w:rsid w:val="375D71A6"/>
    <w:rsid w:val="3A0F158E"/>
    <w:rsid w:val="3AD76021"/>
    <w:rsid w:val="3DFC59A8"/>
    <w:rsid w:val="3ECF245E"/>
    <w:rsid w:val="3FB96314"/>
    <w:rsid w:val="40BE7F64"/>
    <w:rsid w:val="427E3808"/>
    <w:rsid w:val="46542880"/>
    <w:rsid w:val="4B185760"/>
    <w:rsid w:val="4D4D5EC5"/>
    <w:rsid w:val="50A87D3D"/>
    <w:rsid w:val="52C54A78"/>
    <w:rsid w:val="52F23E9B"/>
    <w:rsid w:val="53A44FAF"/>
    <w:rsid w:val="56B07450"/>
    <w:rsid w:val="58863426"/>
    <w:rsid w:val="594329EC"/>
    <w:rsid w:val="5B3D2E56"/>
    <w:rsid w:val="5BEE1540"/>
    <w:rsid w:val="5C7D1E47"/>
    <w:rsid w:val="5D893BD8"/>
    <w:rsid w:val="5DE61A5D"/>
    <w:rsid w:val="6063509E"/>
    <w:rsid w:val="62151679"/>
    <w:rsid w:val="63C04243"/>
    <w:rsid w:val="649C01C7"/>
    <w:rsid w:val="666261A9"/>
    <w:rsid w:val="673D33D8"/>
    <w:rsid w:val="699A3F60"/>
    <w:rsid w:val="69CC0D8B"/>
    <w:rsid w:val="6A26144B"/>
    <w:rsid w:val="70CF3BC6"/>
    <w:rsid w:val="72902E62"/>
    <w:rsid w:val="73C61104"/>
    <w:rsid w:val="74620A04"/>
    <w:rsid w:val="776452EA"/>
    <w:rsid w:val="78FD51BA"/>
    <w:rsid w:val="7BA66817"/>
    <w:rsid w:val="7D0D5AC1"/>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3.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9.jpe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100%</a:t>
            </a:r>
            <a:endParaRPr lang="en-US" altLang="zh-CN"/>
          </a:p>
        </c:rich>
      </c:tx>
      <c:layout/>
      <c:overlay val="0"/>
      <c:spPr>
        <a:noFill/>
        <a:ln>
          <a:noFill/>
        </a:ln>
        <a:effectLst/>
      </c:spPr>
    </c:title>
    <c:autoTitleDeleted val="0"/>
    <c:plotArea>
      <c:layout/>
      <c:pieChart>
        <c:varyColors val="1"/>
        <c:ser>
          <c:idx val="0"/>
          <c:order val="0"/>
          <c:spPr/>
          <c:explosion val="0"/>
          <c:dPt>
            <c:idx val="0"/>
            <c:bubble3D val="0"/>
            <c:spPr>
              <a:solidFill>
                <a:schemeClr val="accent1">
                  <a:tint val="100000"/>
                  <a:shade val="100000"/>
                  <a:hueMod val="100000"/>
                  <a:satMod val="100000"/>
                </a:schemeClr>
              </a:solidFill>
              <a:ln w="19050">
                <a:solidFill>
                  <a:schemeClr val="lt1"/>
                </a:solidFill>
              </a:ln>
              <a:effectLst/>
            </c:spPr>
          </c:dPt>
          <c:dLbls>
            <c:delete val="1"/>
          </c:dLbls>
          <c:val>
            <c:numRef>
              <c:f>Sheet1!$B$2</c:f>
              <c:numCache>
                <c:formatCode>General</c:formatCode>
                <c:ptCount val="1"/>
                <c:pt idx="0">
                  <c:v>5072.49</c:v>
                </c:pt>
              </c:numCache>
            </c:numRef>
          </c:val>
        </c:ser>
        <c:dLbls>
          <c:showLegendKey val="0"/>
          <c:showVal val="0"/>
          <c:showCatName val="0"/>
          <c:showSerName val="0"/>
          <c:showPercent val="0"/>
          <c:showBubbleSize val="0"/>
          <c:showLeaderLines val="1"/>
        </c:dLbls>
        <c:firstSliceAng val="36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本部门2018年度本年支出</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elete val="1"/>
          </c:dLbls>
          <c:cat>
            <c:strRef>
              <c:f>Sheet1!$A$2:$A$3</c:f>
              <c:strCache>
                <c:ptCount val="2"/>
                <c:pt idx="0">
                  <c:v>基本支出</c:v>
                </c:pt>
                <c:pt idx="1">
                  <c:v>项目支出</c:v>
                </c:pt>
              </c:strCache>
            </c:strRef>
          </c:cat>
          <c:val>
            <c:numRef>
              <c:f>Sheet1!$B$2:$B$3</c:f>
              <c:numCache>
                <c:formatCode>General</c:formatCode>
                <c:ptCount val="2"/>
                <c:pt idx="0">
                  <c:v>5072.49</c:v>
                </c:pt>
                <c:pt idx="1">
                  <c:v>200.9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48"/>
    <customShpInfo spid="_x0000_s1047"/>
    <customShpInfo spid="_x0000_s1046"/>
    <customShpInfo spid="_x0000_s1045"/>
    <customShpInfo spid="_x0000_s1044"/>
    <customShpInfo spid="_x0000_s1043"/>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3C94ECB2-1DAF-4240-AB65-51141F4A8E82}">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21</Pages>
  <Words>3737</Words>
  <Characters>4069</Characters>
  <Lines>46</Lines>
  <Paragraphs>13</Paragraphs>
  <TotalTime>9</TotalTime>
  <ScaleCrop>false</ScaleCrop>
  <LinksUpToDate>false</LinksUpToDate>
  <CharactersWithSpaces>4096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windows</cp:lastModifiedBy>
  <cp:lastPrinted>2019-08-02T01:01:00Z</cp:lastPrinted>
  <dcterms:modified xsi:type="dcterms:W3CDTF">2023-06-09T02:56:19Z</dcterms:modified>
  <dc:subject>石家庄市xxx部门</dc:subject>
  <dc:title>2017年度部门决算</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39AB0DCE377A47A5BAD0612F3140F1E9_12</vt:lpwstr>
  </property>
</Properties>
</file>