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简体" w:hAnsi="Times New Roman" w:eastAsia="方正小标宋简体" w:cs="Times New Roman"/>
          <w:bCs/>
          <w:sz w:val="44"/>
          <w:szCs w:val="44"/>
        </w:rPr>
      </w:pPr>
      <w:bookmarkStart w:id="0" w:name="_Toc471398463"/>
      <w:r>
        <w:rPr>
          <w:rFonts w:hint="eastAsia" w:ascii="方正小标宋简体" w:hAnsi="Times New Roman" w:eastAsia="方正小标宋简体" w:cs="Times New Roman"/>
          <w:bCs/>
          <w:sz w:val="44"/>
          <w:szCs w:val="44"/>
        </w:rPr>
        <w:t>藁城区信访局</w:t>
      </w:r>
    </w:p>
    <w:p>
      <w:pPr>
        <w:adjustRightInd w:val="0"/>
        <w:snapToGrid w:val="0"/>
        <w:jc w:val="center"/>
        <w:rPr>
          <w:rFonts w:ascii="方正小标宋简体" w:hAnsi="Times New Roman" w:eastAsia="方正小标宋简体" w:cs="Times New Roman"/>
          <w:bCs/>
          <w:sz w:val="44"/>
          <w:szCs w:val="44"/>
        </w:rPr>
      </w:pPr>
      <w:r>
        <w:rPr>
          <w:rFonts w:hint="eastAsia" w:ascii="方正小标宋简体" w:hAnsi="Times New Roman" w:eastAsia="方正小标宋简体"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按照《预算法》、《地方预决算公开操作规程》和《河北省省级预算公开办法》规定，现将藁城区信访局2020年部门预算公开如下：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adjustRightInd w:val="0"/>
        <w:snapToGrid w:val="0"/>
        <w:spacing w:line="560" w:lineRule="exact"/>
        <w:ind w:firstLine="643" w:firstLineChars="200"/>
        <w:rPr>
          <w:rFonts w:ascii="仿宋_GB2312" w:hAnsi="仿宋_GB2312" w:eastAsia="仿宋_GB2312" w:cs="仿宋_GB2312"/>
          <w:sz w:val="32"/>
          <w:szCs w:val="32"/>
          <w:shd w:val="clear" w:color="auto" w:fill="FFFFFF"/>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_GB2312" w:hAnsi="仿宋_GB2312" w:eastAsia="仿宋_GB2312" w:cs="仿宋_GB2312"/>
          <w:sz w:val="32"/>
          <w:szCs w:val="32"/>
          <w:shd w:val="clear" w:color="auto" w:fill="FFFFFF"/>
        </w:rPr>
        <w:t>石家庄市藁城区信访局（简称区信访局）为区委工作机关，机构规格正科级。区信访局的主要职责是：</w:t>
      </w:r>
    </w:p>
    <w:p>
      <w:pPr>
        <w:adjustRightInd w:val="0"/>
        <w:snapToGrid w:val="0"/>
        <w:spacing w:line="560" w:lineRule="exact"/>
        <w:ind w:firstLine="640" w:firstLineChars="200"/>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sz w:val="32"/>
          <w:szCs w:val="32"/>
          <w:shd w:val="clear" w:color="auto" w:fill="FFFFFF"/>
        </w:rPr>
        <w:t>(一)研究提出全区信访工作思路，贯彻落实关于信访稳定工作</w:t>
      </w:r>
      <w:r>
        <w:rPr>
          <w:rFonts w:hint="eastAsia" w:ascii="仿宋_GB2312" w:hAnsi="仿宋_GB2312" w:eastAsia="仿宋_GB2312" w:cs="仿宋_GB2312"/>
          <w:color w:val="000000"/>
          <w:sz w:val="32"/>
          <w:szCs w:val="32"/>
          <w:shd w:val="clear" w:color="auto" w:fill="FFFFFF"/>
        </w:rPr>
        <w:t>的法律法规和规章。</w:t>
      </w:r>
    </w:p>
    <w:p>
      <w:pPr>
        <w:adjustRightInd w:val="0"/>
        <w:snapToGrid w:val="0"/>
        <w:spacing w:line="560" w:lineRule="exact"/>
        <w:ind w:firstLine="640" w:firstLineChars="200"/>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(二)办理人民群众来信，接待群众来访，受理群众网上投诉，查办信访案件，负责人民群众建议征集工作。</w:t>
      </w:r>
    </w:p>
    <w:p>
      <w:pPr>
        <w:adjustRightInd w:val="0"/>
        <w:snapToGrid w:val="0"/>
        <w:spacing w:line="560" w:lineRule="exact"/>
        <w:ind w:firstLine="640" w:firstLineChars="200"/>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(三)调查研究和综合分析全区信访形势及信访工作状况，总结推广各乡镇、石家庄经济技术开发区、藁城经济开发区和区直各部门信访工作经验，提出改进和加强信访工作的意见和建议。</w:t>
      </w:r>
    </w:p>
    <w:p>
      <w:pPr>
        <w:adjustRightInd w:val="0"/>
        <w:snapToGrid w:val="0"/>
        <w:spacing w:line="560" w:lineRule="exact"/>
        <w:ind w:firstLine="640" w:firstLineChars="200"/>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(四)参与组织、协调、指导全区社会治安综合治理和维护社会政治稳定工作，协助保障国家、省、市、区重大政治活动顺利进行，参与处理影响社会政治稳定的突发性、群体性事件。</w:t>
      </w:r>
    </w:p>
    <w:p>
      <w:pPr>
        <w:adjustRightInd w:val="0"/>
        <w:snapToGrid w:val="0"/>
        <w:spacing w:line="560" w:lineRule="exact"/>
        <w:ind w:firstLine="640" w:firstLineChars="200"/>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 xml:space="preserve">(五)督促检查和指导全区各级党委、政府和区直有关部门的信访工作。对各乡镇、石家庄经济技术开发区、藁城经济开发区和区直各部门信访工作年度责任目标进行考核，对全区社会治安综合治理和维护社会政治稳定年度责任目标中有关信访工作进行考核。        </w:t>
      </w:r>
    </w:p>
    <w:p>
      <w:pPr>
        <w:adjustRightInd w:val="0"/>
        <w:snapToGrid w:val="0"/>
        <w:spacing w:line="560" w:lineRule="exact"/>
        <w:ind w:firstLine="640" w:firstLineChars="200"/>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(六)协助上级处理藁城区群众进京上访工作，综合协调处理跨地区、跨部门、跨行业的重要信访问题，协助公安机关维护区委、区政府机关正常工作秩序。</w:t>
      </w:r>
    </w:p>
    <w:p>
      <w:pPr>
        <w:adjustRightInd w:val="0"/>
        <w:snapToGrid w:val="0"/>
        <w:spacing w:line="560" w:lineRule="exact"/>
        <w:ind w:firstLine="640" w:firstLineChars="200"/>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(七)负责省、市、区领导及省直、市直部门领导公开接访和包联案件的组织协调工作。</w:t>
      </w:r>
    </w:p>
    <w:p>
      <w:pPr>
        <w:adjustRightInd w:val="0"/>
        <w:snapToGrid w:val="0"/>
        <w:spacing w:line="560" w:lineRule="exact"/>
        <w:ind w:firstLine="640" w:firstLineChars="200"/>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(八)承担藁城区信访工作联席会议的日常工作，督促落实联席会议决定的事项。</w:t>
      </w:r>
    </w:p>
    <w:p>
      <w:pPr>
        <w:adjustRightInd w:val="0"/>
        <w:snapToGrid w:val="0"/>
        <w:spacing w:line="560" w:lineRule="exact"/>
        <w:ind w:firstLine="640" w:firstLineChars="200"/>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(九)完成区委、区政府以及上级交办的其他任务。</w:t>
      </w: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仿宋_GB2312" w:hAnsi="Times New Roman" w:eastAsia="仿宋_GB2312" w:cs="Times New Roman"/>
          <w:sz w:val="32"/>
          <w:szCs w:val="24"/>
        </w:rPr>
      </w:pPr>
      <w:r>
        <w:rPr>
          <w:rFonts w:hint="eastAsia" w:ascii="仿宋_GB2312" w:hAnsi="Times New Roman" w:eastAsia="仿宋_GB2312" w:cs="Times New Roman"/>
          <w:sz w:val="32"/>
          <w:szCs w:val="24"/>
        </w:rPr>
        <w:t>部门机构设置情况</w:t>
      </w:r>
    </w:p>
    <w:tbl>
      <w:tblPr>
        <w:tblStyle w:val="7"/>
        <w:tblW w:w="9729" w:type="dxa"/>
        <w:jc w:val="center"/>
        <w:tblInd w:w="-59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仿宋_GB2312" w:hAnsi="Times New Roman" w:eastAsia="仿宋_GB2312" w:cs="Times New Roman"/>
                <w:b/>
                <w:szCs w:val="24"/>
              </w:rPr>
            </w:pPr>
            <w:r>
              <w:rPr>
                <w:rFonts w:hint="eastAsia" w:ascii="仿宋_GB2312" w:hAnsi="Times New Roman" w:eastAsia="仿宋_GB2312" w:cs="Times New Roman"/>
                <w:b/>
                <w:szCs w:val="24"/>
              </w:rPr>
              <w:t>单位名称</w:t>
            </w:r>
          </w:p>
        </w:tc>
        <w:tc>
          <w:tcPr>
            <w:tcW w:w="1134" w:type="dxa"/>
            <w:vMerge w:val="restart"/>
            <w:vAlign w:val="center"/>
          </w:tcPr>
          <w:p>
            <w:pPr>
              <w:spacing w:line="300" w:lineRule="exact"/>
              <w:jc w:val="center"/>
              <w:rPr>
                <w:rFonts w:ascii="仿宋_GB2312" w:hAnsi="Times New Roman" w:eastAsia="仿宋_GB2312" w:cs="Times New Roman"/>
                <w:b/>
                <w:szCs w:val="24"/>
              </w:rPr>
            </w:pPr>
            <w:r>
              <w:rPr>
                <w:rFonts w:hint="eastAsia" w:ascii="仿宋_GB2312" w:hAnsi="Times New Roman" w:eastAsia="仿宋_GB2312" w:cs="Times New Roman"/>
                <w:b/>
                <w:szCs w:val="24"/>
              </w:rPr>
              <w:t>单位性质</w:t>
            </w:r>
          </w:p>
        </w:tc>
        <w:tc>
          <w:tcPr>
            <w:tcW w:w="1276" w:type="dxa"/>
            <w:vMerge w:val="restart"/>
            <w:vAlign w:val="center"/>
          </w:tcPr>
          <w:p>
            <w:pPr>
              <w:spacing w:line="300" w:lineRule="exact"/>
              <w:jc w:val="center"/>
              <w:rPr>
                <w:rFonts w:ascii="仿宋_GB2312" w:hAnsi="Times New Roman" w:eastAsia="仿宋_GB2312" w:cs="Times New Roman"/>
                <w:b/>
                <w:szCs w:val="24"/>
              </w:rPr>
            </w:pPr>
            <w:r>
              <w:rPr>
                <w:rFonts w:hint="eastAsia" w:ascii="仿宋_GB2312" w:hAnsi="Times New Roman" w:eastAsia="仿宋_GB2312" w:cs="Times New Roman"/>
                <w:b/>
                <w:szCs w:val="24"/>
              </w:rPr>
              <w:t>单位规格</w:t>
            </w:r>
          </w:p>
        </w:tc>
        <w:tc>
          <w:tcPr>
            <w:tcW w:w="2902" w:type="dxa"/>
            <w:vMerge w:val="restart"/>
            <w:vAlign w:val="center"/>
          </w:tcPr>
          <w:p>
            <w:pPr>
              <w:spacing w:line="300" w:lineRule="exact"/>
              <w:jc w:val="center"/>
              <w:rPr>
                <w:rFonts w:ascii="仿宋_GB2312" w:hAnsi="Times New Roman" w:eastAsia="仿宋_GB2312" w:cs="Times New Roman"/>
                <w:b/>
                <w:szCs w:val="24"/>
              </w:rPr>
            </w:pPr>
            <w:r>
              <w:rPr>
                <w:rFonts w:hint="eastAsia" w:ascii="仿宋_GB2312" w:hAnsi="Times New Roman" w:eastAsia="仿宋_GB2312"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仿宋_GB2312" w:hAnsi="Times New Roman" w:eastAsia="仿宋_GB2312" w:cs="Times New Roman"/>
                <w:szCs w:val="24"/>
              </w:rPr>
            </w:pPr>
          </w:p>
        </w:tc>
        <w:tc>
          <w:tcPr>
            <w:tcW w:w="1134" w:type="dxa"/>
            <w:vMerge w:val="continue"/>
            <w:vAlign w:val="center"/>
          </w:tcPr>
          <w:p>
            <w:pPr>
              <w:spacing w:line="300" w:lineRule="exact"/>
              <w:jc w:val="left"/>
              <w:outlineLvl w:val="0"/>
              <w:rPr>
                <w:rFonts w:ascii="仿宋_GB2312" w:hAnsi="Times New Roman" w:eastAsia="仿宋_GB2312" w:cs="Times New Roman"/>
                <w:szCs w:val="24"/>
              </w:rPr>
            </w:pPr>
          </w:p>
        </w:tc>
        <w:tc>
          <w:tcPr>
            <w:tcW w:w="1276" w:type="dxa"/>
            <w:vMerge w:val="continue"/>
            <w:vAlign w:val="center"/>
          </w:tcPr>
          <w:p>
            <w:pPr>
              <w:spacing w:line="300" w:lineRule="exact"/>
              <w:jc w:val="left"/>
              <w:outlineLvl w:val="0"/>
              <w:rPr>
                <w:rFonts w:ascii="仿宋_GB2312" w:hAnsi="Times New Roman" w:eastAsia="仿宋_GB2312" w:cs="Times New Roman"/>
                <w:szCs w:val="24"/>
              </w:rPr>
            </w:pPr>
          </w:p>
        </w:tc>
        <w:tc>
          <w:tcPr>
            <w:tcW w:w="2902" w:type="dxa"/>
            <w:vMerge w:val="continue"/>
            <w:vAlign w:val="center"/>
          </w:tcPr>
          <w:p>
            <w:pPr>
              <w:spacing w:line="300" w:lineRule="exact"/>
              <w:jc w:val="left"/>
              <w:outlineLvl w:val="0"/>
              <w:rPr>
                <w:rFonts w:ascii="仿宋_GB2312" w:hAnsi="Times New Roman" w:eastAsia="仿宋_GB2312"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仿宋_GB2312" w:hAnsi="Times New Roman" w:eastAsia="仿宋_GB2312" w:cs="Times New Roman"/>
                <w:sz w:val="24"/>
                <w:szCs w:val="24"/>
              </w:rPr>
            </w:pPr>
            <w:r>
              <w:rPr>
                <w:rFonts w:hint="eastAsia" w:ascii="仿宋_GB2312" w:hAnsi="仿宋_GB2312" w:eastAsia="仿宋_GB2312" w:cs="仿宋_GB2312"/>
                <w:color w:val="000000"/>
                <w:sz w:val="24"/>
                <w:szCs w:val="24"/>
                <w:shd w:val="clear" w:color="auto" w:fill="FFFFFF"/>
              </w:rPr>
              <w:t>石家庄市藁城区信访局</w:t>
            </w:r>
          </w:p>
        </w:tc>
        <w:tc>
          <w:tcPr>
            <w:tcW w:w="1134" w:type="dxa"/>
            <w:vAlign w:val="center"/>
          </w:tcPr>
          <w:p>
            <w:pPr>
              <w:spacing w:line="300" w:lineRule="exact"/>
              <w:jc w:val="center"/>
              <w:rPr>
                <w:rFonts w:ascii="仿宋_GB2312" w:hAnsi="Times New Roman" w:eastAsia="仿宋_GB2312" w:cs="Times New Roman"/>
                <w:sz w:val="24"/>
                <w:szCs w:val="24"/>
              </w:rPr>
            </w:pPr>
            <w:r>
              <w:rPr>
                <w:rFonts w:hint="eastAsia" w:ascii="仿宋_GB2312" w:eastAsia="仿宋_GB2312"/>
                <w:sz w:val="24"/>
                <w:szCs w:val="24"/>
              </w:rPr>
              <w:t>行政</w:t>
            </w:r>
          </w:p>
        </w:tc>
        <w:tc>
          <w:tcPr>
            <w:tcW w:w="1276" w:type="dxa"/>
            <w:vAlign w:val="center"/>
          </w:tcPr>
          <w:p>
            <w:pPr>
              <w:spacing w:line="300" w:lineRule="exact"/>
              <w:jc w:val="center"/>
              <w:rPr>
                <w:rFonts w:ascii="仿宋_GB2312" w:hAnsi="Times New Roman" w:eastAsia="仿宋_GB2312" w:cs="Times New Roman"/>
                <w:sz w:val="24"/>
                <w:szCs w:val="24"/>
              </w:rPr>
            </w:pPr>
            <w:r>
              <w:rPr>
                <w:rFonts w:hint="eastAsia" w:ascii="仿宋_GB2312" w:hAnsi="仿宋_GB2312" w:eastAsia="仿宋_GB2312" w:cs="仿宋_GB2312"/>
                <w:color w:val="000000"/>
                <w:sz w:val="24"/>
                <w:szCs w:val="24"/>
                <w:shd w:val="clear" w:color="auto" w:fill="FFFFFF"/>
              </w:rPr>
              <w:t>正科级</w:t>
            </w:r>
          </w:p>
        </w:tc>
        <w:tc>
          <w:tcPr>
            <w:tcW w:w="2902" w:type="dxa"/>
            <w:vAlign w:val="center"/>
          </w:tcPr>
          <w:p>
            <w:pPr>
              <w:spacing w:line="300" w:lineRule="exact"/>
              <w:jc w:val="center"/>
              <w:rPr>
                <w:rFonts w:ascii="仿宋_GB2312" w:hAnsi="Times New Roman" w:eastAsia="仿宋_GB2312" w:cs="Times New Roman"/>
                <w:sz w:val="24"/>
                <w:szCs w:val="24"/>
              </w:rPr>
            </w:pPr>
            <w:r>
              <w:rPr>
                <w:rFonts w:hint="eastAsia" w:ascii="仿宋_GB2312" w:eastAsia="仿宋_GB2312"/>
                <w:sz w:val="24"/>
                <w:szCs w:val="24"/>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信访局</w:t>
      </w:r>
      <w:r>
        <w:rPr>
          <w:rFonts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ascii="Times New Roman" w:hAnsi="Times New Roman" w:eastAsia="仿宋" w:cs="Times New Roman"/>
          <w:sz w:val="32"/>
          <w:szCs w:val="32"/>
        </w:rPr>
        <w:t>483.69</w:t>
      </w:r>
      <w:r>
        <w:rPr>
          <w:rFonts w:hint="eastAsia" w:ascii="Times New Roman" w:hAnsi="Times New Roman" w:eastAsia="仿宋" w:cs="Times New Roman"/>
          <w:sz w:val="32"/>
          <w:szCs w:val="32"/>
        </w:rPr>
        <w:t>万元，其中：一般公共预算收入</w:t>
      </w:r>
      <w:r>
        <w:rPr>
          <w:rFonts w:ascii="Times New Roman" w:hAnsi="Times New Roman" w:eastAsia="仿宋" w:cs="Times New Roman"/>
          <w:sz w:val="32"/>
          <w:szCs w:val="32"/>
        </w:rPr>
        <w:t>483.69</w:t>
      </w:r>
      <w:r>
        <w:rPr>
          <w:rFonts w:hint="eastAsia" w:ascii="Times New Roman" w:hAnsi="Times New Roman" w:eastAsia="仿宋" w:cs="Times New Roman"/>
          <w:sz w:val="32"/>
          <w:szCs w:val="32"/>
        </w:rPr>
        <w:t>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收支预算总表支出栏、基本支出表、项目支出表按经济分类和支出功能分类科目编制，反映信访局部门预算中支出预算的总体情况。2020年部门支出预算为</w:t>
      </w:r>
      <w:r>
        <w:rPr>
          <w:rFonts w:ascii="Times New Roman" w:hAnsi="Times New Roman" w:eastAsia="仿宋" w:cs="Times New Roman"/>
          <w:sz w:val="32"/>
          <w:szCs w:val="32"/>
        </w:rPr>
        <w:t>483.69</w:t>
      </w:r>
      <w:r>
        <w:rPr>
          <w:rFonts w:hint="eastAsia" w:ascii="Times New Roman" w:hAnsi="Times New Roman" w:eastAsia="仿宋" w:cs="Times New Roman"/>
          <w:sz w:val="32"/>
          <w:szCs w:val="32"/>
        </w:rPr>
        <w:t>万元，其中基本支出</w:t>
      </w:r>
      <w:r>
        <w:rPr>
          <w:rFonts w:ascii="Times New Roman" w:hAnsi="Times New Roman" w:eastAsia="仿宋" w:cs="Times New Roman"/>
          <w:sz w:val="32"/>
          <w:szCs w:val="32"/>
        </w:rPr>
        <w:t>290.69</w:t>
      </w:r>
      <w:r>
        <w:rPr>
          <w:rFonts w:hint="eastAsia" w:ascii="Times New Roman" w:hAnsi="Times New Roman" w:eastAsia="仿宋" w:cs="Times New Roman"/>
          <w:sz w:val="32"/>
          <w:szCs w:val="32"/>
        </w:rPr>
        <w:t>万元，包括人员经费</w:t>
      </w:r>
      <w:r>
        <w:rPr>
          <w:rFonts w:ascii="Times New Roman" w:hAnsi="Times New Roman" w:eastAsia="仿宋" w:cs="Times New Roman"/>
          <w:sz w:val="32"/>
          <w:szCs w:val="32"/>
        </w:rPr>
        <w:t>260.94</w:t>
      </w:r>
      <w:r>
        <w:rPr>
          <w:rFonts w:hint="eastAsia" w:ascii="Times New Roman" w:hAnsi="Times New Roman" w:eastAsia="仿宋" w:cs="Times New Roman"/>
          <w:sz w:val="32"/>
          <w:szCs w:val="32"/>
        </w:rPr>
        <w:t>万元和日常公用经费</w:t>
      </w:r>
      <w:r>
        <w:rPr>
          <w:rFonts w:ascii="Times New Roman" w:hAnsi="Times New Roman" w:eastAsia="仿宋" w:cs="Times New Roman"/>
          <w:sz w:val="32"/>
          <w:szCs w:val="32"/>
        </w:rPr>
        <w:t>29.75</w:t>
      </w:r>
      <w:r>
        <w:rPr>
          <w:rFonts w:hint="eastAsia" w:ascii="Times New Roman" w:hAnsi="Times New Roman" w:eastAsia="仿宋" w:cs="Times New Roman"/>
          <w:sz w:val="32"/>
          <w:szCs w:val="32"/>
        </w:rPr>
        <w:t>万元；项目支出</w:t>
      </w:r>
      <w:r>
        <w:rPr>
          <w:rFonts w:ascii="Times New Roman" w:hAnsi="Times New Roman" w:eastAsia="仿宋" w:cs="Times New Roman"/>
          <w:sz w:val="32"/>
          <w:szCs w:val="32"/>
        </w:rPr>
        <w:t>193</w:t>
      </w:r>
      <w:r>
        <w:rPr>
          <w:rFonts w:hint="eastAsia" w:ascii="Times New Roman" w:hAnsi="Times New Roman" w:eastAsia="仿宋" w:cs="Times New Roman"/>
          <w:sz w:val="32"/>
          <w:szCs w:val="32"/>
        </w:rPr>
        <w:t>万元，主要为信访工作经费100万元，送温暖困难救助经费8万元，综合办公楼运行经费26.5万元，化解疑难信访问题资金50万元，依法治访宣传经费5万元，信访信息系统运行经费3.5万元；其他支出0万元。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仿宋" w:hAnsi="仿宋" w:eastAsia="仿宋" w:cs="Times New Roman"/>
          <w:sz w:val="32"/>
          <w:szCs w:val="32"/>
        </w:rPr>
      </w:pPr>
      <w:r>
        <w:rPr>
          <w:rFonts w:hint="eastAsia" w:ascii="仿宋" w:hAnsi="仿宋" w:eastAsia="仿宋" w:cs="Times New Roman"/>
          <w:sz w:val="32"/>
          <w:szCs w:val="32"/>
        </w:rPr>
        <w:t>2020年部门预算收支安排</w:t>
      </w:r>
      <w:r>
        <w:rPr>
          <w:rFonts w:ascii="仿宋" w:hAnsi="仿宋" w:eastAsia="仿宋" w:cs="Times New Roman"/>
          <w:sz w:val="32"/>
          <w:szCs w:val="32"/>
        </w:rPr>
        <w:t>483.69</w:t>
      </w:r>
      <w:r>
        <w:rPr>
          <w:rFonts w:hint="eastAsia" w:ascii="仿宋" w:hAnsi="仿宋" w:eastAsia="仿宋" w:cs="Times New Roman"/>
          <w:sz w:val="32"/>
          <w:szCs w:val="32"/>
        </w:rPr>
        <w:t>万元，较2019年增加11.09万元，其中：基本支出增加24.69万元，主要是人员增加，相应增加人员经费和日常公用经费；项目支出减少</w:t>
      </w:r>
      <w:r>
        <w:rPr>
          <w:rFonts w:hint="eastAsia" w:ascii="仿宋" w:hAnsi="仿宋" w:eastAsia="仿宋"/>
          <w:sz w:val="28"/>
          <w:szCs w:val="28"/>
        </w:rPr>
        <w:t>13.6</w:t>
      </w:r>
      <w:r>
        <w:rPr>
          <w:rFonts w:hint="eastAsia" w:ascii="仿宋" w:hAnsi="仿宋" w:eastAsia="仿宋" w:cs="Times New Roman"/>
          <w:sz w:val="32"/>
          <w:szCs w:val="32"/>
        </w:rPr>
        <w:t>万元，主要是减少办公楼运行费用。</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ascii="Times New Roman" w:hAnsi="Times New Roman" w:eastAsia="仿宋" w:cs="Times New Roman"/>
          <w:sz w:val="32"/>
          <w:szCs w:val="32"/>
        </w:rPr>
        <w:t>29.75</w:t>
      </w:r>
      <w:r>
        <w:rPr>
          <w:rFonts w:hint="eastAsia" w:ascii="Times New Roman" w:hAnsi="Times New Roman" w:eastAsia="仿宋" w:cs="Times New Roman"/>
          <w:sz w:val="32"/>
          <w:szCs w:val="32"/>
        </w:rPr>
        <w:t>万元，主要用于保证机关正常运转的办公及印刷费、邮电费、办公用房水电费、日常维修费费等支出。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2020年，我部门财政拨款“三公”经费预算安排0万元，与上年持平，无增减变化，其中：</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因公出国（境）费0万元，与上年持平，无增减变化；</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公务用车购置及运维费0万元，与上年持平，无增减变化；</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公务接待费0万元，与上年持平，无增减变化。</w:t>
      </w:r>
    </w:p>
    <w:p>
      <w:pPr>
        <w:pStyle w:val="14"/>
        <w:numPr>
          <w:ilvl w:val="0"/>
          <w:numId w:val="1"/>
        </w:numPr>
        <w:autoSpaceDE w:val="0"/>
        <w:autoSpaceDN w:val="0"/>
        <w:adjustRightInd w:val="0"/>
        <w:ind w:firstLineChars="0"/>
        <w:jc w:val="left"/>
        <w:rPr>
          <w:rFonts w:ascii="黑体" w:hAnsi="黑体" w:eastAsia="黑体" w:cs="Times New Roman"/>
          <w:sz w:val="32"/>
          <w:szCs w:val="32"/>
        </w:rPr>
      </w:pPr>
      <w:r>
        <w:rPr>
          <w:rFonts w:hint="eastAsia" w:ascii="黑体" w:hAnsi="黑体" w:eastAsia="黑体" w:cs="Times New Roman"/>
          <w:sz w:val="32"/>
          <w:szCs w:val="32"/>
        </w:rPr>
        <w:t>预算绩效信息</w:t>
      </w:r>
    </w:p>
    <w:p>
      <w:pPr>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第一部分  部门整体绩效目标</w:t>
      </w:r>
    </w:p>
    <w:p>
      <w:pPr>
        <w:pStyle w:val="14"/>
        <w:ind w:left="360" w:firstLine="320" w:firstLineChars="100"/>
        <w:jc w:val="left"/>
        <w:rPr>
          <w:rFonts w:ascii="黑体" w:hAnsi="黑体" w:eastAsia="黑体" w:cs="Times New Roman"/>
          <w:sz w:val="32"/>
          <w:szCs w:val="32"/>
        </w:rPr>
      </w:pPr>
      <w:r>
        <w:rPr>
          <w:rFonts w:hint="eastAsia" w:ascii="楷体" w:hAnsi="楷体" w:eastAsia="楷体"/>
          <w:sz w:val="32"/>
          <w:szCs w:val="32"/>
        </w:rPr>
        <w:t>（一）</w:t>
      </w:r>
      <w:r>
        <w:rPr>
          <w:rFonts w:hint="eastAsia" w:ascii="仿宋" w:hAnsi="仿宋" w:eastAsia="仿宋" w:cs="Times New Roman"/>
          <w:b/>
          <w:sz w:val="32"/>
          <w:szCs w:val="32"/>
        </w:rPr>
        <w:t>总体绩效目标</w:t>
      </w:r>
      <w:r>
        <w:rPr>
          <w:rFonts w:hint="eastAsia" w:ascii="仿宋" w:hAnsi="仿宋" w:eastAsia="仿宋"/>
          <w:sz w:val="32"/>
          <w:szCs w:val="32"/>
        </w:rPr>
        <w:fldChar w:fldCharType="begin"/>
      </w:r>
      <w:r>
        <w:rPr>
          <w:rFonts w:hint="eastAsia" w:ascii="仿宋" w:hAnsi="仿宋" w:eastAsia="仿宋"/>
          <w:sz w:val="32"/>
          <w:szCs w:val="32"/>
        </w:rPr>
        <w:instrText xml:space="preserve"> TC </w:instrText>
      </w:r>
      <w:bookmarkStart w:id="1" w:name="_Toc29484628"/>
      <w:r>
        <w:rPr>
          <w:rFonts w:hint="eastAsia" w:ascii="仿宋" w:hAnsi="仿宋" w:eastAsia="仿宋"/>
          <w:sz w:val="32"/>
          <w:szCs w:val="32"/>
        </w:rPr>
        <w:instrText xml:space="preserve">总体绩效目标</w:instrText>
      </w:r>
      <w:bookmarkEnd w:id="1"/>
      <w:r>
        <w:rPr>
          <w:rFonts w:hint="eastAsia" w:ascii="仿宋" w:hAnsi="仿宋" w:eastAsia="仿宋"/>
          <w:sz w:val="32"/>
          <w:szCs w:val="32"/>
        </w:rPr>
        <w:instrText xml:space="preserve"> \f A \l 1 </w:instrText>
      </w:r>
      <w:r>
        <w:rPr>
          <w:rFonts w:hint="eastAsia" w:ascii="仿宋" w:hAnsi="仿宋" w:eastAsia="仿宋"/>
          <w:sz w:val="32"/>
          <w:szCs w:val="32"/>
        </w:rPr>
        <w:fldChar w:fldCharType="end"/>
      </w:r>
    </w:p>
    <w:p>
      <w:pPr>
        <w:ind w:firstLine="640" w:firstLineChars="200"/>
        <w:jc w:val="left"/>
        <w:rPr>
          <w:rFonts w:ascii="仿宋" w:hAnsi="仿宋" w:eastAsia="仿宋"/>
          <w:sz w:val="32"/>
          <w:szCs w:val="32"/>
        </w:rPr>
      </w:pPr>
      <w:r>
        <w:rPr>
          <w:rFonts w:hint="eastAsia" w:ascii="仿宋" w:hAnsi="仿宋" w:eastAsia="仿宋"/>
          <w:sz w:val="32"/>
          <w:szCs w:val="32"/>
        </w:rPr>
        <w:t>以“事要解决”为根本,坚持以人民为中心理念,坚持稳中求进工作总基调践行“四个意识”,做到“两个维护”,全力推动信访工作高质量发展确保中央、省和市委、市政府关于信访工作的系列决策部署在本地本部门本系统落实到位;确保群众合理合法诉求得到依法、及时、就地解决;确保进京赴省到市上访量持续明显下降;确保不发生因信访问题引发的有政治影响案(事)件和重大舆情事件;确保不发生重大刑事命案和严重精神障碍患者肇事肇祸重大案(事)件;确保不发生较大及以上生产安全和食品药品安全事故。努力实现“北京不能去、河北不能聚”的目标要求,切实当好首都政治“护城河”,维护全区社会和谐稳定。</w:t>
      </w:r>
    </w:p>
    <w:p>
      <w:pPr>
        <w:ind w:firstLine="643" w:firstLineChars="200"/>
        <w:jc w:val="left"/>
        <w:rPr>
          <w:rFonts w:ascii="楷体" w:hAnsi="楷体" w:eastAsia="楷体"/>
          <w:sz w:val="32"/>
          <w:szCs w:val="32"/>
        </w:rPr>
      </w:pPr>
      <w:r>
        <w:rPr>
          <w:rFonts w:hint="eastAsia" w:ascii="仿宋" w:hAnsi="仿宋" w:eastAsia="仿宋" w:cs="Times New Roman"/>
          <w:b/>
          <w:sz w:val="32"/>
          <w:szCs w:val="32"/>
        </w:rPr>
        <w:t>（二）分项绩效目标</w:t>
      </w:r>
      <w:r>
        <w:rPr>
          <w:rFonts w:hint="eastAsia" w:ascii="楷体" w:hAnsi="楷体" w:eastAsia="楷体"/>
          <w:sz w:val="32"/>
          <w:szCs w:val="32"/>
        </w:rPr>
        <w:fldChar w:fldCharType="begin"/>
      </w:r>
      <w:r>
        <w:rPr>
          <w:rFonts w:hint="eastAsia" w:ascii="楷体" w:hAnsi="楷体" w:eastAsia="楷体"/>
          <w:sz w:val="32"/>
          <w:szCs w:val="32"/>
        </w:rPr>
        <w:instrText xml:space="preserve"> TC </w:instrText>
      </w:r>
      <w:bookmarkStart w:id="2" w:name="_Toc29484629"/>
      <w:r>
        <w:rPr>
          <w:rFonts w:hint="eastAsia" w:ascii="楷体" w:hAnsi="楷体" w:eastAsia="楷体"/>
          <w:sz w:val="32"/>
          <w:szCs w:val="32"/>
        </w:rPr>
        <w:instrText xml:space="preserve">分项绩效目标</w:instrText>
      </w:r>
      <w:bookmarkEnd w:id="2"/>
      <w:r>
        <w:rPr>
          <w:rFonts w:hint="eastAsia" w:ascii="楷体" w:hAnsi="楷体" w:eastAsia="楷体"/>
          <w:sz w:val="32"/>
          <w:szCs w:val="32"/>
        </w:rPr>
        <w:instrText xml:space="preserve"> \f A \l 1 </w:instrText>
      </w:r>
      <w:r>
        <w:rPr>
          <w:rFonts w:hint="eastAsia" w:ascii="楷体" w:hAnsi="楷体" w:eastAsia="楷体"/>
          <w:sz w:val="32"/>
          <w:szCs w:val="32"/>
        </w:rPr>
        <w:fldChar w:fldCharType="end"/>
      </w:r>
    </w:p>
    <w:p>
      <w:pPr>
        <w:spacing w:line="560" w:lineRule="exact"/>
        <w:ind w:firstLine="629"/>
        <w:rPr>
          <w:rFonts w:ascii="楷体" w:hAnsi="楷体" w:eastAsia="楷体"/>
          <w:sz w:val="32"/>
          <w:szCs w:val="32"/>
        </w:rPr>
      </w:pPr>
      <w:r>
        <w:rPr>
          <w:rFonts w:hint="eastAsia" w:ascii="楷体" w:hAnsi="楷体" w:eastAsia="楷体"/>
          <w:sz w:val="32"/>
          <w:szCs w:val="32"/>
        </w:rPr>
        <w:t>1.加强信访工作经费保障</w:t>
      </w:r>
    </w:p>
    <w:p>
      <w:pPr>
        <w:spacing w:line="560" w:lineRule="exact"/>
        <w:ind w:firstLine="629"/>
        <w:rPr>
          <w:rFonts w:ascii="仿宋_GB2312" w:eastAsia="仿宋_GB2312"/>
          <w:sz w:val="32"/>
          <w:szCs w:val="32"/>
        </w:rPr>
      </w:pPr>
      <w:r>
        <w:rPr>
          <w:rFonts w:hint="eastAsia" w:ascii="仿宋" w:hAnsi="仿宋" w:eastAsia="仿宋"/>
          <w:b/>
          <w:sz w:val="32"/>
          <w:szCs w:val="32"/>
        </w:rPr>
        <w:t>绩效目标：</w:t>
      </w:r>
      <w:r>
        <w:rPr>
          <w:rFonts w:hint="eastAsia" w:ascii="仿宋_GB2312" w:eastAsia="仿宋_GB2312"/>
          <w:sz w:val="32"/>
          <w:szCs w:val="32"/>
        </w:rPr>
        <w:t>集中工作力量，与相关乡镇部门协调联动，开展驻京和省市值班工作,及时处置进京访、赴省到市集体访问题及紧急突发性信访事件，确保全区社会和谐稳定。</w:t>
      </w:r>
    </w:p>
    <w:p>
      <w:pPr>
        <w:spacing w:line="560" w:lineRule="exact"/>
        <w:ind w:firstLine="629"/>
        <w:rPr>
          <w:rFonts w:eastAsia="方正黑体_GBK"/>
          <w:sz w:val="32"/>
          <w:szCs w:val="32"/>
        </w:rPr>
      </w:pPr>
      <w:r>
        <w:rPr>
          <w:rFonts w:hint="eastAsia" w:ascii="仿宋" w:hAnsi="仿宋" w:eastAsia="仿宋"/>
          <w:b/>
          <w:sz w:val="32"/>
          <w:szCs w:val="32"/>
        </w:rPr>
        <w:t>绩效指标：</w:t>
      </w:r>
      <w:r>
        <w:rPr>
          <w:rFonts w:hint="eastAsia" w:ascii="仿宋_GB2312" w:hAnsi="仿宋_GB2312" w:eastAsia="仿宋_GB2312" w:cs="仿宋_GB2312"/>
          <w:sz w:val="32"/>
          <w:szCs w:val="32"/>
        </w:rPr>
        <w:t>到北京非接待场所上访、进京访、赴省集体访等几项考核指标持续下降</w:t>
      </w:r>
      <w:r>
        <w:rPr>
          <w:rFonts w:hint="eastAsia" w:ascii="仿宋_GB2312" w:eastAsia="仿宋_GB2312"/>
          <w:sz w:val="32"/>
          <w:szCs w:val="32"/>
        </w:rPr>
        <w:t>。</w:t>
      </w:r>
    </w:p>
    <w:p>
      <w:pPr>
        <w:spacing w:line="560" w:lineRule="exact"/>
        <w:ind w:firstLine="629"/>
        <w:rPr>
          <w:rFonts w:ascii="楷体" w:hAnsi="楷体" w:eastAsia="楷体"/>
          <w:sz w:val="32"/>
          <w:szCs w:val="32"/>
        </w:rPr>
      </w:pPr>
      <w:r>
        <w:rPr>
          <w:rFonts w:hint="eastAsia" w:ascii="楷体" w:hAnsi="楷体" w:eastAsia="楷体"/>
          <w:sz w:val="32"/>
          <w:szCs w:val="32"/>
        </w:rPr>
        <w:t>2.维护综合办公楼运行</w:t>
      </w:r>
    </w:p>
    <w:p>
      <w:pPr>
        <w:adjustRightInd w:val="0"/>
        <w:snapToGrid w:val="0"/>
        <w:spacing w:line="560" w:lineRule="exact"/>
        <w:ind w:firstLine="643" w:firstLineChars="200"/>
        <w:rPr>
          <w:rFonts w:ascii="仿宋" w:hAnsi="仿宋" w:eastAsia="仿宋"/>
          <w:sz w:val="32"/>
          <w:szCs w:val="32"/>
        </w:rPr>
      </w:pPr>
      <w:r>
        <w:rPr>
          <w:rFonts w:hint="eastAsia" w:ascii="仿宋" w:hAnsi="仿宋" w:eastAsia="仿宋"/>
          <w:b/>
          <w:sz w:val="32"/>
          <w:szCs w:val="32"/>
        </w:rPr>
        <w:t>绩效目标：</w:t>
      </w:r>
      <w:r>
        <w:rPr>
          <w:rFonts w:hint="eastAsia" w:ascii="仿宋" w:hAnsi="仿宋" w:eastAsia="仿宋"/>
          <w:sz w:val="32"/>
          <w:szCs w:val="32"/>
        </w:rPr>
        <w:t>保障综合办公楼水电供应及室内外环境卫生；维护信访接待场所公共秩序，保障公共场所安全；定期对综合办公楼进行维修维护。</w:t>
      </w:r>
    </w:p>
    <w:p>
      <w:pPr>
        <w:adjustRightInd w:val="0"/>
        <w:snapToGrid w:val="0"/>
        <w:spacing w:line="560" w:lineRule="exact"/>
        <w:ind w:firstLine="643" w:firstLineChars="200"/>
        <w:rPr>
          <w:rFonts w:ascii="仿宋_GB2312" w:eastAsia="仿宋_GB2312"/>
          <w:sz w:val="32"/>
          <w:szCs w:val="32"/>
        </w:rPr>
      </w:pPr>
      <w:r>
        <w:rPr>
          <w:rFonts w:hint="eastAsia" w:ascii="仿宋" w:hAnsi="仿宋" w:eastAsia="仿宋"/>
          <w:b/>
          <w:sz w:val="32"/>
          <w:szCs w:val="32"/>
        </w:rPr>
        <w:t>绩效指标：</w:t>
      </w:r>
      <w:r>
        <w:rPr>
          <w:rFonts w:hint="eastAsia" w:ascii="仿宋_GB2312" w:eastAsia="仿宋_GB2312"/>
          <w:sz w:val="32"/>
          <w:szCs w:val="32"/>
        </w:rPr>
        <w:t>提高办公效率，使来访群众都能得到及时接待，群众来访接待率100%，群众满意率95%以上。</w:t>
      </w:r>
    </w:p>
    <w:p>
      <w:pPr>
        <w:spacing w:line="560" w:lineRule="exact"/>
        <w:ind w:firstLine="629"/>
        <w:rPr>
          <w:rFonts w:ascii="楷体" w:hAnsi="楷体" w:eastAsia="楷体"/>
          <w:sz w:val="32"/>
          <w:szCs w:val="32"/>
        </w:rPr>
      </w:pPr>
      <w:r>
        <w:rPr>
          <w:rFonts w:hint="eastAsia" w:ascii="楷体" w:hAnsi="楷体" w:eastAsia="楷体"/>
          <w:sz w:val="32"/>
          <w:szCs w:val="32"/>
        </w:rPr>
        <w:t>3.加强依法治访工作力度</w:t>
      </w:r>
    </w:p>
    <w:p>
      <w:pPr>
        <w:spacing w:line="560" w:lineRule="exact"/>
        <w:ind w:firstLine="629"/>
        <w:rPr>
          <w:rFonts w:ascii="仿宋" w:hAnsi="仿宋" w:eastAsia="仿宋" w:cs="仿宋"/>
          <w:sz w:val="32"/>
          <w:szCs w:val="32"/>
        </w:rPr>
      </w:pPr>
      <w:r>
        <w:rPr>
          <w:rFonts w:hint="eastAsia" w:ascii="仿宋" w:hAnsi="仿宋" w:eastAsia="仿宋"/>
          <w:b/>
          <w:sz w:val="32"/>
          <w:szCs w:val="32"/>
        </w:rPr>
        <w:t>绩效目标：</w:t>
      </w:r>
      <w:r>
        <w:rPr>
          <w:rFonts w:hint="eastAsia" w:ascii="仿宋_GB2312" w:hAnsi="仿宋_GB2312" w:eastAsia="仿宋_GB2312" w:cs="仿宋_GB2312"/>
          <w:sz w:val="32"/>
          <w:szCs w:val="32"/>
        </w:rPr>
        <w:t>学习邯郸武安市、成安县经验做法，加强依法治访工作宣传力度</w:t>
      </w:r>
      <w:r>
        <w:rPr>
          <w:rFonts w:hint="eastAsia" w:ascii="仿宋" w:hAnsi="仿宋" w:eastAsia="仿宋" w:cs="仿宋"/>
          <w:sz w:val="32"/>
          <w:szCs w:val="32"/>
        </w:rPr>
        <w:t>，加大对违法上访人员的打击力度，维护正常信访秩序。</w:t>
      </w:r>
    </w:p>
    <w:p>
      <w:pPr>
        <w:spacing w:line="560" w:lineRule="exact"/>
        <w:ind w:firstLine="629"/>
        <w:rPr>
          <w:rFonts w:ascii="仿宋" w:hAnsi="仿宋" w:eastAsia="仿宋"/>
          <w:sz w:val="32"/>
          <w:szCs w:val="32"/>
        </w:rPr>
      </w:pPr>
      <w:r>
        <w:rPr>
          <w:rFonts w:hint="eastAsia" w:ascii="仿宋" w:hAnsi="仿宋" w:eastAsia="仿宋"/>
          <w:b/>
          <w:sz w:val="32"/>
          <w:szCs w:val="32"/>
        </w:rPr>
        <w:t>绩效指标：</w:t>
      </w:r>
      <w:r>
        <w:rPr>
          <w:rFonts w:hint="eastAsia" w:ascii="仿宋" w:hAnsi="仿宋" w:eastAsia="仿宋"/>
          <w:sz w:val="32"/>
          <w:szCs w:val="32"/>
        </w:rPr>
        <w:t>依法治访宣传覆盖面100%，对违法上访人员依法处置面100%。</w:t>
      </w:r>
    </w:p>
    <w:p>
      <w:pPr>
        <w:spacing w:line="560" w:lineRule="exact"/>
        <w:ind w:firstLine="629"/>
        <w:rPr>
          <w:rFonts w:ascii="楷体" w:hAnsi="楷体" w:eastAsia="楷体"/>
          <w:sz w:val="32"/>
          <w:szCs w:val="32"/>
        </w:rPr>
      </w:pPr>
      <w:r>
        <w:rPr>
          <w:rFonts w:hint="eastAsia" w:ascii="楷体" w:hAnsi="楷体" w:eastAsia="楷体"/>
          <w:sz w:val="32"/>
          <w:szCs w:val="32"/>
        </w:rPr>
        <w:t>4.做好送温暖困难救助</w:t>
      </w:r>
    </w:p>
    <w:p>
      <w:pPr>
        <w:spacing w:line="560" w:lineRule="exact"/>
        <w:ind w:firstLine="629"/>
        <w:rPr>
          <w:rFonts w:ascii="仿宋" w:hAnsi="仿宋" w:eastAsia="仿宋"/>
          <w:sz w:val="32"/>
          <w:szCs w:val="32"/>
        </w:rPr>
      </w:pPr>
      <w:r>
        <w:rPr>
          <w:rFonts w:hint="eastAsia" w:ascii="仿宋" w:hAnsi="仿宋" w:eastAsia="仿宋"/>
          <w:b/>
          <w:sz w:val="32"/>
          <w:szCs w:val="32"/>
        </w:rPr>
        <w:t>绩效目标：</w:t>
      </w:r>
      <w:r>
        <w:rPr>
          <w:rFonts w:hint="eastAsia" w:ascii="仿宋" w:hAnsi="仿宋" w:eastAsia="仿宋"/>
          <w:sz w:val="32"/>
          <w:szCs w:val="32"/>
        </w:rPr>
        <w:t>对生产生活中存在实际困难的信访群众帮扶救助到位。</w:t>
      </w:r>
    </w:p>
    <w:p>
      <w:pPr>
        <w:spacing w:line="560" w:lineRule="exact"/>
        <w:ind w:firstLine="629"/>
        <w:rPr>
          <w:rFonts w:ascii="仿宋" w:hAnsi="仿宋" w:eastAsia="仿宋"/>
          <w:sz w:val="32"/>
          <w:szCs w:val="32"/>
        </w:rPr>
      </w:pPr>
      <w:r>
        <w:rPr>
          <w:rFonts w:hint="eastAsia" w:ascii="仿宋" w:hAnsi="仿宋" w:eastAsia="仿宋"/>
          <w:b/>
          <w:sz w:val="32"/>
          <w:szCs w:val="32"/>
        </w:rPr>
        <w:t>绩效指标：</w:t>
      </w:r>
      <w:r>
        <w:rPr>
          <w:rFonts w:hint="eastAsia" w:ascii="仿宋" w:hAnsi="仿宋" w:eastAsia="仿宋"/>
          <w:sz w:val="32"/>
          <w:szCs w:val="32"/>
        </w:rPr>
        <w:t>困难信访群众帮扶救助率达到95%。</w:t>
      </w:r>
    </w:p>
    <w:p>
      <w:pPr>
        <w:spacing w:line="560" w:lineRule="exact"/>
        <w:ind w:firstLine="629"/>
        <w:rPr>
          <w:rFonts w:ascii="楷体" w:hAnsi="楷体" w:eastAsia="楷体"/>
          <w:sz w:val="32"/>
          <w:szCs w:val="32"/>
        </w:rPr>
      </w:pPr>
      <w:r>
        <w:rPr>
          <w:rFonts w:hint="eastAsia" w:ascii="楷体" w:hAnsi="楷体" w:eastAsia="楷体"/>
          <w:sz w:val="32"/>
          <w:szCs w:val="32"/>
        </w:rPr>
        <w:t>5.做好信访信息系统运行和维护</w:t>
      </w:r>
    </w:p>
    <w:p>
      <w:pPr>
        <w:spacing w:line="560" w:lineRule="exact"/>
        <w:ind w:firstLine="629"/>
        <w:rPr>
          <w:rFonts w:eastAsia="方正黑体_GBK"/>
          <w:sz w:val="32"/>
          <w:szCs w:val="32"/>
        </w:rPr>
      </w:pPr>
      <w:r>
        <w:rPr>
          <w:rFonts w:hint="eastAsia" w:ascii="仿宋" w:hAnsi="仿宋" w:eastAsia="仿宋"/>
          <w:b/>
          <w:sz w:val="32"/>
          <w:szCs w:val="32"/>
        </w:rPr>
        <w:t>绩效目标：</w:t>
      </w:r>
      <w:r>
        <w:rPr>
          <w:rFonts w:hint="eastAsia" w:ascii="仿宋" w:hAnsi="仿宋" w:eastAsia="仿宋"/>
          <w:sz w:val="32"/>
          <w:szCs w:val="32"/>
        </w:rPr>
        <w:t>加强信访信息化建设，提高工作效率。</w:t>
      </w:r>
    </w:p>
    <w:p>
      <w:pPr>
        <w:spacing w:line="560" w:lineRule="exact"/>
        <w:ind w:firstLine="629"/>
        <w:rPr>
          <w:rFonts w:ascii="仿宋" w:hAnsi="仿宋" w:eastAsia="仿宋"/>
          <w:sz w:val="32"/>
          <w:szCs w:val="32"/>
        </w:rPr>
      </w:pPr>
      <w:r>
        <w:rPr>
          <w:rFonts w:hint="eastAsia" w:ascii="仿宋" w:hAnsi="仿宋" w:eastAsia="仿宋"/>
          <w:b/>
          <w:sz w:val="32"/>
          <w:szCs w:val="32"/>
        </w:rPr>
        <w:t>绩效指标：</w:t>
      </w:r>
      <w:r>
        <w:rPr>
          <w:rFonts w:hint="eastAsia" w:ascii="仿宋" w:hAnsi="仿宋" w:eastAsia="仿宋"/>
          <w:sz w:val="32"/>
          <w:szCs w:val="32"/>
        </w:rPr>
        <w:t>信访事项及时办理率100%。</w:t>
      </w:r>
    </w:p>
    <w:p>
      <w:pPr>
        <w:spacing w:line="560" w:lineRule="exact"/>
        <w:ind w:firstLine="629"/>
        <w:rPr>
          <w:rFonts w:ascii="楷体" w:hAnsi="楷体" w:eastAsia="楷体"/>
          <w:sz w:val="32"/>
          <w:szCs w:val="32"/>
        </w:rPr>
      </w:pPr>
      <w:r>
        <w:rPr>
          <w:rFonts w:hint="eastAsia" w:ascii="楷体" w:hAnsi="楷体" w:eastAsia="楷体"/>
          <w:sz w:val="32"/>
          <w:szCs w:val="32"/>
        </w:rPr>
        <w:t>6.加强化解疑难信访问题资金管理和使用</w:t>
      </w:r>
    </w:p>
    <w:p>
      <w:pPr>
        <w:spacing w:line="560" w:lineRule="exact"/>
        <w:ind w:firstLine="629"/>
        <w:rPr>
          <w:rFonts w:ascii="仿宋" w:hAnsi="仿宋" w:eastAsia="仿宋"/>
          <w:sz w:val="32"/>
          <w:szCs w:val="32"/>
        </w:rPr>
      </w:pPr>
      <w:r>
        <w:rPr>
          <w:rFonts w:hint="eastAsia" w:ascii="仿宋" w:hAnsi="仿宋" w:eastAsia="仿宋"/>
          <w:b/>
          <w:sz w:val="32"/>
          <w:szCs w:val="32"/>
        </w:rPr>
        <w:t>绩效目标：</w:t>
      </w:r>
      <w:r>
        <w:rPr>
          <w:rFonts w:hint="eastAsia" w:ascii="仿宋" w:hAnsi="仿宋" w:eastAsia="仿宋"/>
          <w:sz w:val="32"/>
          <w:szCs w:val="32"/>
        </w:rPr>
        <w:t>着力事要解决，力促案结事了、息诉罢访。</w:t>
      </w:r>
    </w:p>
    <w:p>
      <w:pPr>
        <w:spacing w:line="560" w:lineRule="exact"/>
        <w:ind w:firstLine="629"/>
        <w:rPr>
          <w:rFonts w:ascii="仿宋" w:hAnsi="仿宋" w:eastAsia="仿宋"/>
          <w:sz w:val="32"/>
          <w:szCs w:val="32"/>
        </w:rPr>
      </w:pPr>
      <w:r>
        <w:rPr>
          <w:rFonts w:hint="eastAsia" w:ascii="仿宋" w:hAnsi="仿宋" w:eastAsia="仿宋"/>
          <w:b/>
          <w:sz w:val="32"/>
          <w:szCs w:val="32"/>
        </w:rPr>
        <w:t>绩效指标：</w:t>
      </w:r>
      <w:r>
        <w:rPr>
          <w:rFonts w:hint="eastAsia" w:ascii="仿宋" w:hAnsi="仿宋" w:eastAsia="仿宋"/>
          <w:sz w:val="32"/>
          <w:szCs w:val="32"/>
        </w:rPr>
        <w:t>信访事项到期办结率100%、息诉罢访率90%。</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（三）工作保障措施</w:t>
      </w:r>
      <w:r>
        <w:rPr>
          <w:rFonts w:hint="eastAsia" w:ascii="黑体" w:hAnsi="黑体" w:eastAsia="黑体" w:cs="Times New Roman"/>
          <w:sz w:val="32"/>
          <w:szCs w:val="32"/>
        </w:rPr>
        <w:fldChar w:fldCharType="begin"/>
      </w:r>
      <w:r>
        <w:rPr>
          <w:rFonts w:hint="eastAsia" w:ascii="黑体" w:hAnsi="黑体" w:eastAsia="黑体" w:cs="Times New Roman"/>
          <w:sz w:val="32"/>
          <w:szCs w:val="32"/>
        </w:rPr>
        <w:instrText xml:space="preserve"> TC </w:instrText>
      </w:r>
      <w:bookmarkStart w:id="3" w:name="_Toc29484630"/>
      <w:r>
        <w:rPr>
          <w:rFonts w:hint="eastAsia" w:ascii="黑体" w:hAnsi="黑体" w:eastAsia="黑体" w:cs="Times New Roman"/>
          <w:sz w:val="32"/>
          <w:szCs w:val="32"/>
        </w:rPr>
        <w:instrText xml:space="preserve">工作保障措施</w:instrText>
      </w:r>
      <w:bookmarkEnd w:id="3"/>
      <w:r>
        <w:rPr>
          <w:rFonts w:hint="eastAsia" w:ascii="黑体" w:hAnsi="黑体" w:eastAsia="黑体" w:cs="Times New Roman"/>
          <w:sz w:val="32"/>
          <w:szCs w:val="32"/>
        </w:rPr>
        <w:instrText xml:space="preserve"> \f A \l 1 </w:instrText>
      </w:r>
      <w:r>
        <w:rPr>
          <w:rFonts w:hint="eastAsia" w:ascii="黑体" w:hAnsi="黑体" w:eastAsia="黑体" w:cs="Times New Roman"/>
          <w:sz w:val="32"/>
          <w:szCs w:val="32"/>
        </w:rPr>
        <w:fldChar w:fldCharType="end"/>
      </w:r>
    </w:p>
    <w:p>
      <w:pPr>
        <w:spacing w:line="560" w:lineRule="exact"/>
        <w:ind w:firstLine="640" w:firstLineChars="200"/>
        <w:rPr>
          <w:rFonts w:ascii="仿宋" w:hAnsi="仿宋" w:eastAsia="仿宋"/>
          <w:sz w:val="32"/>
          <w:szCs w:val="32"/>
        </w:rPr>
      </w:pPr>
      <w:r>
        <w:rPr>
          <w:rFonts w:hint="eastAsia" w:ascii="仿宋" w:hAnsi="仿宋" w:eastAsia="仿宋"/>
          <w:sz w:val="32"/>
          <w:szCs w:val="32"/>
        </w:rPr>
        <w:t>1.把信访工作列入党委、政府和区直部门要议事日程,定期听工作汇报、分析研判信访形势、研究解决工作中的重点问题,不断进信访工作制度改革创新发展,促进信访工作上水平、上台阶。</w:t>
      </w:r>
    </w:p>
    <w:p>
      <w:pPr>
        <w:spacing w:line="560" w:lineRule="exact"/>
        <w:rPr>
          <w:rFonts w:ascii="仿宋" w:hAnsi="仿宋" w:eastAsia="仿宋"/>
          <w:sz w:val="32"/>
          <w:szCs w:val="32"/>
        </w:rPr>
      </w:pPr>
      <w:r>
        <w:rPr>
          <w:rFonts w:hint="eastAsia" w:ascii="仿宋" w:hAnsi="仿宋" w:eastAsia="仿宋"/>
          <w:sz w:val="32"/>
          <w:szCs w:val="32"/>
        </w:rPr>
        <w:t xml:space="preserve">    2.按照“属地管理、分级负责”,“谁主管、谁负责”,“党政同责原则,压实主要领导负总责、分管领导直接负责、其他领导“一岗责”的信访工作责任,推动本地本部门本系统层层签订《信访工作任书》,建立一级抓一级、层层抓落实的信访工作责任体系。</w:t>
      </w:r>
    </w:p>
    <w:p>
      <w:pPr>
        <w:spacing w:line="560" w:lineRule="exact"/>
        <w:rPr>
          <w:rFonts w:ascii="仿宋" w:hAnsi="仿宋" w:eastAsia="仿宋"/>
          <w:sz w:val="32"/>
          <w:szCs w:val="32"/>
        </w:rPr>
      </w:pPr>
      <w:r>
        <w:rPr>
          <w:rFonts w:hint="eastAsia" w:ascii="仿宋" w:hAnsi="仿宋" w:eastAsia="仿宋"/>
          <w:sz w:val="32"/>
          <w:szCs w:val="32"/>
        </w:rPr>
        <w:t xml:space="preserve">    3.党政主要领导要做到以身作则、率先垂范,认真落实接访约访访和包联化解信访矛盾工作责任,带头按时公开接访、重点约访下访和包联化解重点疑难复杂信访事,推动各级领导干部接访访下访和包联化解信访矛盾落地见效、形成常态。</w:t>
      </w:r>
    </w:p>
    <w:p>
      <w:pPr>
        <w:spacing w:line="560" w:lineRule="exact"/>
        <w:rPr>
          <w:rFonts w:ascii="仿宋" w:hAnsi="仿宋" w:eastAsia="仿宋"/>
          <w:sz w:val="32"/>
          <w:szCs w:val="32"/>
        </w:rPr>
      </w:pPr>
      <w:r>
        <w:rPr>
          <w:rFonts w:hint="eastAsia" w:ascii="仿宋" w:hAnsi="仿宋" w:eastAsia="仿宋"/>
          <w:sz w:val="32"/>
          <w:szCs w:val="32"/>
        </w:rPr>
        <w:t xml:space="preserve">    4.严格落实科学民主依法决策机制实施重大决策社会稳定风险评估,从源头上预防和减少信访问题发生,坚持依法执政、依法行政依法施政,依法及时就地解决信访问题,切实维护群众合理合法权益加强信访矛盾纠纷排查和社会稳定风险防控预警,及时做好各类苗头隐患的防范化解稳定工作。</w:t>
      </w:r>
    </w:p>
    <w:p>
      <w:pPr>
        <w:spacing w:line="560" w:lineRule="exact"/>
        <w:rPr>
          <w:rFonts w:ascii="仿宋" w:hAnsi="仿宋" w:eastAsia="仿宋"/>
          <w:sz w:val="32"/>
          <w:szCs w:val="32"/>
        </w:rPr>
      </w:pPr>
      <w:r>
        <w:rPr>
          <w:rFonts w:hint="eastAsia" w:ascii="仿宋" w:hAnsi="仿宋" w:eastAsia="仿宋"/>
          <w:sz w:val="32"/>
          <w:szCs w:val="32"/>
        </w:rPr>
        <w:t xml:space="preserve">    5.区直有关职能部门要牵头负责,坚持分类施策、事要解决,突出“十项重点”,开展“八项整治”,认真组织专项治理,加强政策研完,制定治本之策,从根本上推动信访问题成批解决。</w:t>
      </w:r>
    </w:p>
    <w:p>
      <w:pPr>
        <w:spacing w:line="560" w:lineRule="exact"/>
        <w:rPr>
          <w:rFonts w:ascii="仿宋" w:hAnsi="仿宋" w:eastAsia="仿宋"/>
          <w:sz w:val="32"/>
          <w:szCs w:val="32"/>
        </w:rPr>
      </w:pPr>
      <w:r>
        <w:rPr>
          <w:rFonts w:hint="eastAsia" w:ascii="仿宋" w:hAnsi="仿宋" w:eastAsia="仿宋"/>
          <w:sz w:val="32"/>
          <w:szCs w:val="32"/>
        </w:rPr>
        <w:t xml:space="preserve">    6.加强信访法治宣传教育,积极引导群众依法理性表达诉求。巩固完善由公安机关牵头,信访部门配合的到非接待场所上访人员接劝返工作机制,依法依规、及时有效地处置信活动中的违法行为,树立法治权威,依法维护信访秩序。</w:t>
      </w:r>
    </w:p>
    <w:p>
      <w:pPr>
        <w:spacing w:line="560" w:lineRule="exact"/>
        <w:rPr>
          <w:rFonts w:ascii="仿宋" w:hAnsi="仿宋" w:eastAsia="仿宋"/>
          <w:sz w:val="32"/>
          <w:szCs w:val="32"/>
        </w:rPr>
      </w:pPr>
      <w:r>
        <w:rPr>
          <w:rFonts w:hint="eastAsia" w:ascii="仿宋" w:hAnsi="仿宋" w:eastAsia="仿宋"/>
          <w:sz w:val="32"/>
          <w:szCs w:val="32"/>
        </w:rPr>
        <w:t xml:space="preserve">    7.把信访工作纳入党委、政府和重点工作督查范围,完善常态化督查机制,发挥督查工作“利剑”作用。完善信访工作考核评价标准和指标体系,严格迫责问贵,兑现奖惩,杜绝信访工作中的形式主义官僚主义。</w:t>
      </w:r>
    </w:p>
    <w:p>
      <w:pPr>
        <w:spacing w:line="560" w:lineRule="exact"/>
        <w:rPr>
          <w:rFonts w:ascii="仿宋" w:hAnsi="仿宋" w:eastAsia="仿宋"/>
          <w:sz w:val="32"/>
          <w:szCs w:val="32"/>
        </w:rPr>
      </w:pPr>
      <w:r>
        <w:rPr>
          <w:rFonts w:hint="eastAsia" w:ascii="仿宋" w:hAnsi="仿宋" w:eastAsia="仿宋"/>
          <w:sz w:val="32"/>
          <w:szCs w:val="32"/>
        </w:rPr>
        <w:t xml:space="preserve">    8.着力建设一支对党忠诚可靠、恪守为民之责、善做群众工作的高素质信访干部队伍,配齐配强信访机构班子力量、督查力量,关心关爱信访干部成长,加强信访干部的培养、交流和使用。</w:t>
      </w:r>
    </w:p>
    <w:p>
      <w:pPr>
        <w:autoSpaceDE w:val="0"/>
        <w:autoSpaceDN w:val="0"/>
        <w:adjustRightInd w:val="0"/>
        <w:ind w:left="198" w:firstLine="643" w:firstLineChars="200"/>
        <w:jc w:val="left"/>
        <w:rPr>
          <w:rFonts w:ascii="Times New Roman" w:hAnsi="Times New Roman" w:eastAsia="方正仿宋_GBK" w:cs="Times New Roman"/>
          <w:b/>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ind w:firstLine="562" w:firstLineChars="200"/>
        <w:jc w:val="left"/>
        <w:outlineLvl w:val="1"/>
        <w:rPr>
          <w:rFonts w:hAnsi="宋体"/>
          <w:b/>
          <w:sz w:val="28"/>
        </w:rPr>
      </w:pPr>
      <w:r>
        <w:rPr>
          <w:rFonts w:hint="eastAsia" w:ascii="方正仿宋_GBK" w:eastAsia="方正仿宋_GBK"/>
          <w:b/>
          <w:sz w:val="28"/>
        </w:rPr>
        <w:t>1、化解疑难信访问题资金绩效目标表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797411"/>
      <w:r>
        <w:rPr>
          <w:rFonts w:hint="eastAsia" w:ascii="方正仿宋_GBK" w:eastAsia="方正仿宋_GBK"/>
          <w:b/>
          <w:sz w:val="28"/>
        </w:rPr>
        <w:instrText xml:space="preserve">1、化解疑难信访问题资金绩效目标表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542002</w:t>
            </w:r>
            <w:r>
              <w:rPr>
                <w:rFonts w:hint="eastAsia" w:ascii="方正书宋_GBK" w:eastAsia="方正书宋_GBK"/>
                <w:b/>
              </w:rPr>
              <w:t>石家庄市藁城区信访局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542-0103-JXN-IDRR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化解疑难信访问题资金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对特殊疑难信访个案且当事人生活确有实际困难的给予救助。同时与落实政策、化解矛盾、疏导教育相结合，实现案结事了、息诉罢访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55.00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、对特殊疑难信访个案且当事人生活确有实际困难的给予救助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、与落实政策、化解矛盾、疏导教育相结合，实现案结事了、息诉罢访</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经济救助到位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对特殊疑难信访个案且当事人生活确有实际困难的给予救助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信访工作三到位一处理的工作要求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与落实政策、化解矛盾、疏导教育相结合，实现案结事了、息诉罢访</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与落实政策、化解矛盾、疏导教育相结合，实现案结事了、息诉罢访</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信访工作三到位一处理的工作要求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信访工作三到位一处理的工作要求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2、送温暖困难救助经费绩效目标表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29797412"/>
      <w:r>
        <w:rPr>
          <w:rFonts w:hint="eastAsia" w:ascii="方正仿宋_GBK" w:eastAsia="方正仿宋_GBK"/>
          <w:b/>
          <w:sz w:val="28"/>
        </w:rPr>
        <w:instrText xml:space="preserve">2、送温暖困难救助经费绩效目标表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542002</w:t>
            </w:r>
            <w:r>
              <w:rPr>
                <w:rFonts w:hint="eastAsia" w:ascii="方正书宋_GBK" w:eastAsia="方正书宋_GBK"/>
                <w:b/>
              </w:rPr>
              <w:t>石家庄市藁城区信访局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542-0203-JBN-FFOR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送温暖困难救助经费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对在生产和生活方面存在实际困难的信访群众进行走访慰问，开展帮扶救助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、按照信访工作</w:t>
            </w:r>
            <w:r>
              <w:rPr>
                <w:rFonts w:hint="cs" w:ascii="方正书宋_GBK" w:eastAsia="方正书宋_GBK"/>
              </w:rPr>
              <w:t>“</w:t>
            </w:r>
            <w:r>
              <w:rPr>
                <w:rFonts w:hint="eastAsia" w:ascii="方正书宋_GBK" w:eastAsia="方正书宋_GBK"/>
              </w:rPr>
              <w:t>三到位一处理</w:t>
            </w:r>
            <w:r>
              <w:rPr>
                <w:rFonts w:hint="cs" w:ascii="方正书宋_GBK" w:eastAsia="方正书宋_GBK"/>
              </w:rPr>
              <w:t>”</w:t>
            </w:r>
            <w:r>
              <w:rPr>
                <w:rFonts w:hint="eastAsia" w:ascii="方正书宋_GBK" w:eastAsia="方正书宋_GBK"/>
              </w:rPr>
              <w:t>的要求，切实做到生活困难的帮扶救助到位，促进社会稳定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、发挥信访部门是党和政府联系群众的桥梁和纽带的作用，体现党和政府的人文关怀，为解决信访问题奠定基础</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困难帮扶到位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通过困难帮扶救助，让信访群众感受到党和政府的关心和温暖，为解决问题奠定感情基础</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通过困难帮扶救助，让信访群众感受到党和政府的关心和温暖，为解决问题奠定感情基础</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3、信访工作经费绩效目标表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29797413"/>
      <w:r>
        <w:rPr>
          <w:rFonts w:hint="eastAsia" w:ascii="方正仿宋_GBK" w:eastAsia="方正仿宋_GBK"/>
          <w:b/>
          <w:sz w:val="28"/>
        </w:rPr>
        <w:instrText xml:space="preserve">3、信访工作经费绩效目标表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542002</w:t>
            </w:r>
            <w:r>
              <w:rPr>
                <w:rFonts w:hint="eastAsia" w:ascii="方正书宋_GBK" w:eastAsia="方正书宋_GBK"/>
                <w:b/>
              </w:rPr>
              <w:t>石家庄市藁城区信访局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542-0203-JXN-7UGG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信访工作经费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集中工作力量，于相关部门协调联动，开展驻京和省市值班工作，及时处置进京赴省到市越级访问题及突发性、紧急信访事件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、进京访、越级集体访等各项指标下降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、重大政治活动和敏感时期不发生影响社会大局稳定的信访问题</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进京访、越级集体访同比下降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下降</w:t>
            </w:r>
            <w:r>
              <w:rPr>
                <w:rFonts w:ascii="方正书宋_GBK" w:eastAsia="方正书宋_GBK"/>
              </w:rPr>
              <w:t>30%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和去年信访事件相比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维护重点区域的正常工作秩序，及时处置影响社会稳定的各类信访问题，做好组织协调、接访劝返、服务保障等工作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维护重点区域的正常工作秩序，及时处置影响社会稳定的各类信访问题，做好组织协调、接访劝返、服务保障等工作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群众反映的问题及时妥善解决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群众反映的问题及时妥善解决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工作安排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4、信访局综治中心公车平台综合办公楼运行绩效目标表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29797414"/>
      <w:r>
        <w:rPr>
          <w:rFonts w:hint="eastAsia" w:ascii="方正仿宋_GBK" w:eastAsia="方正仿宋_GBK"/>
          <w:b/>
          <w:sz w:val="28"/>
        </w:rPr>
        <w:instrText xml:space="preserve">4、信访局综治中心公车平台综合办公楼运行绩效目标表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542002</w:t>
            </w:r>
            <w:r>
              <w:rPr>
                <w:rFonts w:hint="eastAsia" w:ascii="方正书宋_GBK" w:eastAsia="方正书宋_GBK"/>
                <w:b/>
              </w:rPr>
              <w:t>石家庄市藁城区信访局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542-0204-JBN-25ZV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信访局综治中心公车平台综合办公楼运行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27.00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27.00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保障综合办公楼水电供应及室内外环境卫生；维护信访接待场所公共秩序，保障公共场所安全；定期对综合办公楼进行维修维护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、保障综合办公楼的正常运行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、提高办公效率，使来访群众得到及时接待受理</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提高办公效率，使来访群众得到及时接待受理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提高办公效率，使来访群众得到及时接待受理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保障综合办公楼的正常运行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接待来访群众有序，日常工作高效运转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接待来访群众有序，日常工作高效运转</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保障综合办公楼的正常运行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&gt;090%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接待来访群众有序，日常工作高效运转</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5、信访信息系统运行与维护绩效目标表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29797415"/>
      <w:r>
        <w:rPr>
          <w:rFonts w:hint="eastAsia" w:ascii="方正仿宋_GBK" w:eastAsia="方正仿宋_GBK"/>
          <w:b/>
          <w:sz w:val="28"/>
        </w:rPr>
        <w:instrText xml:space="preserve">5、信访信息系统运行与维护绩效目标表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542002</w:t>
            </w:r>
            <w:r>
              <w:rPr>
                <w:rFonts w:hint="eastAsia" w:ascii="方正书宋_GBK" w:eastAsia="方正书宋_GBK"/>
                <w:b/>
              </w:rPr>
              <w:t>石家庄市藁城区信访局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542-0202-JBN-KBQH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信访信息系统运行与维护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建立完善信访信息系统，加强</w:t>
            </w:r>
            <w:r>
              <w:rPr>
                <w:rFonts w:hint="cs" w:ascii="方正书宋_GBK" w:eastAsia="方正书宋_GBK"/>
              </w:rPr>
              <w:t>“</w:t>
            </w:r>
            <w:r>
              <w:rPr>
                <w:rFonts w:hint="eastAsia" w:ascii="方正书宋_GBK" w:eastAsia="方正书宋_GBK"/>
              </w:rPr>
              <w:t>网上信访</w:t>
            </w:r>
            <w:r>
              <w:rPr>
                <w:rFonts w:hint="cs" w:ascii="方正书宋_GBK" w:eastAsia="方正书宋_GBK"/>
              </w:rPr>
              <w:t>”</w:t>
            </w:r>
            <w:r>
              <w:rPr>
                <w:rFonts w:hint="eastAsia" w:ascii="方正书宋_GBK" w:eastAsia="方正书宋_GBK"/>
              </w:rPr>
              <w:t>信息系统建设，实现信访业务、工作过程、工作范围全覆盖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、视频接访系统与省市对接畅通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、强化网上信访应用，提高办公效率</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对接畅通</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不发生影响省市区三级视频接访的失联断联问题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不发生影响省市区三级视频接访的失联断联问题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视频接访系统与省市对接畅通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提高处理信访事项的效率和效果，推进信访问题及时有效解决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提高处理信访事项的效率和效果，推进信访问题及时有效解决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强化网上信访应用，提高办公效率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群众信访案件及时受理率、办理结果满意率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提高处理信访事项的效率和效果，推进信访问题及时有效解决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强化网上信访应用，提高办公效率</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6、依法治访宣传经费绩效目标表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29797416"/>
      <w:r>
        <w:rPr>
          <w:rFonts w:hint="eastAsia" w:ascii="方正仿宋_GBK" w:eastAsia="方正仿宋_GBK"/>
          <w:b/>
          <w:sz w:val="28"/>
        </w:rPr>
        <w:instrText xml:space="preserve">6、依法治访宣传经费绩效目标表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542002</w:t>
            </w:r>
            <w:r>
              <w:rPr>
                <w:rFonts w:hint="eastAsia" w:ascii="方正书宋_GBK" w:eastAsia="方正书宋_GBK"/>
                <w:b/>
              </w:rPr>
              <w:t>石家庄市藁城区信访局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542-0201-JBN-HLZ4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依法治访宣传经费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加大依法治访宣传力度，组织开展信访法律法规宣传活动，开展《信访条例》等法律法规的学习培训。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、引导信访人依法理性反映诉求，营造良好的</w:t>
            </w:r>
            <w:bookmarkStart w:id="12" w:name="_GoBack"/>
            <w:bookmarkEnd w:id="12"/>
            <w:r>
              <w:rPr>
                <w:rFonts w:hint="eastAsia" w:ascii="方正书宋_GBK" w:eastAsia="方正书宋_GBK"/>
              </w:rPr>
              <w:t>信访秩序，引导广大信访干部依法规范信访工作。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、群众满意数量占总数的比例。</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在区、乡两级群众工作平台放置宣传资料，布置宣传展牌，播放依法治访宣传片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在区、乡两级群众工作平台放置宣传资料，布置宣传展牌，播放依法治访宣传片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加大依法治访宣传力度，组织开展信访法律法规宣传活动，开展《信访条例》等法律法规的学习培训。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提高群众依法信访知晓率。引导信访人依法理性反映诉求，营造良好的信访秩序。引导党员干部依法规范信访工作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提高群众依法信访知晓率。引导信访人依法理性反映诉求，营造良好的信访秩序。引导党员干部依法规范信访工作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加大依法治访宣传力度，组织开展信访法律法规宣传活动，开展《信访条例》等法律法规的学习培训。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加大依法治访宣传力度，组织开展信访法律法规宣传活动，开展《信访条例》等法律法规的学习培训。</w:t>
            </w:r>
          </w:p>
        </w:tc>
      </w:tr>
    </w:tbl>
    <w:p>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bookmarkEnd w:id="0"/>
    <w:p>
      <w:pPr>
        <w:autoSpaceDE w:val="0"/>
        <w:autoSpaceDN w:val="0"/>
        <w:adjustRightInd w:val="0"/>
        <w:ind w:firstLine="960" w:firstLineChars="300"/>
        <w:jc w:val="center"/>
        <w:rPr>
          <w:rFonts w:ascii="黑体" w:hAnsi="黑体" w:eastAsia="黑体" w:cs="Times New Roman"/>
          <w:sz w:val="32"/>
          <w:szCs w:val="32"/>
        </w:rPr>
      </w:pPr>
    </w:p>
    <w:p>
      <w:pPr>
        <w:autoSpaceDE w:val="0"/>
        <w:autoSpaceDN w:val="0"/>
        <w:adjustRightInd w:val="0"/>
        <w:ind w:firstLine="960" w:firstLineChars="300"/>
        <w:rPr>
          <w:rFonts w:ascii="黑体" w:hAnsi="黑体" w:eastAsia="黑体" w:cs="Times New Roman"/>
          <w:sz w:val="32"/>
          <w:szCs w:val="32"/>
        </w:rPr>
      </w:pPr>
      <w:r>
        <w:rPr>
          <w:rFonts w:hint="eastAsia" w:ascii="黑体" w:hAnsi="黑体" w:eastAsia="黑体" w:cs="Times New Roman"/>
          <w:sz w:val="32"/>
          <w:szCs w:val="32"/>
        </w:rPr>
        <w:t>六、政府采购预算情况</w:t>
      </w:r>
    </w:p>
    <w:p>
      <w:pPr>
        <w:autoSpaceDE w:val="0"/>
        <w:autoSpaceDN w:val="0"/>
        <w:adjustRightInd w:val="0"/>
        <w:ind w:firstLine="640" w:firstLineChars="200"/>
        <w:rPr>
          <w:rFonts w:ascii="仿宋" w:hAnsi="仿宋" w:eastAsia="仿宋" w:cs="Times New Roman"/>
          <w:sz w:val="32"/>
          <w:szCs w:val="32"/>
        </w:rPr>
      </w:pPr>
      <w:bookmarkStart w:id="10" w:name="_Toc471398468"/>
      <w:r>
        <w:rPr>
          <w:rFonts w:hint="eastAsia" w:ascii="仿宋" w:hAnsi="仿宋" w:eastAsia="仿宋" w:cs="Times New Roman"/>
          <w:sz w:val="32"/>
          <w:szCs w:val="32"/>
        </w:rPr>
        <w:t>2020年，我部门安排政府采购预算0万元。具体内容见下表。</w:t>
      </w:r>
    </w:p>
    <w:p>
      <w:pPr>
        <w:outlineLvl w:val="0"/>
        <w:rPr>
          <w:rFonts w:ascii="Times New Roman" w:hAnsi="Times New Roman" w:eastAsia="仿宋" w:cs="Times New Roman"/>
          <w:sz w:val="32"/>
          <w:szCs w:val="24"/>
        </w:rPr>
      </w:pPr>
    </w:p>
    <w:bookmarkEnd w:id="10"/>
    <w:p>
      <w:pPr>
        <w:ind w:firstLine="640" w:firstLineChars="200"/>
        <w:jc w:val="center"/>
        <w:outlineLvl w:val="0"/>
        <w:rPr>
          <w:rFonts w:ascii="仿宋_GB2312" w:hAnsi="宋体" w:eastAsia="仿宋_GB2312"/>
          <w:sz w:val="32"/>
        </w:rPr>
      </w:pPr>
      <w:r>
        <w:rPr>
          <w:rFonts w:hint="eastAsia" w:ascii="仿宋_GB2312" w:eastAsia="仿宋_GB2312"/>
          <w:sz w:val="32"/>
        </w:rPr>
        <w:t>部门政府采购预算</w:t>
      </w:r>
      <w:r>
        <w:rPr>
          <w:rFonts w:hint="eastAsia" w:ascii="仿宋_GB2312" w:eastAsia="仿宋_GB2312"/>
        </w:rPr>
        <w:fldChar w:fldCharType="begin"/>
      </w:r>
      <w:r>
        <w:rPr>
          <w:rFonts w:hint="eastAsia" w:ascii="仿宋_GB2312" w:eastAsia="仿宋_GB2312"/>
          <w:sz w:val="32"/>
        </w:rPr>
        <w:instrText xml:space="preserve"> TC </w:instrText>
      </w:r>
      <w:bookmarkStart w:id="11" w:name="_Toc28848395"/>
      <w:r>
        <w:rPr>
          <w:rFonts w:hint="eastAsia" w:ascii="仿宋_GB2312" w:eastAsia="仿宋_GB2312"/>
          <w:sz w:val="32"/>
        </w:rPr>
        <w:instrText xml:space="preserve">部门政府采购预算</w:instrText>
      </w:r>
      <w:bookmarkEnd w:id="11"/>
      <w:r>
        <w:rPr>
          <w:rFonts w:hint="eastAsia" w:ascii="仿宋_GB2312" w:eastAsia="仿宋_GB2312"/>
          <w:sz w:val="32"/>
        </w:rPr>
        <w:instrText xml:space="preserve"> \f A \l 1 </w:instrText>
      </w:r>
      <w:r>
        <w:rPr>
          <w:rFonts w:hint="eastAsia" w:ascii="仿宋_GB2312" w:eastAsia="仿宋_GB2312"/>
          <w:sz w:val="32"/>
        </w:rPr>
        <w:fldChar w:fldCharType="end"/>
      </w:r>
    </w:p>
    <w:tbl>
      <w:tblPr>
        <w:tblStyle w:val="7"/>
        <w:tblW w:w="1562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仿宋_GB2312" w:eastAsia="仿宋_GB2312"/>
                <w:sz w:val="24"/>
              </w:rPr>
            </w:pPr>
            <w:r>
              <w:rPr>
                <w:rFonts w:hint="eastAsia" w:ascii="仿宋_GB2312" w:eastAsia="仿宋_GB2312"/>
                <w:sz w:val="24"/>
              </w:rPr>
              <w:t>542石家庄市藁城区信访局</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仿宋_GB2312" w:eastAsia="仿宋_GB2312"/>
                <w:sz w:val="24"/>
              </w:rPr>
            </w:pPr>
            <w:r>
              <w:rPr>
                <w:rFonts w:hint="eastAsia" w:ascii="仿宋_GB2312" w:eastAsia="仿宋_GB2312"/>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仿宋_GB2312" w:eastAsia="仿宋_GB2312"/>
                <w:b/>
              </w:rPr>
            </w:pPr>
            <w:r>
              <w:rPr>
                <w:rFonts w:hint="eastAsia" w:ascii="仿宋_GB2312" w:eastAsia="仿宋_GB2312"/>
                <w:b/>
              </w:rPr>
              <w:t>政府采购项目来源</w:t>
            </w:r>
          </w:p>
        </w:tc>
        <w:tc>
          <w:tcPr>
            <w:tcW w:w="1559" w:type="dxa"/>
            <w:vMerge w:val="restart"/>
            <w:vAlign w:val="center"/>
          </w:tcPr>
          <w:p>
            <w:pPr>
              <w:spacing w:line="300" w:lineRule="exact"/>
              <w:jc w:val="center"/>
              <w:rPr>
                <w:rFonts w:ascii="仿宋_GB2312" w:eastAsia="仿宋_GB2312"/>
                <w:b/>
              </w:rPr>
            </w:pPr>
            <w:r>
              <w:rPr>
                <w:rFonts w:hint="eastAsia" w:ascii="仿宋_GB2312" w:eastAsia="仿宋_GB2312"/>
                <w:b/>
              </w:rPr>
              <w:t>采购物品名称</w:t>
            </w:r>
          </w:p>
        </w:tc>
        <w:tc>
          <w:tcPr>
            <w:tcW w:w="1417" w:type="dxa"/>
            <w:vMerge w:val="restart"/>
            <w:vAlign w:val="center"/>
          </w:tcPr>
          <w:p>
            <w:pPr>
              <w:spacing w:line="300" w:lineRule="exact"/>
              <w:jc w:val="center"/>
              <w:rPr>
                <w:rFonts w:ascii="仿宋_GB2312" w:eastAsia="仿宋_GB2312"/>
                <w:b/>
              </w:rPr>
            </w:pPr>
            <w:r>
              <w:rPr>
                <w:rFonts w:hint="eastAsia" w:ascii="仿宋_GB2312" w:eastAsia="仿宋_GB2312"/>
                <w:b/>
              </w:rPr>
              <w:t>政府采购目录序号</w:t>
            </w:r>
          </w:p>
        </w:tc>
        <w:tc>
          <w:tcPr>
            <w:tcW w:w="709" w:type="dxa"/>
            <w:vMerge w:val="restart"/>
            <w:vAlign w:val="center"/>
          </w:tcPr>
          <w:p>
            <w:pPr>
              <w:spacing w:line="300" w:lineRule="exact"/>
              <w:jc w:val="center"/>
              <w:rPr>
                <w:rFonts w:ascii="仿宋_GB2312" w:eastAsia="仿宋_GB2312"/>
                <w:b/>
              </w:rPr>
            </w:pPr>
            <w:r>
              <w:rPr>
                <w:rFonts w:hint="eastAsia" w:ascii="仿宋_GB2312" w:eastAsia="仿宋_GB2312"/>
                <w:b/>
              </w:rPr>
              <w:t>计量  单位</w:t>
            </w:r>
          </w:p>
        </w:tc>
        <w:tc>
          <w:tcPr>
            <w:tcW w:w="851" w:type="dxa"/>
            <w:vMerge w:val="restart"/>
            <w:vAlign w:val="center"/>
          </w:tcPr>
          <w:p>
            <w:pPr>
              <w:spacing w:line="300" w:lineRule="exact"/>
              <w:jc w:val="center"/>
              <w:rPr>
                <w:rFonts w:ascii="仿宋_GB2312" w:eastAsia="仿宋_GB2312"/>
                <w:b/>
              </w:rPr>
            </w:pPr>
            <w:r>
              <w:rPr>
                <w:rFonts w:hint="eastAsia" w:ascii="仿宋_GB2312" w:eastAsia="仿宋_GB2312"/>
                <w:b/>
              </w:rPr>
              <w:t>数量</w:t>
            </w:r>
          </w:p>
        </w:tc>
        <w:tc>
          <w:tcPr>
            <w:tcW w:w="992" w:type="dxa"/>
            <w:vMerge w:val="restart"/>
            <w:vAlign w:val="center"/>
          </w:tcPr>
          <w:p>
            <w:pPr>
              <w:spacing w:line="300" w:lineRule="exact"/>
              <w:jc w:val="center"/>
              <w:rPr>
                <w:rFonts w:ascii="仿宋_GB2312" w:eastAsia="仿宋_GB2312"/>
                <w:b/>
              </w:rPr>
            </w:pPr>
            <w:r>
              <w:rPr>
                <w:rFonts w:hint="eastAsia" w:ascii="仿宋_GB2312" w:eastAsia="仿宋_GB2312"/>
                <w:b/>
              </w:rPr>
              <w:t>单价</w:t>
            </w:r>
          </w:p>
        </w:tc>
        <w:tc>
          <w:tcPr>
            <w:tcW w:w="5854" w:type="dxa"/>
            <w:gridSpan w:val="6"/>
            <w:vAlign w:val="center"/>
          </w:tcPr>
          <w:p>
            <w:pPr>
              <w:spacing w:line="300" w:lineRule="exact"/>
              <w:jc w:val="center"/>
              <w:rPr>
                <w:rFonts w:ascii="仿宋_GB2312" w:eastAsia="仿宋_GB2312"/>
                <w:b/>
              </w:rPr>
            </w:pPr>
            <w:r>
              <w:rPr>
                <w:rFonts w:hint="eastAsia" w:ascii="仿宋_GB2312" w:eastAsia="仿宋_GB2312"/>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仿宋_GB2312" w:eastAsia="仿宋_GB2312"/>
                <w:b/>
              </w:rPr>
            </w:pPr>
            <w:r>
              <w:rPr>
                <w:rFonts w:hint="eastAsia" w:ascii="仿宋_GB2312" w:eastAsia="仿宋_GB2312"/>
                <w:b/>
              </w:rPr>
              <w:t>项目名称</w:t>
            </w:r>
          </w:p>
        </w:tc>
        <w:tc>
          <w:tcPr>
            <w:tcW w:w="1134" w:type="dxa"/>
            <w:vAlign w:val="center"/>
          </w:tcPr>
          <w:p>
            <w:pPr>
              <w:spacing w:line="300" w:lineRule="exact"/>
              <w:jc w:val="center"/>
              <w:rPr>
                <w:rFonts w:ascii="仿宋_GB2312" w:eastAsia="仿宋_GB2312"/>
                <w:b/>
              </w:rPr>
            </w:pPr>
            <w:r>
              <w:rPr>
                <w:rFonts w:hint="eastAsia" w:ascii="仿宋_GB2312" w:eastAsia="仿宋_GB2312"/>
                <w:b/>
              </w:rPr>
              <w:t>预算资金</w:t>
            </w:r>
          </w:p>
        </w:tc>
        <w:tc>
          <w:tcPr>
            <w:tcW w:w="1559" w:type="dxa"/>
            <w:vMerge w:val="continue"/>
            <w:vAlign w:val="center"/>
          </w:tcPr>
          <w:p>
            <w:pPr>
              <w:spacing w:line="300" w:lineRule="exact"/>
              <w:jc w:val="left"/>
              <w:outlineLvl w:val="0"/>
              <w:rPr>
                <w:rFonts w:ascii="仿宋_GB2312" w:eastAsia="仿宋_GB2312"/>
                <w:sz w:val="28"/>
              </w:rPr>
            </w:pPr>
          </w:p>
        </w:tc>
        <w:tc>
          <w:tcPr>
            <w:tcW w:w="1417" w:type="dxa"/>
            <w:vMerge w:val="continue"/>
            <w:vAlign w:val="center"/>
          </w:tcPr>
          <w:p>
            <w:pPr>
              <w:spacing w:line="300" w:lineRule="exact"/>
              <w:jc w:val="left"/>
              <w:outlineLvl w:val="0"/>
              <w:rPr>
                <w:rFonts w:ascii="仿宋_GB2312" w:eastAsia="仿宋_GB2312"/>
                <w:sz w:val="28"/>
              </w:rPr>
            </w:pPr>
          </w:p>
        </w:tc>
        <w:tc>
          <w:tcPr>
            <w:tcW w:w="709" w:type="dxa"/>
            <w:vMerge w:val="continue"/>
            <w:vAlign w:val="center"/>
          </w:tcPr>
          <w:p>
            <w:pPr>
              <w:spacing w:line="300" w:lineRule="exact"/>
              <w:jc w:val="left"/>
              <w:outlineLvl w:val="0"/>
              <w:rPr>
                <w:rFonts w:ascii="仿宋_GB2312" w:eastAsia="仿宋_GB2312"/>
                <w:sz w:val="28"/>
              </w:rPr>
            </w:pPr>
          </w:p>
        </w:tc>
        <w:tc>
          <w:tcPr>
            <w:tcW w:w="851" w:type="dxa"/>
            <w:vMerge w:val="continue"/>
            <w:vAlign w:val="center"/>
          </w:tcPr>
          <w:p>
            <w:pPr>
              <w:spacing w:line="300" w:lineRule="exact"/>
              <w:jc w:val="left"/>
              <w:outlineLvl w:val="0"/>
              <w:rPr>
                <w:rFonts w:ascii="仿宋_GB2312" w:eastAsia="仿宋_GB2312"/>
                <w:sz w:val="28"/>
              </w:rPr>
            </w:pPr>
          </w:p>
        </w:tc>
        <w:tc>
          <w:tcPr>
            <w:tcW w:w="992" w:type="dxa"/>
            <w:vMerge w:val="continue"/>
            <w:vAlign w:val="center"/>
          </w:tcPr>
          <w:p>
            <w:pPr>
              <w:spacing w:line="300" w:lineRule="exact"/>
              <w:jc w:val="left"/>
              <w:outlineLvl w:val="0"/>
              <w:rPr>
                <w:rFonts w:ascii="仿宋_GB2312" w:eastAsia="仿宋_GB2312"/>
                <w:sz w:val="28"/>
              </w:rPr>
            </w:pPr>
          </w:p>
        </w:tc>
        <w:tc>
          <w:tcPr>
            <w:tcW w:w="992" w:type="dxa"/>
            <w:vAlign w:val="center"/>
          </w:tcPr>
          <w:p>
            <w:pPr>
              <w:spacing w:line="300" w:lineRule="exact"/>
              <w:jc w:val="center"/>
              <w:rPr>
                <w:rFonts w:ascii="仿宋_GB2312" w:eastAsia="仿宋_GB2312"/>
                <w:b/>
              </w:rPr>
            </w:pPr>
            <w:r>
              <w:rPr>
                <w:rFonts w:hint="eastAsia" w:ascii="仿宋_GB2312" w:eastAsia="仿宋_GB2312"/>
                <w:b/>
              </w:rPr>
              <w:t>合计</w:t>
            </w:r>
          </w:p>
        </w:tc>
        <w:tc>
          <w:tcPr>
            <w:tcW w:w="992" w:type="dxa"/>
            <w:vAlign w:val="center"/>
          </w:tcPr>
          <w:p>
            <w:pPr>
              <w:spacing w:line="300" w:lineRule="exact"/>
              <w:jc w:val="center"/>
              <w:rPr>
                <w:rFonts w:ascii="仿宋_GB2312" w:eastAsia="仿宋_GB2312"/>
                <w:b/>
              </w:rPr>
            </w:pPr>
            <w:r>
              <w:rPr>
                <w:rFonts w:hint="eastAsia" w:ascii="仿宋_GB2312" w:eastAsia="仿宋_GB2312"/>
                <w:b/>
              </w:rPr>
              <w:t>一般公共预算拨款</w:t>
            </w:r>
          </w:p>
        </w:tc>
        <w:tc>
          <w:tcPr>
            <w:tcW w:w="993" w:type="dxa"/>
            <w:vAlign w:val="center"/>
          </w:tcPr>
          <w:p>
            <w:pPr>
              <w:spacing w:line="300" w:lineRule="exact"/>
              <w:jc w:val="center"/>
              <w:rPr>
                <w:rFonts w:ascii="仿宋_GB2312" w:eastAsia="仿宋_GB2312"/>
                <w:b/>
              </w:rPr>
            </w:pPr>
            <w:r>
              <w:rPr>
                <w:rFonts w:hint="eastAsia" w:ascii="仿宋_GB2312" w:eastAsia="仿宋_GB2312"/>
                <w:b/>
              </w:rPr>
              <w:t>基金预算拨款</w:t>
            </w:r>
          </w:p>
        </w:tc>
        <w:tc>
          <w:tcPr>
            <w:tcW w:w="1134" w:type="dxa"/>
            <w:vAlign w:val="center"/>
          </w:tcPr>
          <w:p>
            <w:pPr>
              <w:spacing w:line="300" w:lineRule="exact"/>
              <w:jc w:val="center"/>
              <w:rPr>
                <w:rFonts w:ascii="仿宋_GB2312" w:eastAsia="仿宋_GB2312"/>
                <w:b/>
              </w:rPr>
            </w:pPr>
            <w:r>
              <w:rPr>
                <w:rFonts w:hint="eastAsia" w:ascii="仿宋_GB2312" w:eastAsia="仿宋_GB2312"/>
                <w:b/>
              </w:rPr>
              <w:t>国有资本经营预算拨款</w:t>
            </w:r>
          </w:p>
        </w:tc>
        <w:tc>
          <w:tcPr>
            <w:tcW w:w="850" w:type="dxa"/>
            <w:vAlign w:val="center"/>
          </w:tcPr>
          <w:p>
            <w:pPr>
              <w:spacing w:line="300" w:lineRule="exact"/>
              <w:jc w:val="center"/>
              <w:rPr>
                <w:rFonts w:ascii="仿宋_GB2312" w:eastAsia="仿宋_GB2312"/>
                <w:b/>
              </w:rPr>
            </w:pPr>
            <w:r>
              <w:rPr>
                <w:rFonts w:hint="eastAsia" w:ascii="仿宋_GB2312" w:eastAsia="仿宋_GB2312"/>
                <w:b/>
              </w:rPr>
              <w:t>财政专户核拨</w:t>
            </w:r>
          </w:p>
        </w:tc>
        <w:tc>
          <w:tcPr>
            <w:tcW w:w="893" w:type="dxa"/>
            <w:vAlign w:val="center"/>
          </w:tcPr>
          <w:p>
            <w:pPr>
              <w:spacing w:line="300" w:lineRule="exact"/>
              <w:jc w:val="center"/>
              <w:rPr>
                <w:rFonts w:ascii="仿宋_GB2312" w:eastAsia="仿宋_GB2312"/>
                <w:b/>
              </w:rPr>
            </w:pPr>
            <w:r>
              <w:rPr>
                <w:rFonts w:hint="eastAsia" w:ascii="仿宋_GB2312" w:eastAsia="仿宋_GB2312"/>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仿宋_GB2312" w:eastAsia="仿宋_GB2312"/>
                <w:b/>
              </w:rPr>
            </w:pPr>
            <w:r>
              <w:rPr>
                <w:rFonts w:hint="eastAsia" w:ascii="仿宋_GB2312" w:eastAsia="仿宋_GB2312"/>
                <w:b/>
              </w:rPr>
              <w:t>合　计</w:t>
            </w:r>
          </w:p>
        </w:tc>
        <w:tc>
          <w:tcPr>
            <w:tcW w:w="1134" w:type="dxa"/>
            <w:vAlign w:val="center"/>
          </w:tcPr>
          <w:p>
            <w:pPr>
              <w:spacing w:line="300" w:lineRule="exact"/>
              <w:jc w:val="right"/>
              <w:rPr>
                <w:rFonts w:ascii="仿宋_GB2312" w:eastAsia="仿宋_GB2312"/>
                <w:b/>
              </w:rPr>
            </w:pPr>
          </w:p>
        </w:tc>
        <w:tc>
          <w:tcPr>
            <w:tcW w:w="1559" w:type="dxa"/>
            <w:vAlign w:val="center"/>
          </w:tcPr>
          <w:p>
            <w:pPr>
              <w:spacing w:line="300" w:lineRule="exact"/>
              <w:jc w:val="left"/>
              <w:rPr>
                <w:rFonts w:ascii="仿宋_GB2312" w:eastAsia="仿宋_GB2312"/>
                <w:b/>
              </w:rPr>
            </w:pPr>
          </w:p>
        </w:tc>
        <w:tc>
          <w:tcPr>
            <w:tcW w:w="1417" w:type="dxa"/>
            <w:vAlign w:val="center"/>
          </w:tcPr>
          <w:p>
            <w:pPr>
              <w:spacing w:line="300" w:lineRule="exact"/>
              <w:jc w:val="left"/>
              <w:rPr>
                <w:rFonts w:ascii="仿宋_GB2312" w:eastAsia="仿宋_GB2312"/>
                <w:b/>
              </w:rPr>
            </w:pPr>
          </w:p>
        </w:tc>
        <w:tc>
          <w:tcPr>
            <w:tcW w:w="709" w:type="dxa"/>
            <w:vAlign w:val="center"/>
          </w:tcPr>
          <w:p>
            <w:pPr>
              <w:spacing w:line="300" w:lineRule="exact"/>
              <w:jc w:val="left"/>
              <w:rPr>
                <w:rFonts w:ascii="仿宋_GB2312" w:eastAsia="仿宋_GB2312"/>
                <w:b/>
              </w:rPr>
            </w:pPr>
          </w:p>
        </w:tc>
        <w:tc>
          <w:tcPr>
            <w:tcW w:w="851" w:type="dxa"/>
            <w:vAlign w:val="center"/>
          </w:tcPr>
          <w:p>
            <w:pPr>
              <w:spacing w:line="300" w:lineRule="exact"/>
              <w:jc w:val="right"/>
              <w:rPr>
                <w:rFonts w:ascii="仿宋_GB2312" w:eastAsia="仿宋_GB2312"/>
                <w:b/>
              </w:rPr>
            </w:pPr>
          </w:p>
        </w:tc>
        <w:tc>
          <w:tcPr>
            <w:tcW w:w="992" w:type="dxa"/>
            <w:vAlign w:val="center"/>
          </w:tcPr>
          <w:p>
            <w:pPr>
              <w:spacing w:line="300" w:lineRule="exact"/>
              <w:jc w:val="right"/>
              <w:rPr>
                <w:rFonts w:ascii="仿宋_GB2312" w:eastAsia="仿宋_GB2312"/>
                <w:b/>
              </w:rPr>
            </w:pPr>
          </w:p>
        </w:tc>
        <w:tc>
          <w:tcPr>
            <w:tcW w:w="992" w:type="dxa"/>
            <w:vAlign w:val="center"/>
          </w:tcPr>
          <w:p>
            <w:pPr>
              <w:adjustRightInd w:val="0"/>
              <w:snapToGrid w:val="0"/>
              <w:jc w:val="right"/>
              <w:rPr>
                <w:rFonts w:ascii="仿宋_GB2312" w:hAnsi="宋体" w:eastAsia="仿宋_GB2312" w:cs="宋体"/>
                <w:b/>
                <w:bCs/>
                <w:color w:val="000000"/>
                <w:szCs w:val="21"/>
              </w:rPr>
            </w:pPr>
          </w:p>
        </w:tc>
        <w:tc>
          <w:tcPr>
            <w:tcW w:w="992" w:type="dxa"/>
            <w:vAlign w:val="center"/>
          </w:tcPr>
          <w:p>
            <w:pPr>
              <w:adjustRightInd w:val="0"/>
              <w:snapToGrid w:val="0"/>
              <w:jc w:val="right"/>
              <w:rPr>
                <w:rFonts w:ascii="仿宋_GB2312" w:hAnsi="宋体" w:eastAsia="仿宋_GB2312" w:cs="宋体"/>
                <w:b/>
                <w:bCs/>
                <w:color w:val="000000"/>
                <w:szCs w:val="21"/>
              </w:rPr>
            </w:pPr>
          </w:p>
        </w:tc>
        <w:tc>
          <w:tcPr>
            <w:tcW w:w="993" w:type="dxa"/>
            <w:vAlign w:val="center"/>
          </w:tcPr>
          <w:p>
            <w:pPr>
              <w:spacing w:line="300" w:lineRule="exact"/>
              <w:jc w:val="right"/>
              <w:rPr>
                <w:rFonts w:ascii="仿宋_GB2312" w:eastAsia="仿宋_GB2312"/>
                <w:b/>
              </w:rPr>
            </w:pPr>
          </w:p>
        </w:tc>
        <w:tc>
          <w:tcPr>
            <w:tcW w:w="1134" w:type="dxa"/>
            <w:vAlign w:val="center"/>
          </w:tcPr>
          <w:p>
            <w:pPr>
              <w:spacing w:line="300" w:lineRule="exact"/>
              <w:jc w:val="right"/>
              <w:rPr>
                <w:rFonts w:ascii="仿宋_GB2312" w:eastAsia="仿宋_GB2312"/>
                <w:b/>
              </w:rPr>
            </w:pPr>
          </w:p>
        </w:tc>
        <w:tc>
          <w:tcPr>
            <w:tcW w:w="850" w:type="dxa"/>
            <w:vAlign w:val="center"/>
          </w:tcPr>
          <w:p>
            <w:pPr>
              <w:spacing w:line="300" w:lineRule="exact"/>
              <w:jc w:val="right"/>
              <w:rPr>
                <w:rFonts w:ascii="仿宋_GB2312" w:eastAsia="仿宋_GB2312"/>
                <w:b/>
              </w:rPr>
            </w:pPr>
          </w:p>
        </w:tc>
        <w:tc>
          <w:tcPr>
            <w:tcW w:w="893" w:type="dxa"/>
            <w:vAlign w:val="center"/>
          </w:tcPr>
          <w:p>
            <w:pPr>
              <w:spacing w:line="300" w:lineRule="exact"/>
              <w:jc w:val="right"/>
              <w:rPr>
                <w:rFonts w:ascii="仿宋_GB2312" w:eastAsia="仿宋_GB2312"/>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仿宋_GB2312" w:eastAsia="仿宋_GB2312"/>
                <w:b/>
              </w:rPr>
            </w:pPr>
          </w:p>
        </w:tc>
        <w:tc>
          <w:tcPr>
            <w:tcW w:w="1134" w:type="dxa"/>
            <w:vAlign w:val="center"/>
          </w:tcPr>
          <w:p>
            <w:pPr>
              <w:spacing w:line="300" w:lineRule="exact"/>
              <w:jc w:val="right"/>
              <w:rPr>
                <w:rFonts w:ascii="仿宋_GB2312" w:eastAsia="仿宋_GB2312"/>
                <w:b/>
              </w:rPr>
            </w:pPr>
          </w:p>
        </w:tc>
        <w:tc>
          <w:tcPr>
            <w:tcW w:w="1559" w:type="dxa"/>
            <w:vAlign w:val="center"/>
          </w:tcPr>
          <w:p>
            <w:pPr>
              <w:spacing w:line="300" w:lineRule="exact"/>
              <w:jc w:val="left"/>
              <w:rPr>
                <w:rFonts w:ascii="仿宋_GB2312" w:eastAsia="仿宋_GB2312"/>
                <w:b/>
              </w:rPr>
            </w:pPr>
          </w:p>
        </w:tc>
        <w:tc>
          <w:tcPr>
            <w:tcW w:w="1417" w:type="dxa"/>
            <w:vAlign w:val="center"/>
          </w:tcPr>
          <w:p>
            <w:pPr>
              <w:spacing w:line="300" w:lineRule="exact"/>
              <w:jc w:val="left"/>
              <w:rPr>
                <w:rFonts w:ascii="仿宋_GB2312" w:eastAsia="仿宋_GB2312"/>
                <w:b/>
              </w:rPr>
            </w:pPr>
          </w:p>
        </w:tc>
        <w:tc>
          <w:tcPr>
            <w:tcW w:w="709" w:type="dxa"/>
            <w:vAlign w:val="center"/>
          </w:tcPr>
          <w:p>
            <w:pPr>
              <w:spacing w:line="300" w:lineRule="exact"/>
              <w:jc w:val="left"/>
              <w:rPr>
                <w:rFonts w:ascii="仿宋_GB2312" w:eastAsia="仿宋_GB2312"/>
                <w:b/>
              </w:rPr>
            </w:pPr>
          </w:p>
        </w:tc>
        <w:tc>
          <w:tcPr>
            <w:tcW w:w="851" w:type="dxa"/>
            <w:vAlign w:val="center"/>
          </w:tcPr>
          <w:p>
            <w:pPr>
              <w:spacing w:line="300" w:lineRule="exact"/>
              <w:jc w:val="right"/>
              <w:rPr>
                <w:rFonts w:ascii="仿宋_GB2312" w:eastAsia="仿宋_GB2312"/>
                <w:b/>
              </w:rPr>
            </w:pPr>
          </w:p>
        </w:tc>
        <w:tc>
          <w:tcPr>
            <w:tcW w:w="992" w:type="dxa"/>
            <w:vAlign w:val="center"/>
          </w:tcPr>
          <w:p>
            <w:pPr>
              <w:spacing w:line="300" w:lineRule="exact"/>
              <w:jc w:val="right"/>
              <w:rPr>
                <w:rFonts w:ascii="仿宋_GB2312" w:eastAsia="仿宋_GB2312"/>
                <w:b/>
              </w:rPr>
            </w:pPr>
          </w:p>
        </w:tc>
        <w:tc>
          <w:tcPr>
            <w:tcW w:w="992" w:type="dxa"/>
            <w:vAlign w:val="center"/>
          </w:tcPr>
          <w:p>
            <w:pPr>
              <w:adjustRightInd w:val="0"/>
              <w:snapToGrid w:val="0"/>
              <w:jc w:val="right"/>
              <w:rPr>
                <w:rFonts w:ascii="仿宋_GB2312" w:hAnsi="宋体" w:eastAsia="仿宋_GB2312" w:cs="宋体"/>
                <w:b/>
                <w:bCs/>
                <w:color w:val="000000"/>
                <w:szCs w:val="21"/>
              </w:rPr>
            </w:pPr>
          </w:p>
        </w:tc>
        <w:tc>
          <w:tcPr>
            <w:tcW w:w="992" w:type="dxa"/>
            <w:vAlign w:val="center"/>
          </w:tcPr>
          <w:p>
            <w:pPr>
              <w:adjustRightInd w:val="0"/>
              <w:snapToGrid w:val="0"/>
              <w:jc w:val="right"/>
              <w:rPr>
                <w:rFonts w:ascii="仿宋_GB2312" w:hAnsi="宋体" w:eastAsia="仿宋_GB2312" w:cs="宋体"/>
                <w:b/>
                <w:bCs/>
                <w:color w:val="000000"/>
                <w:szCs w:val="21"/>
              </w:rPr>
            </w:pPr>
          </w:p>
        </w:tc>
        <w:tc>
          <w:tcPr>
            <w:tcW w:w="993" w:type="dxa"/>
            <w:vAlign w:val="center"/>
          </w:tcPr>
          <w:p>
            <w:pPr>
              <w:spacing w:line="300" w:lineRule="exact"/>
              <w:jc w:val="right"/>
              <w:rPr>
                <w:rFonts w:ascii="仿宋_GB2312" w:eastAsia="仿宋_GB2312"/>
                <w:b/>
              </w:rPr>
            </w:pPr>
          </w:p>
        </w:tc>
        <w:tc>
          <w:tcPr>
            <w:tcW w:w="1134" w:type="dxa"/>
            <w:vAlign w:val="center"/>
          </w:tcPr>
          <w:p>
            <w:pPr>
              <w:spacing w:line="300" w:lineRule="exact"/>
              <w:jc w:val="right"/>
              <w:rPr>
                <w:rFonts w:ascii="仿宋_GB2312" w:eastAsia="仿宋_GB2312"/>
                <w:b/>
              </w:rPr>
            </w:pPr>
          </w:p>
        </w:tc>
        <w:tc>
          <w:tcPr>
            <w:tcW w:w="850" w:type="dxa"/>
            <w:vAlign w:val="center"/>
          </w:tcPr>
          <w:p>
            <w:pPr>
              <w:spacing w:line="300" w:lineRule="exact"/>
              <w:jc w:val="right"/>
              <w:rPr>
                <w:rFonts w:ascii="仿宋_GB2312" w:eastAsia="仿宋_GB2312"/>
                <w:b/>
              </w:rPr>
            </w:pPr>
          </w:p>
        </w:tc>
        <w:tc>
          <w:tcPr>
            <w:tcW w:w="893" w:type="dxa"/>
            <w:vAlign w:val="center"/>
          </w:tcPr>
          <w:p>
            <w:pPr>
              <w:spacing w:line="300" w:lineRule="exact"/>
              <w:jc w:val="right"/>
              <w:rPr>
                <w:rFonts w:ascii="仿宋_GB2312" w:eastAsia="仿宋_GB2312"/>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仿宋_GB2312" w:eastAsia="仿宋_GB2312"/>
              </w:rPr>
            </w:pPr>
          </w:p>
        </w:tc>
        <w:tc>
          <w:tcPr>
            <w:tcW w:w="1134" w:type="dxa"/>
            <w:vAlign w:val="center"/>
          </w:tcPr>
          <w:p>
            <w:pPr>
              <w:spacing w:line="300" w:lineRule="exact"/>
              <w:jc w:val="right"/>
              <w:rPr>
                <w:rFonts w:ascii="仿宋_GB2312" w:eastAsia="仿宋_GB2312"/>
              </w:rPr>
            </w:pPr>
          </w:p>
        </w:tc>
        <w:tc>
          <w:tcPr>
            <w:tcW w:w="1559" w:type="dxa"/>
            <w:vAlign w:val="center"/>
          </w:tcPr>
          <w:p>
            <w:pPr>
              <w:spacing w:line="300" w:lineRule="exact"/>
              <w:jc w:val="left"/>
              <w:rPr>
                <w:rFonts w:ascii="仿宋_GB2312" w:eastAsia="仿宋_GB2312"/>
              </w:rPr>
            </w:pPr>
          </w:p>
        </w:tc>
        <w:tc>
          <w:tcPr>
            <w:tcW w:w="1417" w:type="dxa"/>
            <w:vAlign w:val="center"/>
          </w:tcPr>
          <w:p>
            <w:pPr>
              <w:spacing w:line="300" w:lineRule="exact"/>
              <w:jc w:val="left"/>
              <w:rPr>
                <w:rFonts w:ascii="仿宋_GB2312" w:eastAsia="仿宋_GB2312"/>
              </w:rPr>
            </w:pPr>
          </w:p>
        </w:tc>
        <w:tc>
          <w:tcPr>
            <w:tcW w:w="709" w:type="dxa"/>
            <w:vAlign w:val="center"/>
          </w:tcPr>
          <w:p>
            <w:pPr>
              <w:spacing w:line="300" w:lineRule="exact"/>
              <w:jc w:val="left"/>
              <w:rPr>
                <w:rFonts w:ascii="仿宋_GB2312" w:eastAsia="仿宋_GB2312"/>
              </w:rPr>
            </w:pPr>
          </w:p>
        </w:tc>
        <w:tc>
          <w:tcPr>
            <w:tcW w:w="851" w:type="dxa"/>
            <w:vAlign w:val="center"/>
          </w:tcPr>
          <w:p>
            <w:pPr>
              <w:spacing w:line="300" w:lineRule="exact"/>
              <w:jc w:val="right"/>
              <w:rPr>
                <w:rFonts w:ascii="仿宋_GB2312" w:eastAsia="仿宋_GB2312"/>
              </w:rPr>
            </w:pPr>
          </w:p>
        </w:tc>
        <w:tc>
          <w:tcPr>
            <w:tcW w:w="992" w:type="dxa"/>
            <w:vAlign w:val="center"/>
          </w:tcPr>
          <w:p>
            <w:pPr>
              <w:spacing w:line="300" w:lineRule="exact"/>
              <w:jc w:val="right"/>
              <w:rPr>
                <w:rFonts w:ascii="仿宋_GB2312" w:eastAsia="仿宋_GB2312"/>
              </w:rPr>
            </w:pPr>
          </w:p>
        </w:tc>
        <w:tc>
          <w:tcPr>
            <w:tcW w:w="992" w:type="dxa"/>
            <w:vAlign w:val="center"/>
          </w:tcPr>
          <w:p>
            <w:pPr>
              <w:spacing w:line="300" w:lineRule="exact"/>
              <w:jc w:val="right"/>
              <w:rPr>
                <w:rFonts w:ascii="仿宋_GB2312" w:eastAsia="仿宋_GB2312"/>
              </w:rPr>
            </w:pPr>
          </w:p>
        </w:tc>
        <w:tc>
          <w:tcPr>
            <w:tcW w:w="992" w:type="dxa"/>
            <w:vAlign w:val="center"/>
          </w:tcPr>
          <w:p>
            <w:pPr>
              <w:spacing w:line="300" w:lineRule="exact"/>
              <w:jc w:val="right"/>
              <w:rPr>
                <w:rFonts w:ascii="仿宋_GB2312" w:eastAsia="仿宋_GB2312"/>
              </w:rPr>
            </w:pPr>
          </w:p>
        </w:tc>
        <w:tc>
          <w:tcPr>
            <w:tcW w:w="993" w:type="dxa"/>
            <w:vAlign w:val="center"/>
          </w:tcPr>
          <w:p>
            <w:pPr>
              <w:spacing w:line="300" w:lineRule="exact"/>
              <w:jc w:val="right"/>
              <w:rPr>
                <w:rFonts w:ascii="仿宋_GB2312" w:eastAsia="仿宋_GB2312"/>
              </w:rPr>
            </w:pPr>
          </w:p>
        </w:tc>
        <w:tc>
          <w:tcPr>
            <w:tcW w:w="1134" w:type="dxa"/>
            <w:vAlign w:val="center"/>
          </w:tcPr>
          <w:p>
            <w:pPr>
              <w:spacing w:line="300" w:lineRule="exact"/>
              <w:jc w:val="right"/>
              <w:rPr>
                <w:rFonts w:ascii="仿宋_GB2312" w:eastAsia="仿宋_GB2312"/>
              </w:rPr>
            </w:pPr>
          </w:p>
        </w:tc>
        <w:tc>
          <w:tcPr>
            <w:tcW w:w="850" w:type="dxa"/>
            <w:vAlign w:val="center"/>
          </w:tcPr>
          <w:p>
            <w:pPr>
              <w:spacing w:line="300" w:lineRule="exact"/>
              <w:jc w:val="right"/>
              <w:rPr>
                <w:rFonts w:ascii="仿宋_GB2312" w:eastAsia="仿宋_GB2312"/>
              </w:rPr>
            </w:pPr>
          </w:p>
        </w:tc>
        <w:tc>
          <w:tcPr>
            <w:tcW w:w="893" w:type="dxa"/>
            <w:vAlign w:val="center"/>
          </w:tcPr>
          <w:p>
            <w:pPr>
              <w:spacing w:line="300" w:lineRule="exact"/>
              <w:jc w:val="right"/>
              <w:rPr>
                <w:rFonts w:ascii="仿宋_GB2312" w:eastAsia="仿宋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仿宋_GB2312" w:eastAsia="仿宋_GB2312"/>
              </w:rPr>
            </w:pPr>
          </w:p>
        </w:tc>
        <w:tc>
          <w:tcPr>
            <w:tcW w:w="1134" w:type="dxa"/>
            <w:vAlign w:val="center"/>
          </w:tcPr>
          <w:p>
            <w:pPr>
              <w:spacing w:line="300" w:lineRule="exact"/>
              <w:jc w:val="right"/>
              <w:rPr>
                <w:rFonts w:ascii="仿宋_GB2312" w:eastAsia="仿宋_GB2312"/>
              </w:rPr>
            </w:pPr>
          </w:p>
        </w:tc>
        <w:tc>
          <w:tcPr>
            <w:tcW w:w="1559" w:type="dxa"/>
            <w:vAlign w:val="center"/>
          </w:tcPr>
          <w:p>
            <w:pPr>
              <w:spacing w:line="300" w:lineRule="exact"/>
              <w:jc w:val="left"/>
              <w:rPr>
                <w:rFonts w:ascii="仿宋_GB2312" w:eastAsia="仿宋_GB2312"/>
              </w:rPr>
            </w:pPr>
          </w:p>
        </w:tc>
        <w:tc>
          <w:tcPr>
            <w:tcW w:w="1417" w:type="dxa"/>
            <w:vAlign w:val="center"/>
          </w:tcPr>
          <w:p>
            <w:pPr>
              <w:spacing w:line="300" w:lineRule="exact"/>
              <w:jc w:val="left"/>
              <w:rPr>
                <w:rFonts w:ascii="仿宋_GB2312" w:eastAsia="仿宋_GB2312"/>
              </w:rPr>
            </w:pPr>
          </w:p>
        </w:tc>
        <w:tc>
          <w:tcPr>
            <w:tcW w:w="709" w:type="dxa"/>
            <w:vAlign w:val="center"/>
          </w:tcPr>
          <w:p>
            <w:pPr>
              <w:spacing w:line="300" w:lineRule="exact"/>
              <w:jc w:val="left"/>
              <w:rPr>
                <w:rFonts w:ascii="仿宋_GB2312" w:eastAsia="仿宋_GB2312"/>
              </w:rPr>
            </w:pPr>
          </w:p>
        </w:tc>
        <w:tc>
          <w:tcPr>
            <w:tcW w:w="851" w:type="dxa"/>
            <w:vAlign w:val="center"/>
          </w:tcPr>
          <w:p>
            <w:pPr>
              <w:spacing w:line="300" w:lineRule="exact"/>
              <w:jc w:val="right"/>
              <w:rPr>
                <w:rFonts w:ascii="仿宋_GB2312" w:eastAsia="仿宋_GB2312"/>
              </w:rPr>
            </w:pPr>
          </w:p>
        </w:tc>
        <w:tc>
          <w:tcPr>
            <w:tcW w:w="992" w:type="dxa"/>
            <w:vAlign w:val="center"/>
          </w:tcPr>
          <w:p>
            <w:pPr>
              <w:spacing w:line="300" w:lineRule="exact"/>
              <w:jc w:val="right"/>
              <w:rPr>
                <w:rFonts w:ascii="仿宋_GB2312" w:eastAsia="仿宋_GB2312"/>
              </w:rPr>
            </w:pPr>
          </w:p>
        </w:tc>
        <w:tc>
          <w:tcPr>
            <w:tcW w:w="992" w:type="dxa"/>
            <w:vAlign w:val="center"/>
          </w:tcPr>
          <w:p>
            <w:pPr>
              <w:spacing w:line="300" w:lineRule="exact"/>
              <w:jc w:val="right"/>
              <w:rPr>
                <w:rFonts w:ascii="仿宋_GB2312" w:eastAsia="仿宋_GB2312"/>
              </w:rPr>
            </w:pPr>
          </w:p>
        </w:tc>
        <w:tc>
          <w:tcPr>
            <w:tcW w:w="992" w:type="dxa"/>
            <w:vAlign w:val="center"/>
          </w:tcPr>
          <w:p>
            <w:pPr>
              <w:spacing w:line="300" w:lineRule="exact"/>
              <w:jc w:val="right"/>
              <w:rPr>
                <w:rFonts w:ascii="仿宋_GB2312" w:eastAsia="仿宋_GB2312"/>
              </w:rPr>
            </w:pPr>
          </w:p>
        </w:tc>
        <w:tc>
          <w:tcPr>
            <w:tcW w:w="993" w:type="dxa"/>
            <w:vAlign w:val="center"/>
          </w:tcPr>
          <w:p>
            <w:pPr>
              <w:spacing w:line="300" w:lineRule="exact"/>
              <w:jc w:val="right"/>
              <w:rPr>
                <w:rFonts w:ascii="仿宋_GB2312" w:eastAsia="仿宋_GB2312"/>
              </w:rPr>
            </w:pPr>
          </w:p>
        </w:tc>
        <w:tc>
          <w:tcPr>
            <w:tcW w:w="1134" w:type="dxa"/>
            <w:vAlign w:val="center"/>
          </w:tcPr>
          <w:p>
            <w:pPr>
              <w:spacing w:line="300" w:lineRule="exact"/>
              <w:jc w:val="right"/>
              <w:rPr>
                <w:rFonts w:ascii="仿宋_GB2312" w:eastAsia="仿宋_GB2312"/>
              </w:rPr>
            </w:pPr>
          </w:p>
        </w:tc>
        <w:tc>
          <w:tcPr>
            <w:tcW w:w="850" w:type="dxa"/>
            <w:vAlign w:val="center"/>
          </w:tcPr>
          <w:p>
            <w:pPr>
              <w:spacing w:line="300" w:lineRule="exact"/>
              <w:jc w:val="right"/>
              <w:rPr>
                <w:rFonts w:ascii="仿宋_GB2312" w:eastAsia="仿宋_GB2312"/>
              </w:rPr>
            </w:pPr>
          </w:p>
        </w:tc>
        <w:tc>
          <w:tcPr>
            <w:tcW w:w="893" w:type="dxa"/>
            <w:vAlign w:val="center"/>
          </w:tcPr>
          <w:p>
            <w:pPr>
              <w:spacing w:line="300" w:lineRule="exact"/>
              <w:jc w:val="right"/>
              <w:rPr>
                <w:rFonts w:ascii="仿宋_GB2312" w:eastAsia="仿宋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仿宋_GB2312" w:eastAsia="仿宋_GB2312"/>
              </w:rPr>
            </w:pPr>
          </w:p>
        </w:tc>
        <w:tc>
          <w:tcPr>
            <w:tcW w:w="1134" w:type="dxa"/>
            <w:vAlign w:val="center"/>
          </w:tcPr>
          <w:p>
            <w:pPr>
              <w:spacing w:line="300" w:lineRule="exact"/>
              <w:jc w:val="right"/>
              <w:rPr>
                <w:rFonts w:ascii="仿宋_GB2312" w:eastAsia="仿宋_GB2312"/>
              </w:rPr>
            </w:pPr>
          </w:p>
        </w:tc>
        <w:tc>
          <w:tcPr>
            <w:tcW w:w="1559" w:type="dxa"/>
            <w:vAlign w:val="center"/>
          </w:tcPr>
          <w:p>
            <w:pPr>
              <w:spacing w:line="300" w:lineRule="exact"/>
              <w:jc w:val="left"/>
              <w:rPr>
                <w:rFonts w:ascii="仿宋_GB2312" w:eastAsia="仿宋_GB2312"/>
              </w:rPr>
            </w:pPr>
          </w:p>
        </w:tc>
        <w:tc>
          <w:tcPr>
            <w:tcW w:w="1417" w:type="dxa"/>
            <w:vAlign w:val="center"/>
          </w:tcPr>
          <w:p>
            <w:pPr>
              <w:spacing w:line="300" w:lineRule="exact"/>
              <w:jc w:val="left"/>
              <w:rPr>
                <w:rFonts w:ascii="仿宋_GB2312" w:eastAsia="仿宋_GB2312"/>
              </w:rPr>
            </w:pPr>
          </w:p>
        </w:tc>
        <w:tc>
          <w:tcPr>
            <w:tcW w:w="709" w:type="dxa"/>
            <w:vAlign w:val="center"/>
          </w:tcPr>
          <w:p>
            <w:pPr>
              <w:spacing w:line="300" w:lineRule="exact"/>
              <w:jc w:val="left"/>
              <w:rPr>
                <w:rFonts w:ascii="仿宋_GB2312" w:eastAsia="仿宋_GB2312"/>
              </w:rPr>
            </w:pPr>
          </w:p>
        </w:tc>
        <w:tc>
          <w:tcPr>
            <w:tcW w:w="851" w:type="dxa"/>
            <w:vAlign w:val="center"/>
          </w:tcPr>
          <w:p>
            <w:pPr>
              <w:spacing w:line="300" w:lineRule="exact"/>
              <w:jc w:val="right"/>
              <w:rPr>
                <w:rFonts w:ascii="仿宋_GB2312" w:eastAsia="仿宋_GB2312"/>
              </w:rPr>
            </w:pPr>
          </w:p>
        </w:tc>
        <w:tc>
          <w:tcPr>
            <w:tcW w:w="992" w:type="dxa"/>
            <w:vAlign w:val="center"/>
          </w:tcPr>
          <w:p>
            <w:pPr>
              <w:spacing w:line="300" w:lineRule="exact"/>
              <w:jc w:val="right"/>
              <w:rPr>
                <w:rFonts w:ascii="仿宋_GB2312" w:eastAsia="仿宋_GB2312"/>
              </w:rPr>
            </w:pPr>
          </w:p>
        </w:tc>
        <w:tc>
          <w:tcPr>
            <w:tcW w:w="992" w:type="dxa"/>
            <w:vAlign w:val="center"/>
          </w:tcPr>
          <w:p>
            <w:pPr>
              <w:spacing w:line="300" w:lineRule="exact"/>
              <w:jc w:val="right"/>
              <w:rPr>
                <w:rFonts w:ascii="仿宋_GB2312" w:eastAsia="仿宋_GB2312"/>
              </w:rPr>
            </w:pPr>
          </w:p>
        </w:tc>
        <w:tc>
          <w:tcPr>
            <w:tcW w:w="992" w:type="dxa"/>
            <w:vAlign w:val="center"/>
          </w:tcPr>
          <w:p>
            <w:pPr>
              <w:spacing w:line="300" w:lineRule="exact"/>
              <w:jc w:val="right"/>
              <w:rPr>
                <w:rFonts w:ascii="仿宋_GB2312" w:eastAsia="仿宋_GB2312"/>
              </w:rPr>
            </w:pPr>
          </w:p>
        </w:tc>
        <w:tc>
          <w:tcPr>
            <w:tcW w:w="993" w:type="dxa"/>
            <w:vAlign w:val="center"/>
          </w:tcPr>
          <w:p>
            <w:pPr>
              <w:spacing w:line="300" w:lineRule="exact"/>
              <w:jc w:val="right"/>
              <w:rPr>
                <w:rFonts w:ascii="仿宋_GB2312" w:eastAsia="仿宋_GB2312"/>
              </w:rPr>
            </w:pPr>
          </w:p>
        </w:tc>
        <w:tc>
          <w:tcPr>
            <w:tcW w:w="1134" w:type="dxa"/>
            <w:vAlign w:val="center"/>
          </w:tcPr>
          <w:p>
            <w:pPr>
              <w:spacing w:line="300" w:lineRule="exact"/>
              <w:jc w:val="right"/>
              <w:rPr>
                <w:rFonts w:ascii="仿宋_GB2312" w:eastAsia="仿宋_GB2312"/>
              </w:rPr>
            </w:pPr>
          </w:p>
        </w:tc>
        <w:tc>
          <w:tcPr>
            <w:tcW w:w="850" w:type="dxa"/>
            <w:vAlign w:val="center"/>
          </w:tcPr>
          <w:p>
            <w:pPr>
              <w:spacing w:line="300" w:lineRule="exact"/>
              <w:jc w:val="right"/>
              <w:rPr>
                <w:rFonts w:ascii="仿宋_GB2312" w:eastAsia="仿宋_GB2312"/>
              </w:rPr>
            </w:pPr>
          </w:p>
        </w:tc>
        <w:tc>
          <w:tcPr>
            <w:tcW w:w="893" w:type="dxa"/>
            <w:vAlign w:val="center"/>
          </w:tcPr>
          <w:p>
            <w:pPr>
              <w:spacing w:line="300" w:lineRule="exact"/>
              <w:jc w:val="right"/>
              <w:rPr>
                <w:rFonts w:ascii="仿宋_GB2312" w:eastAsia="仿宋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仿宋_GB2312" w:eastAsia="仿宋_GB2312"/>
              </w:rPr>
            </w:pPr>
          </w:p>
        </w:tc>
        <w:tc>
          <w:tcPr>
            <w:tcW w:w="1134" w:type="dxa"/>
            <w:vAlign w:val="center"/>
          </w:tcPr>
          <w:p>
            <w:pPr>
              <w:spacing w:line="300" w:lineRule="exact"/>
              <w:jc w:val="right"/>
              <w:rPr>
                <w:rFonts w:ascii="仿宋_GB2312" w:eastAsia="仿宋_GB2312"/>
              </w:rPr>
            </w:pPr>
          </w:p>
        </w:tc>
        <w:tc>
          <w:tcPr>
            <w:tcW w:w="1559" w:type="dxa"/>
            <w:vAlign w:val="center"/>
          </w:tcPr>
          <w:p>
            <w:pPr>
              <w:spacing w:line="300" w:lineRule="exact"/>
              <w:jc w:val="left"/>
              <w:rPr>
                <w:rFonts w:ascii="仿宋_GB2312" w:eastAsia="仿宋_GB2312"/>
              </w:rPr>
            </w:pPr>
          </w:p>
        </w:tc>
        <w:tc>
          <w:tcPr>
            <w:tcW w:w="1417" w:type="dxa"/>
            <w:vAlign w:val="center"/>
          </w:tcPr>
          <w:p>
            <w:pPr>
              <w:spacing w:line="300" w:lineRule="exact"/>
              <w:jc w:val="left"/>
              <w:rPr>
                <w:rFonts w:ascii="仿宋_GB2312" w:eastAsia="仿宋_GB2312"/>
              </w:rPr>
            </w:pPr>
          </w:p>
        </w:tc>
        <w:tc>
          <w:tcPr>
            <w:tcW w:w="709" w:type="dxa"/>
            <w:vAlign w:val="center"/>
          </w:tcPr>
          <w:p>
            <w:pPr>
              <w:spacing w:line="300" w:lineRule="exact"/>
              <w:jc w:val="left"/>
              <w:rPr>
                <w:rFonts w:ascii="仿宋_GB2312" w:eastAsia="仿宋_GB2312"/>
              </w:rPr>
            </w:pPr>
          </w:p>
        </w:tc>
        <w:tc>
          <w:tcPr>
            <w:tcW w:w="851" w:type="dxa"/>
            <w:vAlign w:val="center"/>
          </w:tcPr>
          <w:p>
            <w:pPr>
              <w:spacing w:line="300" w:lineRule="exact"/>
              <w:jc w:val="right"/>
              <w:rPr>
                <w:rFonts w:ascii="仿宋_GB2312" w:eastAsia="仿宋_GB2312"/>
              </w:rPr>
            </w:pPr>
          </w:p>
        </w:tc>
        <w:tc>
          <w:tcPr>
            <w:tcW w:w="992" w:type="dxa"/>
            <w:vAlign w:val="center"/>
          </w:tcPr>
          <w:p>
            <w:pPr>
              <w:spacing w:line="300" w:lineRule="exact"/>
              <w:jc w:val="right"/>
              <w:rPr>
                <w:rFonts w:ascii="仿宋_GB2312" w:eastAsia="仿宋_GB2312"/>
              </w:rPr>
            </w:pPr>
          </w:p>
        </w:tc>
        <w:tc>
          <w:tcPr>
            <w:tcW w:w="992" w:type="dxa"/>
            <w:vAlign w:val="center"/>
          </w:tcPr>
          <w:p>
            <w:pPr>
              <w:spacing w:line="300" w:lineRule="exact"/>
              <w:jc w:val="right"/>
              <w:rPr>
                <w:rFonts w:ascii="仿宋_GB2312" w:eastAsia="仿宋_GB2312"/>
              </w:rPr>
            </w:pPr>
          </w:p>
        </w:tc>
        <w:tc>
          <w:tcPr>
            <w:tcW w:w="992" w:type="dxa"/>
            <w:vAlign w:val="center"/>
          </w:tcPr>
          <w:p>
            <w:pPr>
              <w:spacing w:line="300" w:lineRule="exact"/>
              <w:jc w:val="right"/>
              <w:rPr>
                <w:rFonts w:ascii="仿宋_GB2312" w:eastAsia="仿宋_GB2312"/>
              </w:rPr>
            </w:pPr>
          </w:p>
        </w:tc>
        <w:tc>
          <w:tcPr>
            <w:tcW w:w="993" w:type="dxa"/>
            <w:vAlign w:val="center"/>
          </w:tcPr>
          <w:p>
            <w:pPr>
              <w:spacing w:line="300" w:lineRule="exact"/>
              <w:jc w:val="right"/>
              <w:rPr>
                <w:rFonts w:ascii="仿宋_GB2312" w:eastAsia="仿宋_GB2312"/>
              </w:rPr>
            </w:pPr>
          </w:p>
        </w:tc>
        <w:tc>
          <w:tcPr>
            <w:tcW w:w="1134" w:type="dxa"/>
            <w:vAlign w:val="center"/>
          </w:tcPr>
          <w:p>
            <w:pPr>
              <w:spacing w:line="300" w:lineRule="exact"/>
              <w:jc w:val="right"/>
              <w:rPr>
                <w:rFonts w:ascii="仿宋_GB2312" w:eastAsia="仿宋_GB2312"/>
              </w:rPr>
            </w:pPr>
          </w:p>
        </w:tc>
        <w:tc>
          <w:tcPr>
            <w:tcW w:w="850" w:type="dxa"/>
            <w:vAlign w:val="center"/>
          </w:tcPr>
          <w:p>
            <w:pPr>
              <w:spacing w:line="300" w:lineRule="exact"/>
              <w:jc w:val="right"/>
              <w:rPr>
                <w:rFonts w:ascii="仿宋_GB2312" w:eastAsia="仿宋_GB2312"/>
              </w:rPr>
            </w:pPr>
          </w:p>
        </w:tc>
        <w:tc>
          <w:tcPr>
            <w:tcW w:w="893" w:type="dxa"/>
            <w:vAlign w:val="center"/>
          </w:tcPr>
          <w:p>
            <w:pPr>
              <w:spacing w:line="300" w:lineRule="exact"/>
              <w:jc w:val="right"/>
              <w:rPr>
                <w:rFonts w:ascii="仿宋_GB2312" w:eastAsia="仿宋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仿宋_GB2312" w:eastAsia="仿宋_GB2312"/>
              </w:rPr>
            </w:pPr>
          </w:p>
        </w:tc>
        <w:tc>
          <w:tcPr>
            <w:tcW w:w="1134" w:type="dxa"/>
            <w:vAlign w:val="center"/>
          </w:tcPr>
          <w:p>
            <w:pPr>
              <w:spacing w:line="300" w:lineRule="exact"/>
              <w:jc w:val="right"/>
              <w:rPr>
                <w:rFonts w:ascii="仿宋_GB2312" w:eastAsia="仿宋_GB2312"/>
              </w:rPr>
            </w:pPr>
          </w:p>
        </w:tc>
        <w:tc>
          <w:tcPr>
            <w:tcW w:w="1559" w:type="dxa"/>
            <w:vAlign w:val="center"/>
          </w:tcPr>
          <w:p>
            <w:pPr>
              <w:spacing w:line="300" w:lineRule="exact"/>
              <w:jc w:val="left"/>
              <w:rPr>
                <w:rFonts w:ascii="仿宋_GB2312" w:eastAsia="仿宋_GB2312"/>
              </w:rPr>
            </w:pPr>
          </w:p>
        </w:tc>
        <w:tc>
          <w:tcPr>
            <w:tcW w:w="1417" w:type="dxa"/>
            <w:vAlign w:val="center"/>
          </w:tcPr>
          <w:p>
            <w:pPr>
              <w:spacing w:line="300" w:lineRule="exact"/>
              <w:jc w:val="left"/>
              <w:rPr>
                <w:rFonts w:ascii="仿宋_GB2312" w:eastAsia="仿宋_GB2312"/>
              </w:rPr>
            </w:pPr>
          </w:p>
        </w:tc>
        <w:tc>
          <w:tcPr>
            <w:tcW w:w="709" w:type="dxa"/>
            <w:vAlign w:val="center"/>
          </w:tcPr>
          <w:p>
            <w:pPr>
              <w:spacing w:line="300" w:lineRule="exact"/>
              <w:jc w:val="left"/>
              <w:rPr>
                <w:rFonts w:ascii="仿宋_GB2312" w:eastAsia="仿宋_GB2312"/>
              </w:rPr>
            </w:pPr>
          </w:p>
        </w:tc>
        <w:tc>
          <w:tcPr>
            <w:tcW w:w="851" w:type="dxa"/>
            <w:vAlign w:val="center"/>
          </w:tcPr>
          <w:p>
            <w:pPr>
              <w:spacing w:line="300" w:lineRule="exact"/>
              <w:jc w:val="right"/>
              <w:rPr>
                <w:rFonts w:ascii="仿宋_GB2312" w:eastAsia="仿宋_GB2312"/>
              </w:rPr>
            </w:pPr>
          </w:p>
        </w:tc>
        <w:tc>
          <w:tcPr>
            <w:tcW w:w="992" w:type="dxa"/>
            <w:vAlign w:val="center"/>
          </w:tcPr>
          <w:p>
            <w:pPr>
              <w:spacing w:line="300" w:lineRule="exact"/>
              <w:jc w:val="right"/>
              <w:rPr>
                <w:rFonts w:ascii="仿宋_GB2312" w:eastAsia="仿宋_GB2312"/>
              </w:rPr>
            </w:pPr>
          </w:p>
        </w:tc>
        <w:tc>
          <w:tcPr>
            <w:tcW w:w="992" w:type="dxa"/>
            <w:vAlign w:val="center"/>
          </w:tcPr>
          <w:p>
            <w:pPr>
              <w:spacing w:line="300" w:lineRule="exact"/>
              <w:jc w:val="right"/>
              <w:rPr>
                <w:rFonts w:ascii="仿宋_GB2312" w:eastAsia="仿宋_GB2312"/>
              </w:rPr>
            </w:pPr>
          </w:p>
        </w:tc>
        <w:tc>
          <w:tcPr>
            <w:tcW w:w="992" w:type="dxa"/>
            <w:vAlign w:val="center"/>
          </w:tcPr>
          <w:p>
            <w:pPr>
              <w:spacing w:line="300" w:lineRule="exact"/>
              <w:jc w:val="right"/>
              <w:rPr>
                <w:rFonts w:ascii="仿宋_GB2312" w:eastAsia="仿宋_GB2312"/>
              </w:rPr>
            </w:pPr>
          </w:p>
        </w:tc>
        <w:tc>
          <w:tcPr>
            <w:tcW w:w="993" w:type="dxa"/>
            <w:vAlign w:val="center"/>
          </w:tcPr>
          <w:p>
            <w:pPr>
              <w:spacing w:line="300" w:lineRule="exact"/>
              <w:jc w:val="right"/>
              <w:rPr>
                <w:rFonts w:ascii="仿宋_GB2312" w:eastAsia="仿宋_GB2312"/>
              </w:rPr>
            </w:pPr>
          </w:p>
        </w:tc>
        <w:tc>
          <w:tcPr>
            <w:tcW w:w="1134" w:type="dxa"/>
            <w:vAlign w:val="center"/>
          </w:tcPr>
          <w:p>
            <w:pPr>
              <w:spacing w:line="300" w:lineRule="exact"/>
              <w:jc w:val="right"/>
              <w:rPr>
                <w:rFonts w:ascii="仿宋_GB2312" w:eastAsia="仿宋_GB2312"/>
              </w:rPr>
            </w:pPr>
          </w:p>
        </w:tc>
        <w:tc>
          <w:tcPr>
            <w:tcW w:w="850" w:type="dxa"/>
            <w:vAlign w:val="center"/>
          </w:tcPr>
          <w:p>
            <w:pPr>
              <w:spacing w:line="300" w:lineRule="exact"/>
              <w:jc w:val="right"/>
              <w:rPr>
                <w:rFonts w:ascii="仿宋_GB2312" w:eastAsia="仿宋_GB2312"/>
              </w:rPr>
            </w:pPr>
          </w:p>
        </w:tc>
        <w:tc>
          <w:tcPr>
            <w:tcW w:w="893" w:type="dxa"/>
            <w:vAlign w:val="center"/>
          </w:tcPr>
          <w:p>
            <w:pPr>
              <w:spacing w:line="300" w:lineRule="exact"/>
              <w:jc w:val="right"/>
              <w:rPr>
                <w:rFonts w:ascii="仿宋_GB2312" w:eastAsia="仿宋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仿宋_GB2312" w:eastAsia="仿宋_GB2312"/>
              </w:rPr>
            </w:pPr>
          </w:p>
        </w:tc>
        <w:tc>
          <w:tcPr>
            <w:tcW w:w="1134" w:type="dxa"/>
            <w:vAlign w:val="center"/>
          </w:tcPr>
          <w:p>
            <w:pPr>
              <w:spacing w:line="300" w:lineRule="exact"/>
              <w:jc w:val="right"/>
              <w:rPr>
                <w:rFonts w:ascii="仿宋_GB2312" w:eastAsia="仿宋_GB2312"/>
              </w:rPr>
            </w:pPr>
          </w:p>
        </w:tc>
        <w:tc>
          <w:tcPr>
            <w:tcW w:w="1559" w:type="dxa"/>
            <w:vAlign w:val="center"/>
          </w:tcPr>
          <w:p>
            <w:pPr>
              <w:spacing w:line="300" w:lineRule="exact"/>
              <w:jc w:val="left"/>
              <w:rPr>
                <w:rFonts w:ascii="仿宋_GB2312" w:eastAsia="仿宋_GB2312"/>
              </w:rPr>
            </w:pPr>
          </w:p>
        </w:tc>
        <w:tc>
          <w:tcPr>
            <w:tcW w:w="1417" w:type="dxa"/>
            <w:vAlign w:val="center"/>
          </w:tcPr>
          <w:p>
            <w:pPr>
              <w:spacing w:line="300" w:lineRule="exact"/>
              <w:jc w:val="left"/>
              <w:rPr>
                <w:rFonts w:ascii="仿宋_GB2312" w:eastAsia="仿宋_GB2312"/>
              </w:rPr>
            </w:pPr>
          </w:p>
        </w:tc>
        <w:tc>
          <w:tcPr>
            <w:tcW w:w="709" w:type="dxa"/>
            <w:vAlign w:val="center"/>
          </w:tcPr>
          <w:p>
            <w:pPr>
              <w:spacing w:line="300" w:lineRule="exact"/>
              <w:jc w:val="left"/>
              <w:rPr>
                <w:rFonts w:ascii="仿宋_GB2312" w:eastAsia="仿宋_GB2312"/>
              </w:rPr>
            </w:pPr>
          </w:p>
        </w:tc>
        <w:tc>
          <w:tcPr>
            <w:tcW w:w="851" w:type="dxa"/>
            <w:vAlign w:val="center"/>
          </w:tcPr>
          <w:p>
            <w:pPr>
              <w:spacing w:line="300" w:lineRule="exact"/>
              <w:jc w:val="right"/>
              <w:rPr>
                <w:rFonts w:ascii="仿宋_GB2312" w:eastAsia="仿宋_GB2312"/>
              </w:rPr>
            </w:pPr>
          </w:p>
        </w:tc>
        <w:tc>
          <w:tcPr>
            <w:tcW w:w="992" w:type="dxa"/>
            <w:vAlign w:val="center"/>
          </w:tcPr>
          <w:p>
            <w:pPr>
              <w:spacing w:line="300" w:lineRule="exact"/>
              <w:jc w:val="right"/>
              <w:rPr>
                <w:rFonts w:ascii="仿宋_GB2312" w:eastAsia="仿宋_GB2312"/>
              </w:rPr>
            </w:pPr>
          </w:p>
        </w:tc>
        <w:tc>
          <w:tcPr>
            <w:tcW w:w="992" w:type="dxa"/>
            <w:vAlign w:val="center"/>
          </w:tcPr>
          <w:p>
            <w:pPr>
              <w:spacing w:line="300" w:lineRule="exact"/>
              <w:jc w:val="right"/>
              <w:rPr>
                <w:rFonts w:ascii="仿宋_GB2312" w:eastAsia="仿宋_GB2312"/>
              </w:rPr>
            </w:pPr>
          </w:p>
        </w:tc>
        <w:tc>
          <w:tcPr>
            <w:tcW w:w="992" w:type="dxa"/>
            <w:vAlign w:val="center"/>
          </w:tcPr>
          <w:p>
            <w:pPr>
              <w:spacing w:line="300" w:lineRule="exact"/>
              <w:jc w:val="right"/>
              <w:rPr>
                <w:rFonts w:ascii="仿宋_GB2312" w:eastAsia="仿宋_GB2312"/>
              </w:rPr>
            </w:pPr>
          </w:p>
        </w:tc>
        <w:tc>
          <w:tcPr>
            <w:tcW w:w="993" w:type="dxa"/>
            <w:vAlign w:val="center"/>
          </w:tcPr>
          <w:p>
            <w:pPr>
              <w:spacing w:line="300" w:lineRule="exact"/>
              <w:jc w:val="right"/>
              <w:rPr>
                <w:rFonts w:ascii="仿宋_GB2312" w:eastAsia="仿宋_GB2312"/>
              </w:rPr>
            </w:pPr>
          </w:p>
        </w:tc>
        <w:tc>
          <w:tcPr>
            <w:tcW w:w="1134" w:type="dxa"/>
            <w:vAlign w:val="center"/>
          </w:tcPr>
          <w:p>
            <w:pPr>
              <w:spacing w:line="300" w:lineRule="exact"/>
              <w:jc w:val="right"/>
              <w:rPr>
                <w:rFonts w:ascii="仿宋_GB2312" w:eastAsia="仿宋_GB2312"/>
              </w:rPr>
            </w:pPr>
          </w:p>
        </w:tc>
        <w:tc>
          <w:tcPr>
            <w:tcW w:w="850" w:type="dxa"/>
            <w:vAlign w:val="center"/>
          </w:tcPr>
          <w:p>
            <w:pPr>
              <w:spacing w:line="300" w:lineRule="exact"/>
              <w:jc w:val="right"/>
              <w:rPr>
                <w:rFonts w:ascii="仿宋_GB2312" w:eastAsia="仿宋_GB2312"/>
              </w:rPr>
            </w:pPr>
          </w:p>
        </w:tc>
        <w:tc>
          <w:tcPr>
            <w:tcW w:w="893" w:type="dxa"/>
            <w:vAlign w:val="center"/>
          </w:tcPr>
          <w:p>
            <w:pPr>
              <w:spacing w:line="300" w:lineRule="exact"/>
              <w:jc w:val="right"/>
              <w:rPr>
                <w:rFonts w:ascii="仿宋_GB2312" w:eastAsia="仿宋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仿宋_GB2312" w:eastAsia="仿宋_GB2312"/>
              </w:rPr>
            </w:pPr>
          </w:p>
        </w:tc>
        <w:tc>
          <w:tcPr>
            <w:tcW w:w="1134" w:type="dxa"/>
            <w:vAlign w:val="center"/>
          </w:tcPr>
          <w:p>
            <w:pPr>
              <w:spacing w:line="300" w:lineRule="exact"/>
              <w:jc w:val="right"/>
              <w:rPr>
                <w:rFonts w:ascii="仿宋_GB2312" w:eastAsia="仿宋_GB2312"/>
              </w:rPr>
            </w:pPr>
          </w:p>
        </w:tc>
        <w:tc>
          <w:tcPr>
            <w:tcW w:w="1559" w:type="dxa"/>
            <w:vAlign w:val="center"/>
          </w:tcPr>
          <w:p>
            <w:pPr>
              <w:spacing w:line="300" w:lineRule="exact"/>
              <w:jc w:val="left"/>
              <w:rPr>
                <w:rFonts w:ascii="仿宋_GB2312" w:eastAsia="仿宋_GB2312"/>
              </w:rPr>
            </w:pPr>
          </w:p>
        </w:tc>
        <w:tc>
          <w:tcPr>
            <w:tcW w:w="1417" w:type="dxa"/>
            <w:vAlign w:val="center"/>
          </w:tcPr>
          <w:p>
            <w:pPr>
              <w:spacing w:line="300" w:lineRule="exact"/>
              <w:jc w:val="left"/>
              <w:rPr>
                <w:rFonts w:ascii="仿宋_GB2312" w:eastAsia="仿宋_GB2312"/>
              </w:rPr>
            </w:pPr>
          </w:p>
        </w:tc>
        <w:tc>
          <w:tcPr>
            <w:tcW w:w="709" w:type="dxa"/>
            <w:vAlign w:val="center"/>
          </w:tcPr>
          <w:p>
            <w:pPr>
              <w:spacing w:line="300" w:lineRule="exact"/>
              <w:jc w:val="left"/>
              <w:rPr>
                <w:rFonts w:ascii="仿宋_GB2312" w:eastAsia="仿宋_GB2312"/>
              </w:rPr>
            </w:pPr>
          </w:p>
        </w:tc>
        <w:tc>
          <w:tcPr>
            <w:tcW w:w="851" w:type="dxa"/>
            <w:vAlign w:val="center"/>
          </w:tcPr>
          <w:p>
            <w:pPr>
              <w:spacing w:line="300" w:lineRule="exact"/>
              <w:jc w:val="right"/>
              <w:rPr>
                <w:rFonts w:ascii="仿宋_GB2312" w:eastAsia="仿宋_GB2312"/>
              </w:rPr>
            </w:pPr>
          </w:p>
        </w:tc>
        <w:tc>
          <w:tcPr>
            <w:tcW w:w="992" w:type="dxa"/>
            <w:vAlign w:val="center"/>
          </w:tcPr>
          <w:p>
            <w:pPr>
              <w:spacing w:line="300" w:lineRule="exact"/>
              <w:jc w:val="right"/>
              <w:rPr>
                <w:rFonts w:ascii="仿宋_GB2312" w:eastAsia="仿宋_GB2312"/>
              </w:rPr>
            </w:pPr>
          </w:p>
        </w:tc>
        <w:tc>
          <w:tcPr>
            <w:tcW w:w="992" w:type="dxa"/>
            <w:vAlign w:val="center"/>
          </w:tcPr>
          <w:p>
            <w:pPr>
              <w:spacing w:line="300" w:lineRule="exact"/>
              <w:jc w:val="right"/>
              <w:rPr>
                <w:rFonts w:ascii="仿宋_GB2312" w:eastAsia="仿宋_GB2312"/>
              </w:rPr>
            </w:pPr>
          </w:p>
        </w:tc>
        <w:tc>
          <w:tcPr>
            <w:tcW w:w="992" w:type="dxa"/>
            <w:vAlign w:val="center"/>
          </w:tcPr>
          <w:p>
            <w:pPr>
              <w:spacing w:line="300" w:lineRule="exact"/>
              <w:jc w:val="right"/>
              <w:rPr>
                <w:rFonts w:ascii="仿宋_GB2312" w:eastAsia="仿宋_GB2312"/>
              </w:rPr>
            </w:pPr>
          </w:p>
        </w:tc>
        <w:tc>
          <w:tcPr>
            <w:tcW w:w="993" w:type="dxa"/>
            <w:vAlign w:val="center"/>
          </w:tcPr>
          <w:p>
            <w:pPr>
              <w:spacing w:line="300" w:lineRule="exact"/>
              <w:jc w:val="right"/>
              <w:rPr>
                <w:rFonts w:ascii="仿宋_GB2312" w:eastAsia="仿宋_GB2312"/>
              </w:rPr>
            </w:pPr>
          </w:p>
        </w:tc>
        <w:tc>
          <w:tcPr>
            <w:tcW w:w="1134" w:type="dxa"/>
            <w:vAlign w:val="center"/>
          </w:tcPr>
          <w:p>
            <w:pPr>
              <w:spacing w:line="300" w:lineRule="exact"/>
              <w:jc w:val="right"/>
              <w:rPr>
                <w:rFonts w:ascii="仿宋_GB2312" w:eastAsia="仿宋_GB2312"/>
              </w:rPr>
            </w:pPr>
          </w:p>
        </w:tc>
        <w:tc>
          <w:tcPr>
            <w:tcW w:w="850" w:type="dxa"/>
            <w:vAlign w:val="center"/>
          </w:tcPr>
          <w:p>
            <w:pPr>
              <w:spacing w:line="300" w:lineRule="exact"/>
              <w:jc w:val="right"/>
              <w:rPr>
                <w:rFonts w:ascii="仿宋_GB2312" w:eastAsia="仿宋_GB2312"/>
              </w:rPr>
            </w:pPr>
          </w:p>
        </w:tc>
        <w:tc>
          <w:tcPr>
            <w:tcW w:w="893" w:type="dxa"/>
            <w:vAlign w:val="center"/>
          </w:tcPr>
          <w:p>
            <w:pPr>
              <w:spacing w:line="300" w:lineRule="exact"/>
              <w:jc w:val="right"/>
              <w:rPr>
                <w:rFonts w:ascii="仿宋_GB2312" w:eastAsia="仿宋_GB2312"/>
              </w:rPr>
            </w:pPr>
          </w:p>
        </w:tc>
      </w:tr>
    </w:tbl>
    <w:p>
      <w:pPr>
        <w:outlineLvl w:val="0"/>
        <w:rPr>
          <w:rFonts w:ascii="仿宋_GB2312" w:hAnsi="黑体" w:eastAsia="仿宋_GB2312" w:cs="Times New Roman"/>
          <w:sz w:val="28"/>
          <w:szCs w:val="32"/>
        </w:rPr>
      </w:pPr>
      <w:r>
        <w:rPr>
          <w:rFonts w:hint="eastAsia" w:ascii="仿宋_GB2312" w:hAnsi="黑体" w:eastAsia="仿宋_GB2312" w:cs="Times New Roman"/>
          <w:sz w:val="28"/>
          <w:szCs w:val="32"/>
        </w:rPr>
        <w:t>注：本部门无政府采购预算情况，故空表列示。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藁城区信访局2019</w:t>
      </w:r>
      <w:r>
        <w:rPr>
          <w:rFonts w:ascii="Times New Roman" w:hAnsi="Times New Roman" w:eastAsia="仿宋" w:cs="Times New Roman"/>
          <w:sz w:val="32"/>
          <w:szCs w:val="32"/>
        </w:rPr>
        <w:t>年末固定资产金额为</w:t>
      </w:r>
      <w:r>
        <w:rPr>
          <w:rFonts w:hint="eastAsia" w:ascii="Times New Roman" w:hAnsi="Times New Roman" w:eastAsia="仿宋" w:cs="Times New Roman"/>
          <w:sz w:val="32"/>
          <w:szCs w:val="32"/>
        </w:rPr>
        <w:t>45.21</w:t>
      </w:r>
      <w:r>
        <w:rPr>
          <w:rFonts w:ascii="Times New Roman" w:hAnsi="Times New Roman" w:eastAsia="仿宋" w:cs="Times New Roman"/>
          <w:sz w:val="32"/>
          <w:szCs w:val="32"/>
        </w:rPr>
        <w:t>万元（详见下表）</w:t>
      </w:r>
      <w:r>
        <w:rPr>
          <w:rFonts w:hint="eastAsia" w:ascii="Times New Roman" w:hAnsi="Times New Roman" w:eastAsia="仿宋" w:cs="Times New Roman"/>
          <w:sz w:val="32"/>
          <w:szCs w:val="32"/>
        </w:rPr>
        <w:t>。本年度拟购置固定资产金额0万元。</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藁城区信访局固定资产占用情况表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藁城区信访局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45.21</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45.21</w:t>
            </w: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1、一般公共预算拨款收入：指区县级财政当年拨付的资金。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县级财政预算管理的“三公”经费，是指区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0" w:firstLineChars="200"/>
        <w:rPr>
          <w:rFonts w:ascii="黑体" w:hAnsi="黑体" w:eastAsia="黑体" w:cs="宋体-方正超大字符集"/>
          <w:bCs/>
          <w:sz w:val="32"/>
          <w:szCs w:val="32"/>
        </w:rPr>
      </w:pPr>
      <w:r>
        <w:rPr>
          <w:rFonts w:hint="eastAsia" w:ascii="黑体" w:hAnsi="黑体" w:eastAsia="黑体" w:cs="宋体-方正超大字符集"/>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仿宋_GB2312"/>
    <w:panose1 w:val="00000000000000000000"/>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黑体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宋体-方正超大字符集">
    <w:altName w:val="hakuyoxingshu7000"/>
    <w:panose1 w:val="00000000000000000000"/>
    <w:charset w:val="86"/>
    <w:family w:val="auto"/>
    <w:pitch w:val="default"/>
    <w:sig w:usb0="00000000" w:usb1="00000000" w:usb2="00000000" w:usb3="00000000" w:csb0="00040000" w:csb1="00000000"/>
  </w:font>
  <w:font w:name="hakuyoxingshu7000">
    <w:panose1 w:val="02000600000000000000"/>
    <w:charset w:val="86"/>
    <w:family w:val="auto"/>
    <w:pitch w:val="default"/>
    <w:sig w:usb0="FFFFFFFF" w:usb1="E9FFFFFF" w:usb2="0000003F" w:usb3="00000000" w:csb0="603F00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14</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BDE379C"/>
    <w:multiLevelType w:val="multilevel"/>
    <w:tmpl w:val="7BDE379C"/>
    <w:lvl w:ilvl="0" w:tentative="0">
      <w:start w:val="5"/>
      <w:numFmt w:val="japaneseCounting"/>
      <w:lvlText w:val="%1、"/>
      <w:lvlJc w:val="left"/>
      <w:pPr>
        <w:ind w:left="1558" w:hanging="720"/>
      </w:pPr>
      <w:rPr>
        <w:rFonts w:hint="default"/>
      </w:rPr>
    </w:lvl>
    <w:lvl w:ilvl="1" w:tentative="0">
      <w:start w:val="1"/>
      <w:numFmt w:val="lowerLetter"/>
      <w:lvlText w:val="%2)"/>
      <w:lvlJc w:val="left"/>
      <w:pPr>
        <w:ind w:left="1678" w:hanging="420"/>
      </w:pPr>
    </w:lvl>
    <w:lvl w:ilvl="2" w:tentative="0">
      <w:start w:val="1"/>
      <w:numFmt w:val="lowerRoman"/>
      <w:lvlText w:val="%3."/>
      <w:lvlJc w:val="right"/>
      <w:pPr>
        <w:ind w:left="2098" w:hanging="420"/>
      </w:pPr>
    </w:lvl>
    <w:lvl w:ilvl="3" w:tentative="0">
      <w:start w:val="1"/>
      <w:numFmt w:val="decimal"/>
      <w:lvlText w:val="%4."/>
      <w:lvlJc w:val="left"/>
      <w:pPr>
        <w:ind w:left="2518" w:hanging="420"/>
      </w:pPr>
    </w:lvl>
    <w:lvl w:ilvl="4" w:tentative="0">
      <w:start w:val="1"/>
      <w:numFmt w:val="lowerLetter"/>
      <w:lvlText w:val="%5)"/>
      <w:lvlJc w:val="left"/>
      <w:pPr>
        <w:ind w:left="2938" w:hanging="420"/>
      </w:pPr>
    </w:lvl>
    <w:lvl w:ilvl="5" w:tentative="0">
      <w:start w:val="1"/>
      <w:numFmt w:val="lowerRoman"/>
      <w:lvlText w:val="%6."/>
      <w:lvlJc w:val="right"/>
      <w:pPr>
        <w:ind w:left="3358" w:hanging="420"/>
      </w:pPr>
    </w:lvl>
    <w:lvl w:ilvl="6" w:tentative="0">
      <w:start w:val="1"/>
      <w:numFmt w:val="decimal"/>
      <w:lvlText w:val="%7."/>
      <w:lvlJc w:val="left"/>
      <w:pPr>
        <w:ind w:left="3778" w:hanging="420"/>
      </w:pPr>
    </w:lvl>
    <w:lvl w:ilvl="7" w:tentative="0">
      <w:start w:val="1"/>
      <w:numFmt w:val="lowerLetter"/>
      <w:lvlText w:val="%8)"/>
      <w:lvlJc w:val="left"/>
      <w:pPr>
        <w:ind w:left="4198" w:hanging="420"/>
      </w:pPr>
    </w:lvl>
    <w:lvl w:ilvl="8" w:tentative="0">
      <w:start w:val="1"/>
      <w:numFmt w:val="lowerRoman"/>
      <w:lvlText w:val="%9."/>
      <w:lvlJc w:val="right"/>
      <w:pPr>
        <w:ind w:left="4618"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C5D21"/>
    <w:rsid w:val="000C7140"/>
    <w:rsid w:val="000F6A9A"/>
    <w:rsid w:val="000F6FCF"/>
    <w:rsid w:val="00172589"/>
    <w:rsid w:val="00182EE6"/>
    <w:rsid w:val="00210B9D"/>
    <w:rsid w:val="002F4096"/>
    <w:rsid w:val="00323B29"/>
    <w:rsid w:val="00351370"/>
    <w:rsid w:val="00363515"/>
    <w:rsid w:val="0039059E"/>
    <w:rsid w:val="003911CB"/>
    <w:rsid w:val="004219E0"/>
    <w:rsid w:val="00440AC9"/>
    <w:rsid w:val="00460EB6"/>
    <w:rsid w:val="00465319"/>
    <w:rsid w:val="004E6E21"/>
    <w:rsid w:val="00514932"/>
    <w:rsid w:val="00533006"/>
    <w:rsid w:val="005A105D"/>
    <w:rsid w:val="005F2495"/>
    <w:rsid w:val="005F62EE"/>
    <w:rsid w:val="00664EBC"/>
    <w:rsid w:val="00665494"/>
    <w:rsid w:val="00682B2D"/>
    <w:rsid w:val="006C2AC5"/>
    <w:rsid w:val="006E4FD0"/>
    <w:rsid w:val="007320C9"/>
    <w:rsid w:val="00747727"/>
    <w:rsid w:val="007D1EEA"/>
    <w:rsid w:val="007F0341"/>
    <w:rsid w:val="0081108F"/>
    <w:rsid w:val="00820B19"/>
    <w:rsid w:val="00885CCC"/>
    <w:rsid w:val="00890E13"/>
    <w:rsid w:val="008A15A3"/>
    <w:rsid w:val="009A521C"/>
    <w:rsid w:val="009D124E"/>
    <w:rsid w:val="009F1EFD"/>
    <w:rsid w:val="00A33D4B"/>
    <w:rsid w:val="00AF1979"/>
    <w:rsid w:val="00B12C63"/>
    <w:rsid w:val="00B409F2"/>
    <w:rsid w:val="00BA55AA"/>
    <w:rsid w:val="00BE7E03"/>
    <w:rsid w:val="00D02D7A"/>
    <w:rsid w:val="00D159A6"/>
    <w:rsid w:val="00D52932"/>
    <w:rsid w:val="00D5520D"/>
    <w:rsid w:val="00D607DA"/>
    <w:rsid w:val="00DA0161"/>
    <w:rsid w:val="00DC1673"/>
    <w:rsid w:val="00DC6EE5"/>
    <w:rsid w:val="00E47306"/>
    <w:rsid w:val="00E70171"/>
    <w:rsid w:val="00E85EAE"/>
    <w:rsid w:val="00ED7C7B"/>
    <w:rsid w:val="00EE71BA"/>
    <w:rsid w:val="00EF24F9"/>
    <w:rsid w:val="00F26A69"/>
    <w:rsid w:val="00F34D4F"/>
    <w:rsid w:val="00F3514D"/>
    <w:rsid w:val="00F550F8"/>
    <w:rsid w:val="00F603B8"/>
    <w:rsid w:val="00F867E4"/>
    <w:rsid w:val="02335BEC"/>
    <w:rsid w:val="056D17C0"/>
    <w:rsid w:val="222C48FB"/>
    <w:rsid w:val="30C018EA"/>
    <w:rsid w:val="4751726A"/>
    <w:rsid w:val="4FD401C1"/>
    <w:rsid w:val="51FF42F9"/>
    <w:rsid w:val="59E40575"/>
    <w:rsid w:val="77DE302D"/>
    <w:rsid w:val="79F569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 w:type="paragraph" w:styleId="14">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16</Pages>
  <Words>1233</Words>
  <Characters>7029</Characters>
  <Lines>58</Lines>
  <Paragraphs>16</Paragraphs>
  <TotalTime>77</TotalTime>
  <ScaleCrop>false</ScaleCrop>
  <LinksUpToDate>false</LinksUpToDate>
  <CharactersWithSpaces>8246</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2020-02-28T06:36:00Z</dcterms:created>
  <dc:creator>guest</dc:creator>
  <cp:lastModifiedBy>Administrator</cp:lastModifiedBy>
  <cp:lastPrinted>2020-02-27T08:00:00Z</cp:lastPrinted>
  <dcterms:modified xsi:type="dcterms:W3CDTF">2023-06-08T09:22:08Z</dcterms:modified>
  <dc:title>o</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