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</w:rPr>
        <w:t>关于石家庄市藁城区2022年国民经济和社会发展计划执行情况及2023年计划草案的报告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——2023年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12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日在石家庄市藁城区第三届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人民代表大会第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次会议上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226" w:afterLines="50" w:line="620" w:lineRule="exact"/>
        <w:ind w:firstLine="640" w:firstLineChars="200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石家庄市藁城区发展和改革局局长  董宏波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各位代表：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受区政府委托，我向大会作藁城区202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年国民经济和社会发展计划执行情况及202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年计划草案的报告，请予审议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并请区政协委员和列席会议的同志提出意见。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一、2022年国民经济和社会发展计划执行情况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，在区委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、区政府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的坚强领导和区人大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、政协</w:t>
      </w:r>
      <w:r>
        <w:rPr>
          <w:rFonts w:hint="eastAsia" w:ascii="仿宋_GB2312" w:hAnsi="仿宋_GB2312" w:eastAsia="仿宋_GB2312" w:cs="仿宋_GB2312"/>
          <w:sz w:val="32"/>
          <w:szCs w:val="32"/>
        </w:rPr>
        <w:t>的监督支持下，全区上下坚持以习近平新时代中国特色社会主义思想为指导，深入学习贯彻党的二十大精神，紧紧围绕建设“一极四城”的总目标，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按照“疫情要防住、经济要稳住、发展要安全”的总要求，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大力实施“八大行动”</w:t>
      </w:r>
      <w:r>
        <w:rPr>
          <w:rFonts w:hint="eastAsia" w:ascii="仿宋_GB2312" w:hAnsi="仿宋_GB2312" w:eastAsia="仿宋_GB2312" w:cs="仿宋_GB2312"/>
          <w:sz w:val="32"/>
          <w:szCs w:val="32"/>
        </w:rPr>
        <w:t>，统筹推进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经济社会高质量发展</w:t>
      </w:r>
      <w:r>
        <w:rPr>
          <w:rFonts w:hint="eastAsia" w:ascii="仿宋_GB2312" w:hAnsi="仿宋_GB2312" w:eastAsia="仿宋_GB2312" w:cs="仿宋_GB2312"/>
          <w:sz w:val="32"/>
          <w:szCs w:val="32"/>
        </w:rPr>
        <w:t>等各项工作，实现经济发展稳中提质，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各项事业迈出新步伐，高质量发展开创新局面。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（一）坚持人民至上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、</w:t>
      </w:r>
      <w:r>
        <w:rPr>
          <w:rFonts w:hint="eastAsia" w:ascii="楷体_GB2312" w:hAnsi="楷体_GB2312" w:eastAsia="楷体_GB2312" w:cs="楷体_GB2312"/>
          <w:sz w:val="32"/>
          <w:szCs w:val="32"/>
        </w:rPr>
        <w:t>生命至上，疫情防控精准有效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全面贯彻落实国家、省市疫情防控决策部署，时刻保持疫情防控安全底线，切实把人民群众生命安全和身体健康放在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首要位置</w:t>
      </w:r>
      <w:r>
        <w:rPr>
          <w:rFonts w:hint="eastAsia" w:ascii="仿宋_GB2312" w:hAnsi="仿宋_GB2312" w:eastAsia="仿宋_GB2312" w:cs="仿宋_GB2312"/>
          <w:sz w:val="32"/>
          <w:szCs w:val="32"/>
        </w:rPr>
        <w:t>。健全网格化管理体系，压实各方责任，确保防控措施在末端有效落实。强化重点人群“白名单”管理，完善常态化核酸筛查体系，精准落实日常排查监测及应急处置。按照新版防控方案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‍‍科学精准划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定</w:t>
      </w:r>
      <w:r>
        <w:rPr>
          <w:rFonts w:hint="eastAsia" w:ascii="仿宋_GB2312" w:hAnsi="仿宋_GB2312" w:eastAsia="仿宋_GB2312" w:cs="仿宋_GB2312"/>
          <w:sz w:val="32"/>
          <w:szCs w:val="32"/>
        </w:rPr>
        <w:t>中高风险区，细化优化防控措施，确保疫情防控调整转段平稳有序。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（二）着力稳住经济大盘，经济发展稳中提质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紧紧围绕“全市经济总量过万亿”目标任务，制定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</w:rPr>
        <w:t>《藁城区推动高质量发展力促省会经济总量过万亿实施方案》。结合省市稳定经济一揽子政策措施，出台我区稳定经济运行的若干措施及配套政策，确保经济实现量的合理增长和质的稳步提升。2022年，全区地区生产总值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574.16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7.8</w:t>
      </w:r>
      <w:r>
        <w:rPr>
          <w:rFonts w:hint="eastAsia" w:ascii="仿宋_GB2312" w:hAnsi="仿宋_GB2312" w:eastAsia="仿宋_GB2312" w:cs="仿宋_GB2312"/>
          <w:sz w:val="32"/>
          <w:szCs w:val="32"/>
        </w:rPr>
        <w:t>%；一般公共预算收入完成4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6.9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17.3</w:t>
      </w:r>
      <w:r>
        <w:rPr>
          <w:rFonts w:hint="eastAsia" w:ascii="仿宋_GB2312" w:hAnsi="仿宋_GB2312" w:eastAsia="仿宋_GB2312" w:cs="仿宋_GB2312"/>
          <w:sz w:val="32"/>
          <w:szCs w:val="32"/>
        </w:rPr>
        <w:t>%；规模以上工业增加值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277.85亿元，</w:t>
      </w:r>
      <w:r>
        <w:rPr>
          <w:rFonts w:hint="eastAsia" w:ascii="仿宋_GB2312" w:hAnsi="仿宋_GB2312" w:eastAsia="仿宋_GB2312" w:cs="仿宋_GB2312"/>
          <w:sz w:val="32"/>
          <w:szCs w:val="32"/>
        </w:rPr>
        <w:t>同比增长10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.7</w:t>
      </w:r>
      <w:r>
        <w:rPr>
          <w:rFonts w:hint="eastAsia" w:ascii="仿宋_GB2312" w:hAnsi="仿宋_GB2312" w:eastAsia="仿宋_GB2312" w:cs="仿宋_GB2312"/>
          <w:sz w:val="32"/>
          <w:szCs w:val="32"/>
        </w:rPr>
        <w:t>%；服务业增加值完成19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3.2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7.5</w:t>
      </w:r>
      <w:r>
        <w:rPr>
          <w:rFonts w:hint="eastAsia" w:ascii="仿宋_GB2312" w:hAnsi="仿宋_GB2312" w:eastAsia="仿宋_GB2312" w:cs="仿宋_GB2312"/>
          <w:sz w:val="32"/>
          <w:szCs w:val="32"/>
        </w:rPr>
        <w:t>%；固定资产投资完成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189</w:t>
      </w:r>
      <w:r>
        <w:rPr>
          <w:rFonts w:hint="eastAsia" w:ascii="仿宋_GB2312" w:hAnsi="仿宋_GB2312" w:eastAsia="仿宋_GB2312" w:cs="仿宋_GB2312"/>
          <w:sz w:val="32"/>
          <w:szCs w:val="32"/>
        </w:rPr>
        <w:t>.2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10.6</w:t>
      </w:r>
      <w:r>
        <w:rPr>
          <w:rFonts w:hint="eastAsia" w:ascii="仿宋_GB2312" w:hAnsi="仿宋_GB2312" w:eastAsia="仿宋_GB2312" w:cs="仿宋_GB2312"/>
          <w:sz w:val="32"/>
          <w:szCs w:val="32"/>
        </w:rPr>
        <w:t>%。2022年，藁城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再次入选全国综合实力百强区、绿色发展百强区、投资竞争力百强区，综合经济实力实现新提升。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（三）项目建设提速增效，园区引擎作用凸显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坚持“招商为先、项目为王”理念，成立投资促进局，围绕主导产业和重点领域强化“双招双引”，常驻长三角、珠三角、京津等发达地区开展驻点招商，年内累计签约项目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148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个，总投资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321.9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亿元，投资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10.32亿元的中汇智能化装备制造产业基地项目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、投资11.6亿元的石普跨境电商物流小镇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投资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10.1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康裕医药原料及制剂绿色生产基地建设项目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等一批高端优质项目落户藁城。为确保项目建设扎实有序推进，全面落实一个项目、一名领导、一个专班、一套方案、一抓到底“五个一”推进服务机制，力争项目早投产、早达效。年内共申列省市重点项目33个，总投资232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.7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亿元，项目数量和投资规模均居全市第一；全年集中开工项目148个，总投资324.52亿元，项目数量和投资额度居全市前列。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加快推动</w:t>
      </w:r>
      <w:r>
        <w:rPr>
          <w:rFonts w:hint="eastAsia" w:ascii="仿宋_GB2312" w:hAnsi="仿宋_GB2312" w:eastAsia="仿宋_GB2312" w:cs="仿宋_GB2312"/>
          <w:sz w:val="32"/>
          <w:szCs w:val="32"/>
        </w:rPr>
        <w:t>经开区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赋能提质，</w:t>
      </w:r>
      <w:r>
        <w:rPr>
          <w:rFonts w:hint="eastAsia" w:ascii="仿宋_GB2312" w:hAnsi="仿宋_GB2312" w:eastAsia="仿宋_GB2312" w:cs="仿宋_GB2312"/>
          <w:sz w:val="32"/>
          <w:szCs w:val="32"/>
        </w:rPr>
        <w:t>发挥国家级园区政策优势，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深入推进人事薪酬、“双招双引”、“管委会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+公司制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”、“亩均论英雄”、行政审批制度五项改革，打造具有坚强配套的低成本园区，</w:t>
      </w:r>
      <w:r>
        <w:rPr>
          <w:rFonts w:hint="eastAsia" w:ascii="仿宋_GB2312" w:hAnsi="仿宋_GB2312" w:eastAsia="仿宋_GB2312" w:cs="仿宋_GB2312"/>
          <w:sz w:val="32"/>
          <w:szCs w:val="32"/>
        </w:rPr>
        <w:t>全年完成营业收入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3342.46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亿元、同比增长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%，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完成税收收入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134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26.8</w:t>
      </w:r>
      <w:r>
        <w:rPr>
          <w:rFonts w:hint="eastAsia" w:ascii="仿宋_GB2312" w:hAnsi="仿宋_GB2312" w:eastAsia="仿宋_GB2312" w:cs="仿宋_GB2312"/>
          <w:sz w:val="32"/>
          <w:szCs w:val="32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（四）加快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构建</w:t>
      </w:r>
      <w:r>
        <w:rPr>
          <w:rFonts w:hint="eastAsia" w:ascii="楷体_GB2312" w:hAnsi="楷体_GB2312" w:eastAsia="楷体_GB2312" w:cs="楷体_GB2312"/>
          <w:sz w:val="32"/>
          <w:szCs w:val="32"/>
        </w:rPr>
        <w:t>现代产业体系，产业发展活力迸发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围绕我区四大主导产业，坚持内培外引、集群发展，推动新旧动能转换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产业结构进一步优化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一是新兴产业动能势头强劲。全区高新技术企业达到191家，科技型中小企业保持在千家以上，省、市级技术创新中心分别达到1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家、2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家。全区规模以上高新技术产业增加值完成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127.54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10.7</w:t>
      </w:r>
      <w:r>
        <w:rPr>
          <w:rFonts w:hint="eastAsia" w:ascii="仿宋_GB2312" w:hAnsi="仿宋_GB2312" w:eastAsia="仿宋_GB2312" w:cs="仿宋_GB2312"/>
          <w:sz w:val="32"/>
          <w:szCs w:val="32"/>
        </w:rPr>
        <w:t>%。二是现代服务业扩容提质。高标准打造“宫城印巷”、北国商圈、紫御新街等精品特色商业街，时尚汇地下商业街启动招商，极兔速递冀中南区域总部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一期项目投入运营，</w:t>
      </w:r>
      <w:r>
        <w:rPr>
          <w:rFonts w:hint="eastAsia" w:ascii="仿宋_GB2312" w:hAnsi="仿宋_GB2312" w:eastAsia="仿宋_GB2312" w:cs="仿宋_GB2312"/>
          <w:sz w:val="32"/>
          <w:szCs w:val="32"/>
        </w:rPr>
        <w:t>宇培冷链物流仓储等项目正加紧建设。通过发放消费券、举办啤酒节等活动，激发消费新动能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全区消费活力显著增强。</w:t>
      </w:r>
      <w:r>
        <w:rPr>
          <w:rFonts w:hint="eastAsia" w:ascii="仿宋_GB2312" w:hAnsi="仿宋_GB2312" w:eastAsia="仿宋_GB2312" w:cs="仿宋_GB2312"/>
          <w:sz w:val="32"/>
          <w:szCs w:val="32"/>
        </w:rPr>
        <w:t>三是科技兴农强农成效显著。全年完成粮食播种面积103.14万亩，总产达到50.83万吨；农业产业进一步发展壮大，申报市级产业化龙头企业17家、省级3家、国家级1家，创建市级联合体6家、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省级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家</w:t>
      </w:r>
      <w:r>
        <w:rPr>
          <w:rFonts w:hint="eastAsia" w:ascii="仿宋_GB2312" w:hAnsi="仿宋_GB2312" w:eastAsia="仿宋_GB2312" w:cs="仿宋_GB2312"/>
          <w:sz w:val="32"/>
          <w:szCs w:val="32"/>
        </w:rPr>
        <w:t>。我区成功入选国家大豆科技自强示范县和国家大豆制种大县。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五</w:t>
      </w:r>
      <w:r>
        <w:rPr>
          <w:rFonts w:hint="eastAsia" w:ascii="楷体_GB2312" w:hAnsi="楷体_GB2312" w:eastAsia="楷体_GB2312" w:cs="楷体_GB2312"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全力</w:t>
      </w:r>
      <w:r>
        <w:rPr>
          <w:rFonts w:hint="eastAsia" w:ascii="楷体_GB2312" w:hAnsi="楷体_GB2312" w:eastAsia="楷体_GB2312" w:cs="楷体_GB2312"/>
          <w:sz w:val="32"/>
          <w:szCs w:val="32"/>
        </w:rPr>
        <w:t>优化营商环境，发展动能有效激活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组建优化营商环境专项治理领导小组及工作专班，召开优化营商环境警示教育大会，出台优化营商环境22条措施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开通“优化营商环境书记直通车”和“营商环境110”，开展“千名干部进万企纾困解难”“企业家服务日”“企业家早餐会”“月评最差窗口、季评最差部门”等活动，常态化推进重点领域专项巡察，查处破坏营商环境案件11起。全面推进“上网、减时、便民”，行政审批事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实现</w:t>
      </w:r>
      <w:r>
        <w:rPr>
          <w:rFonts w:hint="eastAsia" w:ascii="仿宋_GB2312" w:hAnsi="仿宋_GB2312" w:eastAsia="仿宋_GB2312" w:cs="仿宋_GB2312"/>
          <w:sz w:val="32"/>
          <w:szCs w:val="32"/>
        </w:rPr>
        <w:t>100%“全流程网办”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全省率先启用AI极速审批系统，企业开办时间实现从小时到分钟的突破。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六</w:t>
      </w:r>
      <w:r>
        <w:rPr>
          <w:rFonts w:hint="eastAsia" w:ascii="楷体_GB2312" w:hAnsi="楷体_GB2312" w:eastAsia="楷体_GB2312" w:cs="楷体_GB2312"/>
          <w:sz w:val="32"/>
          <w:szCs w:val="32"/>
        </w:rPr>
        <w:t>）加大基础设施投入，城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市</w:t>
      </w:r>
      <w:r>
        <w:rPr>
          <w:rFonts w:hint="eastAsia" w:ascii="楷体_GB2312" w:hAnsi="楷体_GB2312" w:eastAsia="楷体_GB2312" w:cs="楷体_GB2312"/>
          <w:sz w:val="32"/>
          <w:szCs w:val="32"/>
        </w:rPr>
        <w:t>功能持续提升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坚持对标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对接主</w:t>
      </w:r>
      <w:r>
        <w:rPr>
          <w:rFonts w:hint="eastAsia" w:ascii="仿宋_GB2312" w:hAnsi="仿宋_GB2312" w:eastAsia="仿宋_GB2312" w:cs="仿宋_GB2312"/>
          <w:sz w:val="32"/>
          <w:szCs w:val="32"/>
        </w:rPr>
        <w:t>城区，大力实施城市更新行动。槐安路东延（东三环至新赵线段）全面通车，廉西大街改建工程完成过村段路面铺装，新赵线大中修工程完工，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四明街石津渠桥正式通车，尚中街、廉东大街南延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等工程</w:t>
      </w:r>
      <w:r>
        <w:rPr>
          <w:rFonts w:hint="eastAsia" w:ascii="仿宋_GB2312" w:hAnsi="仿宋_GB2312" w:eastAsia="仿宋_GB2312" w:cs="仿宋_GB2312"/>
          <w:sz w:val="32"/>
          <w:szCs w:val="32"/>
        </w:rPr>
        <w:t>正加紧施工。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四明街下穿石德铁路已具备通车条件，石衡高速藁城保通段、津石高速连接线已完工通车。</w:t>
      </w:r>
      <w:r>
        <w:rPr>
          <w:rFonts w:hint="eastAsia" w:ascii="仿宋_GB2312" w:hAnsi="仿宋_GB2312" w:eastAsia="仿宋_GB2312" w:cs="仿宋_GB2312"/>
          <w:sz w:val="32"/>
          <w:szCs w:val="32"/>
        </w:rPr>
        <w:t>对167条小街巷进行整治提升，打造了12条精品街道。完成廉东大街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东城街、西城街等10条主次干道高标准改造，新改建口袋公园8个，新建公共停车场10座，新增停车位1180个。完成171个老旧小区改造，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涉及260栋住宅楼、8336户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高效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完成商贸城、南马村、石井村拆迁工作。美丽乡村建设扎实开展，完成户厕改造2.5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万座，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创建美丽庭院1万户，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179个村、</w:t>
      </w:r>
      <w:r>
        <w:rPr>
          <w:rFonts w:hint="eastAsia" w:ascii="仿宋_GB2312" w:hAnsi="仿宋_GB2312" w:eastAsia="仿宋_GB2312" w:cs="仿宋_GB2312"/>
          <w:sz w:val="32"/>
          <w:szCs w:val="32"/>
        </w:rPr>
        <w:t>363万平米小街小巷硬化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廉州镇入选全国综合实力千强镇，贾市庄镇马邱村被认定为全国“一村一品”示范村</w:t>
      </w:r>
      <w:r>
        <w:rPr>
          <w:rFonts w:hint="eastAsia" w:ascii="仿宋_GB2312" w:hAnsi="仿宋_GB2312" w:eastAsia="仿宋_GB2312" w:cs="仿宋_GB2312"/>
          <w:sz w:val="32"/>
          <w:szCs w:val="32"/>
        </w:rPr>
        <w:t>。生态环境持续好转，PM2.5浓度为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45</w:t>
      </w:r>
      <w:r>
        <w:rPr>
          <w:rFonts w:hint="eastAsia" w:ascii="仿宋_GB2312" w:hAnsi="仿宋_GB2312" w:eastAsia="仿宋_GB2312" w:cs="仿宋_GB2312"/>
          <w:sz w:val="32"/>
          <w:szCs w:val="32"/>
        </w:rPr>
        <w:t>微克/立方米，同比下降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4.25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优良天数为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246</w:t>
      </w:r>
      <w:r>
        <w:rPr>
          <w:rFonts w:hint="eastAsia" w:ascii="仿宋_GB2312" w:hAnsi="仿宋_GB2312" w:eastAsia="仿宋_GB2312" w:cs="仿宋_GB2312"/>
          <w:sz w:val="32"/>
          <w:szCs w:val="32"/>
        </w:rPr>
        <w:t>天，优良天比率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67.4</w:t>
      </w:r>
      <w:r>
        <w:rPr>
          <w:rFonts w:hint="eastAsia" w:ascii="仿宋_GB2312" w:hAnsi="仿宋_GB2312" w:eastAsia="仿宋_GB2312" w:cs="仿宋_GB2312"/>
          <w:sz w:val="32"/>
          <w:szCs w:val="32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七</w:t>
      </w:r>
      <w:r>
        <w:rPr>
          <w:rFonts w:hint="eastAsia" w:ascii="楷体_GB2312" w:hAnsi="楷体_GB2312" w:eastAsia="楷体_GB2312" w:cs="楷体_GB2312"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强化公共服务供给</w:t>
      </w:r>
      <w:r>
        <w:rPr>
          <w:rFonts w:hint="eastAsia" w:ascii="楷体_GB2312" w:hAnsi="楷体_GB2312" w:eastAsia="楷体_GB2312" w:cs="楷体_GB2312"/>
          <w:sz w:val="32"/>
          <w:szCs w:val="32"/>
        </w:rPr>
        <w:t>，民生福祉显著增强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城乡居民收入稳步提高，城镇居民人均可支配收入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达到44547</w:t>
      </w:r>
      <w:r>
        <w:rPr>
          <w:rFonts w:hint="eastAsia" w:ascii="仿宋_GB2312" w:hAnsi="仿宋_GB2312" w:eastAsia="仿宋_GB2312" w:cs="仿宋_GB2312"/>
          <w:sz w:val="32"/>
          <w:szCs w:val="32"/>
        </w:rPr>
        <w:t>元，农村居民人均可支配收入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达到26032</w:t>
      </w:r>
      <w:r>
        <w:rPr>
          <w:rFonts w:hint="eastAsia" w:ascii="仿宋_GB2312" w:hAnsi="仿宋_GB2312" w:eastAsia="仿宋_GB2312" w:cs="仿宋_GB2312"/>
          <w:sz w:val="32"/>
          <w:szCs w:val="32"/>
        </w:rPr>
        <w:t>元，同比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分别</w:t>
      </w:r>
      <w:r>
        <w:rPr>
          <w:rFonts w:hint="eastAsia" w:ascii="仿宋_GB2312" w:hAnsi="仿宋_GB2312" w:eastAsia="仿宋_GB2312" w:cs="仿宋_GB2312"/>
          <w:sz w:val="32"/>
          <w:szCs w:val="32"/>
        </w:rPr>
        <w:t>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4.5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和6.6</w:t>
      </w:r>
      <w:r>
        <w:rPr>
          <w:rFonts w:hint="eastAsia" w:ascii="仿宋_GB2312" w:hAnsi="仿宋_GB2312" w:eastAsia="仿宋_GB2312" w:cs="仿宋_GB2312"/>
          <w:sz w:val="32"/>
          <w:szCs w:val="32"/>
        </w:rPr>
        <w:t>%。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开展各类职业技能培训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4577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人次，劳动者就业创业能力持续提升，新增城镇就业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7074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人。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教</w:t>
      </w:r>
      <w:r>
        <w:rPr>
          <w:rFonts w:hint="eastAsia" w:ascii="仿宋_GB2312" w:hAnsi="仿宋_GB2312" w:eastAsia="仿宋_GB2312" w:cs="仿宋_GB2312"/>
          <w:sz w:val="32"/>
          <w:szCs w:val="32"/>
        </w:rPr>
        <w:t>育基础设施不断完善，教育产业园、尚中街学校、9所幼儿园等项目正在建设，杨马村实验楼、卞家寨教学楼、北孟小学教学楼等项目均已竣工。医药体制改革不断深化，2个县域医共体组建完成，对乡镇卫生院进行了改造提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人民医院新园区一期、中医院改扩建等项目进场施工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文化惠民工程扎实推进，综合体育馆配套楼主体封顶,四明楼片区改造工程完成招投标工作。安全生产、食品药品安全、金融监管、扫黑除恶等工作全面加强，社会大局保持和谐稳定。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总体看，2022年我区保持了稳中有进、质量提高、和谐发展的良好态势。但也应清醒地看到，藁城正处在爬坡上坎的关键期、自我突破的瓶颈期、产业转型的阵痛期，实际存在的问题和短板不容忽视：一是受疫情持续影响，全区经济运行态势总体平稳可控，但稳增长压力较大；二是产业转型发展有待提速，产业结构不优、质量不高问题依然突出；三是优质产业项目招商难、落地难，上下游配套产业链不足，经济发展后劲乏力，土地、资金、技术等要素保障仍然突出；四是城市建设管理短板明显，城镇化发展水平亟需提高，基本公共服务水平有待进一步提升，大气污染防治形势依然严峻。对此，必须保持头脑清醒，科学有效应对，全力推动解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二、2023年国民经济和社会发展主要目标与任务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2023年是全面贯彻落实党的二十大精神的开局之年，也是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经济实现恢复性增长</w:t>
      </w:r>
      <w:r>
        <w:rPr>
          <w:rFonts w:hint="eastAsia" w:ascii="仿宋_GB2312" w:hAnsi="仿宋_GB2312" w:eastAsia="仿宋_GB2312" w:cs="仿宋_GB2312"/>
          <w:sz w:val="32"/>
          <w:szCs w:val="32"/>
        </w:rPr>
        <w:t>的重要一年，做好全年经济社会发展工作意义重大、影响深远。我们要以习近平新时代中国特色社会主义思想为指导，全面贯彻落实党的二十大精神，围绕加快建设“一极四城”的总目标，强化省会意识、忧患意识、领跑意识，以“争第一、创唯一”的精神状态，解放思想、奋发进取，加快经济社会全面恢复，加快形成共促高质量发展的合力，推动藁城经济社会发展行稳致远。综观现阶段国内外形势和藁城高质量发展要求，建议2023年全区经济社会发展的主要预期目标如下（见附表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——</w:t>
      </w:r>
      <w:r>
        <w:rPr>
          <w:rFonts w:hint="eastAsia" w:ascii="楷体_GB2312" w:hAnsi="楷体_GB2312" w:eastAsia="楷体_GB2312" w:cs="楷体_GB2312"/>
          <w:sz w:val="32"/>
          <w:szCs w:val="32"/>
        </w:rPr>
        <w:t>地区生产总值增长8%，争取10%；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——固定资产投资增长8%；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——社会消费品零售总额增长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9</w:t>
      </w:r>
      <w:r>
        <w:rPr>
          <w:rFonts w:hint="eastAsia" w:ascii="楷体_GB2312" w:hAnsi="楷体_GB2312" w:eastAsia="楷体_GB2312" w:cs="楷体_GB2312"/>
          <w:sz w:val="32"/>
          <w:szCs w:val="32"/>
        </w:rPr>
        <w:t>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——一般公共预算收入</w:t>
      </w:r>
      <w:r>
        <w:rPr>
          <w:rFonts w:hint="eastAsia" w:ascii="楷体_GB2312" w:hAnsi="楷体_GB2312" w:eastAsia="楷体_GB2312" w:cs="楷体_GB2312"/>
          <w:sz w:val="32"/>
          <w:szCs w:val="32"/>
          <w:highlight w:val="none"/>
          <w:lang w:eastAsia="zh-CN"/>
        </w:rPr>
        <w:t>可比</w:t>
      </w: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增长</w:t>
      </w:r>
      <w:r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——规模以上工业增加值增长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10</w:t>
      </w:r>
      <w:r>
        <w:rPr>
          <w:rFonts w:hint="eastAsia" w:ascii="楷体_GB2312" w:hAnsi="楷体_GB2312" w:eastAsia="楷体_GB2312" w:cs="楷体_GB2312"/>
          <w:sz w:val="32"/>
          <w:szCs w:val="32"/>
        </w:rPr>
        <w:t>%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以上</w:t>
      </w:r>
      <w:r>
        <w:rPr>
          <w:rFonts w:hint="eastAsia" w:ascii="楷体_GB2312" w:hAnsi="楷体_GB2312" w:eastAsia="楷体_GB2312" w:cs="楷体_GB2312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——服务业增加值增长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8.5</w:t>
      </w:r>
      <w:r>
        <w:rPr>
          <w:rFonts w:hint="eastAsia" w:ascii="楷体_GB2312" w:hAnsi="楷体_GB2312" w:eastAsia="楷体_GB2312" w:cs="楷体_GB2312"/>
          <w:sz w:val="32"/>
          <w:szCs w:val="32"/>
        </w:rPr>
        <w:t>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——高新技术产业增加值增长1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0</w:t>
      </w:r>
      <w:r>
        <w:rPr>
          <w:rFonts w:hint="eastAsia" w:ascii="楷体_GB2312" w:hAnsi="楷体_GB2312" w:eastAsia="楷体_GB2312" w:cs="楷体_GB2312"/>
          <w:sz w:val="32"/>
          <w:szCs w:val="32"/>
        </w:rPr>
        <w:t>%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以上</w:t>
      </w:r>
      <w:r>
        <w:rPr>
          <w:rFonts w:hint="eastAsia" w:ascii="楷体_GB2312" w:hAnsi="楷体_GB2312" w:eastAsia="楷体_GB2312" w:cs="楷体_GB2312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——每万人拥有发明专利数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7.6</w:t>
      </w:r>
      <w:r>
        <w:rPr>
          <w:rFonts w:hint="eastAsia" w:ascii="楷体_GB2312" w:hAnsi="楷体_GB2312" w:eastAsia="楷体_GB2312" w:cs="楷体_GB2312"/>
          <w:sz w:val="32"/>
          <w:szCs w:val="32"/>
        </w:rPr>
        <w:t>件；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——常住人口城镇化率提高1个百分点；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——进出口总值增长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9</w:t>
      </w:r>
      <w:r>
        <w:rPr>
          <w:rFonts w:hint="eastAsia" w:ascii="楷体_GB2312" w:hAnsi="楷体_GB2312" w:eastAsia="楷体_GB2312" w:cs="楷体_GB2312"/>
          <w:sz w:val="32"/>
          <w:szCs w:val="32"/>
        </w:rPr>
        <w:t>%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以上</w:t>
      </w:r>
      <w:r>
        <w:rPr>
          <w:rFonts w:hint="eastAsia" w:ascii="楷体_GB2312" w:hAnsi="楷体_GB2312" w:eastAsia="楷体_GB2312" w:cs="楷体_GB2312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——实际利用外资增长5%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以上</w:t>
      </w:r>
      <w:r>
        <w:rPr>
          <w:rFonts w:hint="eastAsia" w:ascii="楷体_GB2312" w:hAnsi="楷体_GB2312" w:eastAsia="楷体_GB2312" w:cs="楷体_GB2312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——开发区营业收入增长15%以上；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——城镇新增就业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3800</w:t>
      </w:r>
      <w:r>
        <w:rPr>
          <w:rFonts w:hint="eastAsia" w:ascii="楷体_GB2312" w:hAnsi="楷体_GB2312" w:eastAsia="楷体_GB2312" w:cs="楷体_GB2312"/>
          <w:sz w:val="32"/>
          <w:szCs w:val="32"/>
        </w:rPr>
        <w:t>人以上；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——城乡居民人均可支配收入增长8%；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——粮食综合生产能力保持48万吨以上；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——每万元生产总值能耗、PM2.5平均浓度、平均优良天数比例、每万元生产总值用水量等指标完成上级目标要求。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实现上述目标，建议重点抓好以下工作：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（一）聚焦主导产业发展，构建现代化经济体系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围绕四大主导产业，鼓励支持优势型企业加强与科研机构、高等院校合作，实施创新联盟，推进技术改造，提升企业核心竞争力。全力实施主导产业三年倍增行动，大力实施品牌带动、龙头企业带动战略，促进生物四大产业集群又好又快发展。突出抓好石药灯塔工厂、国龙制药、龙海药业、恩必信动物疫苗等生物医药项目，加快推进宇培冷链仓储、石普跨境电商、新加坡丰树物流等物流项目，着力打造轨道交通特色产业园，高标准规划建设现代食品产业园，加快构建多元发展、多极支撑的现代产业体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（二）聚焦项目攻坚，夯实经济发展支撑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牢固树立“抓招商就是抓发展”意识，凝聚齐抓招商引资工作合力，推动招商引资工作跑出加速度、实现高质量。实施招商引资“百渠工程”，建立百条招商引资渠道，引入一批行业领先、技术含量高、经济效益好的大项目好项目。落实“专班分包、层级调度、要素保障、清单管理、双向承诺、考核奖惩”六步工作法，切实做好项目的土地供应、证照办理、无障碍施工等工作，全力为项目建设保驾护航。发挥经开区主战场作用，抓好扩园增效、招商选资、优化环境、提升服务等工作，全力打造具有坚强配套能力的高水平园区和低成本园区，全面增强经开区综合竞争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聚焦营商环境优化，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激发市场主体</w:t>
      </w:r>
      <w:r>
        <w:rPr>
          <w:rFonts w:hint="eastAsia" w:ascii="楷体_GB2312" w:hAnsi="楷体_GB2312" w:eastAsia="楷体_GB2312" w:cs="楷体_GB2312"/>
          <w:sz w:val="32"/>
          <w:szCs w:val="32"/>
        </w:rPr>
        <w:t>活力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全面深化改革创新，持续深化“放管服”改革，积极争取部分市级审批权限委托或下放，有效优化审批流程。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全力拓展AI极速智能审批系统应用场景，推动政务服务数字化、科技化、智能化改革。</w:t>
      </w:r>
      <w:r>
        <w:rPr>
          <w:rFonts w:hint="eastAsia" w:ascii="仿宋_GB2312" w:hAnsi="仿宋_GB2312" w:eastAsia="仿宋_GB2312" w:cs="仿宋_GB2312"/>
          <w:sz w:val="32"/>
          <w:szCs w:val="32"/>
        </w:rPr>
        <w:t>认真落实首问负责制、一次性告知制、限时办结制等相关制度，健全完善优化营商环境考评机制。持续开通“优化营商环境书记直通车”，持续开展“企业家服务日”“企业家早餐会”活动，完善政银企常态化沟通机制，搭建便捷高效的对接平台。加强对重点项目的跟踪服务，为企业发展做好“保姆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当好“店小二”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sz w:val="32"/>
          <w:szCs w:val="32"/>
        </w:rPr>
        <w:t>）聚焦宜居藁城建设，提升城市建管水平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围绕建设现代化、国际化美丽省会城市，高起点、高标准进行城市整体规划和重点区域规划设计，加快构建城乡一体的市政基础设施、公共服务设施、交通设施和综合防灾减灾体系。加快推进城区雨污分流改造、南部城区污水处理厂等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建设</w:t>
      </w:r>
      <w:r>
        <w:rPr>
          <w:rFonts w:hint="eastAsia" w:ascii="仿宋_GB2312" w:hAnsi="仿宋_GB2312" w:eastAsia="仿宋_GB2312" w:cs="仿宋_GB2312"/>
          <w:sz w:val="32"/>
          <w:szCs w:val="32"/>
        </w:rPr>
        <w:t>，扎实推进招待所片区老旧片区改造以及石井村、南马村等城中村改造，完成南大章易地搬迁、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城区</w:t>
      </w:r>
      <w:r>
        <w:rPr>
          <w:rFonts w:hint="eastAsia" w:ascii="仿宋_GB2312" w:hAnsi="仿宋_GB2312" w:eastAsia="仿宋_GB2312" w:cs="仿宋_GB2312"/>
          <w:sz w:val="32"/>
          <w:szCs w:val="32"/>
        </w:rPr>
        <w:t>25个老旧小区改造。加快廉西大街改扩建、四明街下穿石德铁路桥等工程进度，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启动槐安路东延二期、建设路西延、石衡高速屯头互通至赵县界段等道路建设，</w:t>
      </w:r>
      <w:r>
        <w:rPr>
          <w:rFonts w:hint="eastAsia" w:ascii="仿宋_GB2312" w:hAnsi="仿宋_GB2312" w:eastAsia="仿宋_GB2312" w:cs="仿宋_GB2312"/>
          <w:sz w:val="32"/>
          <w:szCs w:val="32"/>
        </w:rPr>
        <w:t>不断提升城市综合承载能力。持续开展电动车、交通秩序、环境容貌等集中整治，提高城市精细化、网格化、信息化管理水平。健全完善农村基础设施建设，高水准推进厕所革命、污水治理等专项行动，力争早日实现美丽乡村全覆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五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聚焦民生关切，增强群众幸福指数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持续加大民生领域投入，落实好民心工程和民生实事。按照最新疫情防控工作要求，优化调整疫情防控措施，全力保障社会正常运转和基本医疗服务；加快推进人民医院新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院</w:t>
      </w:r>
      <w:r>
        <w:rPr>
          <w:rFonts w:hint="eastAsia" w:ascii="仿宋_GB2312" w:hAnsi="仿宋_GB2312" w:eastAsia="仿宋_GB2312" w:cs="仿宋_GB2312"/>
          <w:sz w:val="32"/>
          <w:szCs w:val="32"/>
        </w:rPr>
        <w:t>区、中医院改扩建等项目建设，巩固医共体建设成果，切实提升基层医疗服务能力。持续改善办学条件，扩大优质教育资源覆盖面，完成教育园区一期、尚中街小学、9所幼儿园等项目建设，加快推进张村北街小学等6所学校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高中学段毛入学率保持94％以上。实施全民参保计划，推动法定人群全民覆盖，实现应参尽参、应保尽保。开展职业技能提升行动，落实创业担保贷款政策，促进重点群体充分就业。实施文化惠民、体育惠民工程，高标准完成综合体育馆、游泳馆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大力弘扬时代文明新风，着力擦亮“德善藁城”名片。强化生态污染治理，加快推进污水处理厂提标改造和城南污水处理厂建设，持续改善生态环境质量。以市域治理现代化试点创建为契机，完善社会治理体系，提升社会治理效能 ，抓好风险防范化解，努力建设法治藁城、平安藁城。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各位代表，新形势带来新挑战，勇作为展现真担当。让我们在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委、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政府的坚强领导下，在人大、政协的监督支持下，进一步解放思想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锐意进取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凝心聚力，以坚不可摧的信念、顽强拼搏的斗志、务实高效的作风、扎实有力的举措，谱写藁城高质量发展新篇章，为实现省会经济总量过万亿，建设现代化、国际化美丽省会城市贡献藁城力量！</w: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3443605</wp:posOffset>
                </wp:positionH>
                <wp:positionV relativeFrom="paragraph">
                  <wp:posOffset>440690</wp:posOffset>
                </wp:positionV>
                <wp:extent cx="1350645" cy="450215"/>
                <wp:effectExtent l="0" t="0" r="1905" b="6985"/>
                <wp:wrapNone/>
                <wp:docPr id="10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0645" cy="45021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71.15pt;margin-top:34.7pt;height:35.45pt;width:106.35pt;z-index:251662336;v-text-anchor:middle;mso-width-relative:page;mso-height-relative:page;" fillcolor="#FFFFFF [3212]" filled="t" stroked="f" coordsize="21600,21600" o:gfxdata="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KNE78doAAAAKAQAA&#10;DwAAAAAAAAABACAAAAAiAAAAZHJzL2Rvd25yZXYueG1sUEsBAhQAFAAAAAgAh07iQNTBr6JQAgAA&#10;fwQAAA4AAAAAAAAAAQAgAAAAKQEAAGRycy9lMm9Eb2MueG1sUEsFBgAAAAAGAAYAWQEAAOsFAAAA&#10;AA==&#10;">
                <v:fill on="t" focussize="0,0"/>
                <v:stroke on="f" weight="1pt" miterlimit="8" joinstyle="miter"/>
                <v:imagedata o:title=""/>
                <o:lock v:ext="edit" aspectratio="f"/>
              </v:rect>
            </w:pict>
          </mc:Fallback>
        </mc:AlternateConten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531" w:right="1559" w:bottom="2268" w:left="1559" w:header="851" w:footer="1701" w:gutter="0"/>
      <w:pgNumType w:fmt="decimal"/>
      <w:cols w:space="0" w:num="1"/>
      <w:rtlGutter w:val="0"/>
      <w:docGrid w:type="lines" w:linePitch="46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sz w:val="28"/>
        <w:szCs w:val="2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default" w:ascii="Times New Roman" w:hAnsi="Times New Roman" w:cs="Times New Roman" w:eastAsiaTheme="minorEastAsia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default" w:ascii="Times New Roman" w:hAnsi="Times New Roman" w:cs="Times New Roman" w:eastAsiaTheme="minorEastAsia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attachedTemplate r:id="rId1"/>
  <w:documentProtection w:enforcement="0"/>
  <w:defaultTabStop w:val="420"/>
  <w:drawingGridVerticalSpacing w:val="231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Q0YTRhNWFhMjA5ZDgzOTBiYjliMjc1NmI3ZGViNDQifQ=="/>
  </w:docVars>
  <w:rsids>
    <w:rsidRoot w:val="1C2A75F5"/>
    <w:rsid w:val="0396619A"/>
    <w:rsid w:val="08172105"/>
    <w:rsid w:val="091925BD"/>
    <w:rsid w:val="0BC47C2C"/>
    <w:rsid w:val="0C4E2905"/>
    <w:rsid w:val="0FBE25DD"/>
    <w:rsid w:val="1C2A75F5"/>
    <w:rsid w:val="1C605A2F"/>
    <w:rsid w:val="21033F39"/>
    <w:rsid w:val="23EC1480"/>
    <w:rsid w:val="241F1A4B"/>
    <w:rsid w:val="261B525E"/>
    <w:rsid w:val="26AC0E40"/>
    <w:rsid w:val="2A0E0CEC"/>
    <w:rsid w:val="2C8877D2"/>
    <w:rsid w:val="314F5556"/>
    <w:rsid w:val="32335087"/>
    <w:rsid w:val="33B94BCA"/>
    <w:rsid w:val="369E0EF6"/>
    <w:rsid w:val="3EA805F2"/>
    <w:rsid w:val="42F733E3"/>
    <w:rsid w:val="51DD06CC"/>
    <w:rsid w:val="52833022"/>
    <w:rsid w:val="531F1BD2"/>
    <w:rsid w:val="58B84455"/>
    <w:rsid w:val="5C2C297C"/>
    <w:rsid w:val="60C73140"/>
    <w:rsid w:val="61161835"/>
    <w:rsid w:val="61E046D5"/>
    <w:rsid w:val="67803B7C"/>
    <w:rsid w:val="6C345521"/>
    <w:rsid w:val="6D535020"/>
    <w:rsid w:val="717E037B"/>
    <w:rsid w:val="7A9B2D4F"/>
    <w:rsid w:val="7AD43BFC"/>
    <w:rsid w:val="7D6E7EA7"/>
    <w:rsid w:val="7DBA7990"/>
    <w:rsid w:val="7E5A6A7D"/>
    <w:rsid w:val="7E622D8E"/>
    <w:rsid w:val="7F3639C1"/>
    <w:rsid w:val="7FA71351"/>
    <w:rsid w:val="7FD53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cs="仿宋" w:asciiTheme="minorHAnsi" w:hAnsiTheme="minorHAnsi" w:eastAsiaTheme="minorEastAsia"/>
      <w:kern w:val="10"/>
      <w:sz w:val="32"/>
      <w:szCs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_GB2312" w:eastAsia="仿宋_GB2312"/>
      <w:sz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13</Pages>
  <Words>5684</Words>
  <Characters>6093</Characters>
  <Lines>0</Lines>
  <Paragraphs>0</Paragraphs>
  <TotalTime>27</TotalTime>
  <ScaleCrop>false</ScaleCrop>
  <LinksUpToDate>false</LinksUpToDate>
  <CharactersWithSpaces>6099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2007-12-31T18:09:00Z</dcterms:created>
  <dc:creator>Administrator</dc:creator>
  <cp:lastModifiedBy>岱</cp:lastModifiedBy>
  <cp:lastPrinted>2023-01-08T09:45:00Z</cp:lastPrinted>
  <dcterms:modified xsi:type="dcterms:W3CDTF">2023-06-08T03:50:44Z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A62AA04C5E444FEAA817511B8F11EA0B</vt:lpwstr>
  </property>
</Properties>
</file>