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A36212"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spacing w:line="440" w:lineRule="exact"/>
        <w:jc w:val="center"/>
        <w:rPr>
          <w:rFonts w:hint="eastAsia" w:ascii="宋体" w:hAnsi="宋体" w:eastAsia="宋体" w:cs="宋体"/>
          <w:sz w:val="44"/>
          <w:szCs w:val="44"/>
          <w:lang w:eastAsia="zh-CN"/>
        </w:rPr>
      </w:pPr>
    </w:p>
    <w:p w14:paraId="3B0712BC"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spacing w:line="440" w:lineRule="exact"/>
        <w:jc w:val="center"/>
        <w:rPr>
          <w:rFonts w:hint="eastAsia" w:ascii="宋体" w:hAnsi="宋体" w:eastAsia="宋体" w:cs="宋体"/>
          <w:sz w:val="44"/>
          <w:szCs w:val="44"/>
          <w:lang w:eastAsia="zh-CN"/>
        </w:rPr>
      </w:pPr>
    </w:p>
    <w:p w14:paraId="198018D5">
      <w:pPr>
        <w:jc w:val="center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        </w:t>
      </w:r>
    </w:p>
    <w:p w14:paraId="1F7209B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/>
        <w:ind w:firstLine="0" w:firstLineChars="0"/>
        <w:jc w:val="center"/>
        <w:textAlignment w:val="auto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藁发改</w:t>
      </w:r>
      <w:r>
        <w:rPr>
          <w:rFonts w:hint="eastAsia" w:ascii="仿宋_GB2312" w:eastAsia="仿宋_GB2312"/>
          <w:sz w:val="32"/>
          <w:szCs w:val="32"/>
          <w:lang w:eastAsia="zh-CN"/>
        </w:rPr>
        <w:t>双随</w:t>
      </w:r>
      <w:r>
        <w:rPr>
          <w:rFonts w:ascii="仿宋_GB2312" w:eastAsia="仿宋_GB2312"/>
          <w:sz w:val="32"/>
          <w:szCs w:val="32"/>
        </w:rPr>
        <w:t>〔20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23</w:t>
      </w:r>
      <w:r>
        <w:rPr>
          <w:rFonts w:ascii="仿宋_GB2312" w:eastAsia="仿宋_GB2312"/>
          <w:sz w:val="32"/>
          <w:szCs w:val="32"/>
        </w:rPr>
        <w:t>〕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  <w:r>
        <w:rPr>
          <w:rFonts w:ascii="仿宋_GB2312" w:eastAsia="仿宋_GB2312"/>
          <w:sz w:val="32"/>
          <w:szCs w:val="32"/>
        </w:rPr>
        <w:t>号</w:t>
      </w:r>
    </w:p>
    <w:p w14:paraId="16F2BD37">
      <w:pPr>
        <w:pStyle w:val="2"/>
        <w:rPr>
          <w:rFonts w:hint="default"/>
        </w:rPr>
      </w:pPr>
    </w:p>
    <w:p w14:paraId="236B9172"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after="0" w:afterLines="0"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kern w:val="2"/>
          <w:sz w:val="44"/>
          <w:szCs w:val="24"/>
          <w:shd w:val="clear" w:color="auto" w:fill="FFFFFF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24"/>
          <w:shd w:val="clear" w:color="auto" w:fill="FFFFFF"/>
        </w:rPr>
        <w:t>20</w:t>
      </w:r>
      <w:r>
        <w:rPr>
          <w:rFonts w:hint="eastAsia" w:ascii="方正小标宋_GBK" w:hAnsi="方正小标宋_GBK" w:eastAsia="方正小标宋_GBK" w:cs="方正小标宋_GBK"/>
          <w:kern w:val="2"/>
          <w:sz w:val="44"/>
          <w:szCs w:val="24"/>
          <w:shd w:val="clear" w:color="auto" w:fill="FFFFFF"/>
          <w:lang w:val="en-US" w:eastAsia="zh-CN"/>
        </w:rPr>
        <w:t>23</w:t>
      </w:r>
      <w:r>
        <w:rPr>
          <w:rFonts w:hint="eastAsia" w:ascii="方正小标宋_GBK" w:hAnsi="方正小标宋_GBK" w:eastAsia="方正小标宋_GBK" w:cs="方正小标宋_GBK"/>
          <w:kern w:val="2"/>
          <w:sz w:val="44"/>
          <w:szCs w:val="24"/>
          <w:shd w:val="clear" w:color="auto" w:fill="FFFFFF"/>
        </w:rPr>
        <w:t>年</w:t>
      </w:r>
      <w:r>
        <w:rPr>
          <w:rFonts w:hint="eastAsia" w:ascii="方正小标宋_GBK" w:hAnsi="方正小标宋_GBK" w:eastAsia="方正小标宋_GBK" w:cs="方正小标宋_GBK"/>
          <w:kern w:val="2"/>
          <w:sz w:val="44"/>
          <w:szCs w:val="24"/>
          <w:shd w:val="clear" w:color="auto" w:fill="FFFFFF"/>
          <w:lang w:eastAsia="zh-CN"/>
        </w:rPr>
        <w:t>发改局</w:t>
      </w:r>
      <w:r>
        <w:rPr>
          <w:rFonts w:hint="eastAsia" w:ascii="方正小标宋_GBK" w:hAnsi="方正小标宋_GBK" w:eastAsia="方正小标宋_GBK" w:cs="方正小标宋_GBK"/>
          <w:kern w:val="2"/>
          <w:sz w:val="44"/>
          <w:szCs w:val="24"/>
          <w:shd w:val="clear" w:color="auto" w:fill="FFFFFF"/>
        </w:rPr>
        <w:t>“双随机</w:t>
      </w:r>
      <w:r>
        <w:rPr>
          <w:rFonts w:hint="eastAsia" w:ascii="方正小标宋_GBK" w:hAnsi="方正小标宋_GBK" w:eastAsia="方正小标宋_GBK" w:cs="方正小标宋_GBK"/>
          <w:kern w:val="2"/>
          <w:sz w:val="44"/>
          <w:szCs w:val="24"/>
          <w:shd w:val="clear" w:color="auto" w:fill="FFFFFF"/>
          <w:lang w:eastAsia="zh-CN"/>
        </w:rPr>
        <w:t>、</w:t>
      </w:r>
      <w:r>
        <w:rPr>
          <w:rFonts w:hint="eastAsia" w:ascii="方正小标宋_GBK" w:hAnsi="方正小标宋_GBK" w:eastAsia="方正小标宋_GBK" w:cs="方正小标宋_GBK"/>
          <w:kern w:val="2"/>
          <w:sz w:val="44"/>
          <w:szCs w:val="24"/>
          <w:shd w:val="clear" w:color="auto" w:fill="FFFFFF"/>
        </w:rPr>
        <w:t>一公开”</w:t>
      </w:r>
    </w:p>
    <w:p w14:paraId="01FB0540"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after="0" w:afterLines="0" w:line="560" w:lineRule="exact"/>
        <w:jc w:val="center"/>
        <w:textAlignment w:val="auto"/>
        <w:rPr>
          <w:rFonts w:ascii="仿宋" w:hAnsi="仿宋" w:eastAsia="仿宋" w:cs="Times New Roman"/>
          <w:kern w:val="2"/>
          <w:sz w:val="21"/>
          <w:szCs w:val="21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24"/>
          <w:shd w:val="clear" w:color="auto" w:fill="FFFFFF"/>
        </w:rPr>
        <w:t>本部门抽查工作方案</w:t>
      </w:r>
    </w:p>
    <w:p w14:paraId="02AABE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440" w:lineRule="exact"/>
        <w:jc w:val="center"/>
        <w:textAlignment w:val="auto"/>
        <w:rPr>
          <w:rFonts w:ascii="仿宋" w:hAnsi="仿宋" w:eastAsia="仿宋" w:cs="Times New Roman"/>
          <w:kern w:val="2"/>
          <w:sz w:val="15"/>
          <w:szCs w:val="15"/>
        </w:rPr>
      </w:pPr>
    </w:p>
    <w:p w14:paraId="7E58E179">
      <w:pPr>
        <w:pStyle w:val="6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firstLine="641"/>
        <w:textAlignment w:val="auto"/>
        <w:rPr>
          <w:rFonts w:hint="eastAsia" w:ascii="仿宋" w:hAnsi="仿宋" w:eastAsia="仿宋"/>
          <w:color w:val="333333"/>
          <w:sz w:val="32"/>
          <w:szCs w:val="32"/>
        </w:rPr>
      </w:pPr>
      <w:r>
        <w:rPr>
          <w:rFonts w:hint="eastAsia" w:ascii="仿宋" w:hAnsi="仿宋" w:eastAsia="仿宋"/>
          <w:color w:val="333333"/>
          <w:sz w:val="32"/>
          <w:szCs w:val="32"/>
          <w:lang w:val="en-US" w:eastAsia="zh-CN"/>
        </w:rPr>
        <w:t>按照藁城区“双随机、一公开”监管工作领导小组办公室《关于调整藁城区2023年度“双随机、一公开”抽查工作计划的通知》（石藁双随机办[2023]4号）的要求，</w:t>
      </w:r>
      <w:r>
        <w:rPr>
          <w:rFonts w:hint="eastAsia" w:ascii="仿宋" w:hAnsi="仿宋" w:eastAsia="仿宋"/>
          <w:color w:val="333333"/>
          <w:sz w:val="32"/>
          <w:szCs w:val="32"/>
        </w:rPr>
        <w:t>结合工作情况，制定此次抽查方案。</w:t>
      </w:r>
    </w:p>
    <w:p w14:paraId="7FA6B906">
      <w:pPr>
        <w:pStyle w:val="6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firstLine="643" w:firstLineChars="200"/>
        <w:jc w:val="both"/>
        <w:textAlignment w:val="auto"/>
        <w:rPr>
          <w:rFonts w:ascii="仿宋" w:hAnsi="仿宋" w:eastAsia="仿宋"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/>
          <w:color w:val="333333"/>
          <w:sz w:val="32"/>
          <w:szCs w:val="32"/>
        </w:rPr>
        <w:t>一、</w:t>
      </w:r>
      <w:r>
        <w:rPr>
          <w:rFonts w:hint="eastAsia" w:ascii="黑体" w:hAnsi="黑体" w:eastAsia="黑体" w:cs="黑体"/>
          <w:color w:val="333333"/>
          <w:sz w:val="32"/>
          <w:szCs w:val="32"/>
        </w:rPr>
        <w:t>抽查时间：</w:t>
      </w:r>
      <w:r>
        <w:rPr>
          <w:rFonts w:hint="eastAsia" w:ascii="仿宋" w:hAnsi="仿宋" w:eastAsia="仿宋" w:cs="Times New Roman"/>
          <w:spacing w:val="-20"/>
          <w:kern w:val="2"/>
          <w:sz w:val="32"/>
          <w:szCs w:val="32"/>
          <w:shd w:val="clear" w:color="auto" w:fill="FFFFFF"/>
        </w:rPr>
        <w:t>20</w:t>
      </w:r>
      <w:r>
        <w:rPr>
          <w:rFonts w:hint="eastAsia" w:ascii="仿宋" w:hAnsi="仿宋" w:eastAsia="仿宋" w:cs="Times New Roman"/>
          <w:spacing w:val="-20"/>
          <w:kern w:val="2"/>
          <w:sz w:val="32"/>
          <w:szCs w:val="32"/>
          <w:shd w:val="clear" w:color="auto" w:fill="FFFFFF"/>
          <w:lang w:val="en-US" w:eastAsia="zh-CN"/>
        </w:rPr>
        <w:t>23</w:t>
      </w:r>
      <w:r>
        <w:rPr>
          <w:rFonts w:hint="eastAsia" w:ascii="仿宋" w:hAnsi="仿宋" w:eastAsia="仿宋" w:cs="Times New Roman"/>
          <w:spacing w:val="-20"/>
          <w:kern w:val="2"/>
          <w:sz w:val="32"/>
          <w:szCs w:val="32"/>
          <w:shd w:val="clear" w:color="auto" w:fill="FFFFFF"/>
        </w:rPr>
        <w:t>年</w:t>
      </w:r>
      <w:r>
        <w:rPr>
          <w:rFonts w:hint="eastAsia" w:ascii="仿宋" w:hAnsi="仿宋" w:eastAsia="仿宋" w:cs="Times New Roman"/>
          <w:spacing w:val="-20"/>
          <w:kern w:val="2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ascii="仿宋" w:hAnsi="仿宋" w:eastAsia="仿宋" w:cs="Times New Roman"/>
          <w:spacing w:val="-20"/>
          <w:kern w:val="2"/>
          <w:sz w:val="32"/>
          <w:szCs w:val="32"/>
          <w:shd w:val="clear" w:color="auto" w:fill="FFFFFF"/>
        </w:rPr>
        <w:t>月</w:t>
      </w:r>
      <w:r>
        <w:rPr>
          <w:rFonts w:hint="eastAsia" w:ascii="仿宋" w:hAnsi="仿宋" w:eastAsia="仿宋" w:cs="Times New Roman"/>
          <w:spacing w:val="-20"/>
          <w:kern w:val="2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hint="eastAsia" w:ascii="仿宋" w:hAnsi="仿宋" w:eastAsia="仿宋" w:cs="Times New Roman"/>
          <w:spacing w:val="-20"/>
          <w:kern w:val="2"/>
          <w:sz w:val="32"/>
          <w:szCs w:val="32"/>
          <w:shd w:val="clear" w:color="auto" w:fill="FFFFFF"/>
        </w:rPr>
        <w:t>日-</w:t>
      </w:r>
      <w:r>
        <w:rPr>
          <w:rFonts w:hint="eastAsia" w:ascii="仿宋" w:hAnsi="仿宋" w:eastAsia="仿宋" w:cs="Times New Roman"/>
          <w:spacing w:val="-20"/>
          <w:kern w:val="2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" w:hAnsi="仿宋" w:eastAsia="仿宋" w:cs="Times New Roman"/>
          <w:spacing w:val="-20"/>
          <w:kern w:val="2"/>
          <w:sz w:val="32"/>
          <w:szCs w:val="32"/>
          <w:shd w:val="clear" w:color="auto" w:fill="FFFFFF"/>
        </w:rPr>
        <w:t>月</w:t>
      </w:r>
      <w:r>
        <w:rPr>
          <w:rFonts w:hint="eastAsia" w:ascii="仿宋" w:hAnsi="仿宋" w:eastAsia="仿宋" w:cs="Times New Roman"/>
          <w:spacing w:val="-20"/>
          <w:kern w:val="2"/>
          <w:sz w:val="32"/>
          <w:szCs w:val="32"/>
          <w:shd w:val="clear" w:color="auto" w:fill="FFFFFF"/>
          <w:lang w:val="en-US" w:eastAsia="zh-CN"/>
        </w:rPr>
        <w:t>31</w:t>
      </w:r>
      <w:r>
        <w:rPr>
          <w:rFonts w:hint="eastAsia" w:ascii="仿宋" w:hAnsi="仿宋" w:eastAsia="仿宋" w:cs="Times New Roman"/>
          <w:spacing w:val="-20"/>
          <w:kern w:val="2"/>
          <w:sz w:val="32"/>
          <w:szCs w:val="32"/>
          <w:shd w:val="clear" w:color="auto" w:fill="FFFFFF"/>
        </w:rPr>
        <w:t>日</w:t>
      </w:r>
    </w:p>
    <w:p w14:paraId="2F7572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二、抽查对象及范围</w:t>
      </w:r>
    </w:p>
    <w:p w14:paraId="79AE33F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 w:val="0"/>
          <w:color w:val="000000"/>
          <w:spacing w:val="-4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eastAsia="zh-CN" w:bidi="ar"/>
        </w:rPr>
        <w:t>通过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“河北省双随机执法监管平台”，在</w:t>
      </w:r>
      <w:r>
        <w:rPr>
          <w:rFonts w:hint="eastAsia" w:ascii="仿宋" w:hAnsi="仿宋" w:eastAsia="仿宋" w:cs="仿宋"/>
          <w:snapToGrid w:val="0"/>
          <w:color w:val="000000"/>
          <w:spacing w:val="-4"/>
          <w:sz w:val="32"/>
          <w:szCs w:val="32"/>
          <w:lang w:val="en-US" w:eastAsia="zh-CN"/>
        </w:rPr>
        <w:t>石家庄市藁城区发展和改革局检查对象名录库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中</w:t>
      </w:r>
      <w:r>
        <w:rPr>
          <w:rFonts w:hint="eastAsia" w:ascii="仿宋" w:hAnsi="仿宋" w:eastAsia="仿宋" w:cs="仿宋"/>
          <w:snapToGrid w:val="0"/>
          <w:color w:val="000000"/>
          <w:spacing w:val="-4"/>
          <w:sz w:val="32"/>
          <w:szCs w:val="32"/>
          <w:lang w:val="en-US" w:eastAsia="zh-CN"/>
        </w:rPr>
        <w:t>抽取，按照企业信用信息分类抽取，</w:t>
      </w: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  <w:lang w:eastAsia="zh-CN"/>
        </w:rPr>
        <w:t>运用信用风险分级分类差异化抽取监管对象</w:t>
      </w:r>
      <w:r>
        <w:rPr>
          <w:rFonts w:hint="eastAsia" w:ascii="仿宋" w:hAnsi="仿宋" w:eastAsia="仿宋" w:cs="仿宋"/>
          <w:snapToGrid w:val="0"/>
          <w:color w:val="000000"/>
          <w:spacing w:val="-4"/>
          <w:sz w:val="32"/>
          <w:szCs w:val="32"/>
          <w:lang w:val="en-US" w:eastAsia="zh-CN"/>
        </w:rPr>
        <w:t>。</w:t>
      </w:r>
    </w:p>
    <w:p w14:paraId="0F60192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抽查</w:t>
      </w:r>
      <w:r>
        <w:rPr>
          <w:rFonts w:hint="eastAsia" w:ascii="黑体" w:hAnsi="黑体" w:eastAsia="黑体"/>
          <w:sz w:val="32"/>
          <w:szCs w:val="32"/>
          <w:lang w:eastAsia="zh-CN"/>
        </w:rPr>
        <w:t>事项</w:t>
      </w:r>
    </w:p>
    <w:p w14:paraId="2AB585A9">
      <w:pPr>
        <w:pStyle w:val="6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bidi w:val="0"/>
        <w:adjustRightInd/>
        <w:spacing w:before="0" w:beforeLines="0" w:beforeAutospacing="0" w:after="0" w:afterLines="0" w:afterAutospacing="0" w:line="560" w:lineRule="exact"/>
        <w:ind w:right="0" w:firstLine="641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u w:val="none"/>
          <w:lang w:val="en-US" w:eastAsia="zh-CN"/>
        </w:rPr>
        <w:t>按照石家庄市藁城区发展和改革局监管事项清单抽查。</w:t>
      </w:r>
    </w:p>
    <w:p w14:paraId="5204945D">
      <w:pPr>
        <w:pStyle w:val="6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bidi w:val="0"/>
        <w:adjustRightInd/>
        <w:spacing w:before="0" w:beforeLines="0" w:beforeAutospacing="0" w:after="0" w:afterLines="0" w:afterAutospacing="0" w:line="560" w:lineRule="exact"/>
        <w:ind w:right="0" w:firstLine="641"/>
        <w:textAlignment w:val="auto"/>
        <w:rPr>
          <w:rFonts w:hint="eastAsia" w:ascii="黑体" w:hAnsi="黑体" w:eastAsia="黑体" w:cs="黑体"/>
          <w:b w:val="0"/>
          <w:bCs/>
          <w:color w:val="333333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333333"/>
          <w:sz w:val="32"/>
          <w:szCs w:val="32"/>
          <w:lang w:val="en-US" w:eastAsia="zh-CN"/>
        </w:rPr>
        <w:t>四、抽查方式：</w:t>
      </w:r>
    </w:p>
    <w:p w14:paraId="089D270D"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pacing w:after="0" w:afterLines="0" w:line="560" w:lineRule="exact"/>
        <w:ind w:right="0" w:firstLine="641"/>
        <w:jc w:val="both"/>
        <w:textAlignment w:val="auto"/>
        <w:rPr>
          <w:rFonts w:ascii="仿宋" w:hAnsi="仿宋" w:eastAsia="仿宋" w:cs="Times New Roman"/>
          <w:kern w:val="2"/>
          <w:sz w:val="32"/>
          <w:szCs w:val="32"/>
          <w:shd w:val="clear" w:color="auto" w:fill="FFFFFF"/>
        </w:rPr>
      </w:pPr>
      <w:r>
        <w:rPr>
          <w:rFonts w:ascii="仿宋" w:hAnsi="仿宋" w:eastAsia="仿宋" w:cs="Times New Roman"/>
          <w:b/>
          <w:kern w:val="2"/>
          <w:sz w:val="32"/>
          <w:szCs w:val="32"/>
          <w:shd w:val="clear" w:color="auto" w:fill="FFFFFF"/>
        </w:rPr>
        <w:t>1、随机抽取检查对象：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  <w:lang w:eastAsia="zh-CN"/>
        </w:rPr>
        <w:t>通过河北省双随机监管工作平台</w:t>
      </w:r>
      <w:r>
        <w:rPr>
          <w:rFonts w:ascii="仿宋" w:hAnsi="仿宋" w:eastAsia="仿宋" w:cs="Times New Roman"/>
          <w:kern w:val="2"/>
          <w:sz w:val="32"/>
          <w:szCs w:val="32"/>
          <w:shd w:val="clear" w:color="auto" w:fill="FFFFFF"/>
        </w:rPr>
        <w:t>随机抽取确定待查对象名单。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  <w:lang w:eastAsia="zh-CN"/>
        </w:rPr>
        <w:t>根据我区经济社会发展和实际情况，合理确定随机抽查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  <w:lang w:val="en-US" w:eastAsia="zh-CN"/>
        </w:rPr>
        <w:t>比例</w:t>
      </w:r>
      <w:bookmarkStart w:id="0" w:name="_GoBack"/>
      <w:bookmarkEnd w:id="0"/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  <w:lang w:eastAsia="zh-CN"/>
        </w:rPr>
        <w:t>和频次，对市场主体不定项抽查数不少于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  <w:lang w:val="en-US" w:eastAsia="zh-CN"/>
        </w:rPr>
        <w:t>6%的比例确定抽查名单，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</w:rPr>
        <w:t>检查名单抽取过程应当书面记录，并存档备查。</w:t>
      </w:r>
    </w:p>
    <w:p w14:paraId="5DE2AE21"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pacing w:after="0" w:afterLines="0" w:line="560" w:lineRule="exact"/>
        <w:ind w:right="0" w:firstLine="641"/>
        <w:jc w:val="both"/>
        <w:textAlignment w:val="auto"/>
        <w:rPr>
          <w:rFonts w:ascii="仿宋" w:hAnsi="仿宋" w:eastAsia="仿宋" w:cs="Times New Roman"/>
          <w:kern w:val="2"/>
          <w:sz w:val="32"/>
          <w:szCs w:val="32"/>
          <w:shd w:val="clear" w:color="auto" w:fill="FFFFFF"/>
        </w:rPr>
      </w:pPr>
      <w:r>
        <w:rPr>
          <w:rFonts w:ascii="仿宋" w:hAnsi="仿宋" w:eastAsia="仿宋" w:cs="Times New Roman"/>
          <w:b/>
          <w:kern w:val="2"/>
          <w:sz w:val="32"/>
          <w:szCs w:val="32"/>
          <w:shd w:val="clear" w:color="auto" w:fill="FFFFFF"/>
        </w:rPr>
        <w:t>2、随机选派执法人员：</w:t>
      </w:r>
      <w:r>
        <w:rPr>
          <w:rFonts w:ascii="仿宋" w:hAnsi="仿宋" w:eastAsia="仿宋" w:cs="Times New Roman"/>
          <w:kern w:val="2"/>
          <w:sz w:val="32"/>
          <w:szCs w:val="32"/>
          <w:shd w:val="clear" w:color="auto" w:fill="FFFFFF"/>
        </w:rPr>
        <w:t>采取科学编组、随机匹配的方式，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</w:rPr>
        <w:t>以</w:t>
      </w:r>
      <w:r>
        <w:rPr>
          <w:rFonts w:ascii="仿宋" w:hAnsi="仿宋" w:eastAsia="仿宋" w:cs="Times New Roman"/>
          <w:kern w:val="2"/>
          <w:sz w:val="32"/>
          <w:szCs w:val="32"/>
          <w:shd w:val="clear" w:color="auto" w:fill="FFFFFF"/>
        </w:rPr>
        <w:t>检查人员不得少于2人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</w:rPr>
        <w:t>为原则，</w:t>
      </w:r>
      <w:r>
        <w:rPr>
          <w:rFonts w:ascii="仿宋" w:hAnsi="仿宋" w:eastAsia="仿宋" w:cs="Times New Roman"/>
          <w:kern w:val="2"/>
          <w:sz w:val="32"/>
          <w:szCs w:val="32"/>
          <w:shd w:val="clear" w:color="auto" w:fill="FFFFFF"/>
        </w:rPr>
        <w:t>随机从《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</w:rPr>
        <w:t>石家庄市藁城区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  <w:lang w:eastAsia="zh-CN"/>
        </w:rPr>
        <w:t>发改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</w:rPr>
        <w:t>局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  <w:lang w:eastAsia="zh-CN"/>
        </w:rPr>
        <w:t>“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</w:rPr>
        <w:t>双随机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  <w:lang w:eastAsia="zh-CN"/>
        </w:rPr>
        <w:t>、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</w:rPr>
        <w:t>一公开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  <w:lang w:eastAsia="zh-CN"/>
        </w:rPr>
        <w:t>”</w:t>
      </w:r>
      <w:r>
        <w:rPr>
          <w:rFonts w:ascii="仿宋" w:hAnsi="仿宋" w:eastAsia="仿宋" w:cs="Times New Roman"/>
          <w:kern w:val="2"/>
          <w:sz w:val="32"/>
          <w:szCs w:val="32"/>
          <w:shd w:val="clear" w:color="auto" w:fill="FFFFFF"/>
        </w:rPr>
        <w:t>执法人员名录库》中选派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</w:rPr>
        <w:t>执法检查人员</w:t>
      </w:r>
      <w:r>
        <w:rPr>
          <w:rFonts w:ascii="仿宋" w:hAnsi="仿宋" w:eastAsia="仿宋" w:cs="Times New Roman"/>
          <w:kern w:val="2"/>
          <w:sz w:val="32"/>
          <w:szCs w:val="32"/>
          <w:shd w:val="clear" w:color="auto" w:fill="FFFFFF"/>
        </w:rPr>
        <w:t>。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</w:rPr>
        <w:t>人员名单抽取过程应当书面记录，并存档备查。</w:t>
      </w:r>
    </w:p>
    <w:p w14:paraId="3DEA1D3B"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pacing w:after="0" w:afterLines="0" w:line="560" w:lineRule="exact"/>
        <w:ind w:right="0" w:firstLine="641"/>
        <w:jc w:val="both"/>
        <w:textAlignment w:val="auto"/>
        <w:rPr>
          <w:rFonts w:ascii="仿宋" w:hAnsi="仿宋" w:eastAsia="仿宋" w:cs="Times New Roman"/>
          <w:kern w:val="2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color w:val="333333"/>
          <w:sz w:val="32"/>
          <w:szCs w:val="32"/>
          <w:lang w:val="en-US" w:eastAsia="zh-CN" w:bidi="ar-SA"/>
        </w:rPr>
        <w:t>五、抽查检查及完成时限：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</w:rPr>
        <w:t>在检查名单和人员名单确定后3个工作日内，通知检查人员领取检查任务，按照《石家庄市藁城区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  <w:lang w:eastAsia="zh-CN"/>
        </w:rPr>
        <w:t>发改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</w:rPr>
        <w:t>局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  <w:lang w:eastAsia="zh-CN"/>
        </w:rPr>
        <w:t>“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</w:rPr>
        <w:t>双随机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  <w:lang w:eastAsia="zh-CN"/>
        </w:rPr>
        <w:t>、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</w:rPr>
        <w:t>一公开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  <w:lang w:eastAsia="zh-CN"/>
        </w:rPr>
        <w:t>”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</w:rPr>
        <w:t>工作方案》要求，完成检查任务。检查方式采取实地检查为主，并结合利用书面检查、资料查看等。</w:t>
      </w:r>
    </w:p>
    <w:p w14:paraId="4DDF53B2"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pacing w:after="0" w:afterLines="0" w:line="560" w:lineRule="exact"/>
        <w:ind w:right="0" w:firstLine="641"/>
        <w:jc w:val="both"/>
        <w:textAlignment w:val="auto"/>
        <w:rPr>
          <w:rFonts w:ascii="仿宋" w:hAnsi="仿宋" w:eastAsia="仿宋" w:cs="Times New Roman"/>
          <w:kern w:val="2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color w:val="333333"/>
          <w:sz w:val="32"/>
          <w:szCs w:val="32"/>
          <w:lang w:val="en-US" w:eastAsia="zh-CN" w:bidi="ar-SA"/>
        </w:rPr>
        <w:t>六、抽查工作要求：</w:t>
      </w:r>
      <w:r>
        <w:rPr>
          <w:rFonts w:ascii="仿宋" w:hAnsi="仿宋" w:eastAsia="仿宋" w:cs="Times New Roman"/>
          <w:kern w:val="2"/>
          <w:sz w:val="32"/>
          <w:szCs w:val="32"/>
          <w:shd w:val="clear" w:color="auto" w:fill="FFFFFF"/>
        </w:rPr>
        <w:t>开展抽查工作，及时做好抽查结果记录，并在行政检查结束后5个工作日内在“双随机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  <w:lang w:eastAsia="zh-CN"/>
        </w:rPr>
        <w:t>、</w:t>
      </w:r>
      <w:r>
        <w:rPr>
          <w:rFonts w:ascii="仿宋" w:hAnsi="仿宋" w:eastAsia="仿宋" w:cs="Times New Roman"/>
          <w:kern w:val="2"/>
          <w:sz w:val="32"/>
          <w:szCs w:val="32"/>
          <w:shd w:val="clear" w:color="auto" w:fill="FFFFFF"/>
        </w:rPr>
        <w:t>一公开”</w:t>
      </w:r>
      <w:r>
        <w:rPr>
          <w:rFonts w:hint="eastAsia" w:ascii="仿宋" w:hAnsi="仿宋" w:eastAsia="仿宋" w:cs="Times New Roman"/>
          <w:kern w:val="2"/>
          <w:sz w:val="32"/>
          <w:szCs w:val="32"/>
          <w:shd w:val="clear" w:color="auto" w:fill="FFFFFF"/>
        </w:rPr>
        <w:t>政务外网将随机抽查情况和查处结果及时公开，</w:t>
      </w:r>
      <w:r>
        <w:rPr>
          <w:rFonts w:ascii="仿宋" w:hAnsi="仿宋" w:eastAsia="仿宋" w:cs="Times New Roman"/>
          <w:kern w:val="2"/>
          <w:sz w:val="32"/>
          <w:szCs w:val="32"/>
          <w:shd w:val="clear" w:color="auto" w:fill="FFFFFF"/>
        </w:rPr>
        <w:t>确保随机抽查过程的公平、公正、公开和规范。</w:t>
      </w:r>
    </w:p>
    <w:p w14:paraId="4E60D241"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pacing w:after="0" w:afterLines="0" w:line="560" w:lineRule="exact"/>
        <w:ind w:right="0" w:firstLine="641"/>
        <w:jc w:val="both"/>
        <w:textAlignment w:val="auto"/>
        <w:rPr>
          <w:rFonts w:ascii="仿宋" w:hAnsi="仿宋" w:eastAsia="仿宋" w:cs="Times New Roman"/>
          <w:kern w:val="2"/>
          <w:sz w:val="32"/>
          <w:szCs w:val="32"/>
          <w:shd w:val="clear" w:color="auto" w:fill="FFFFFF"/>
        </w:rPr>
      </w:pPr>
      <w:r>
        <w:rPr>
          <w:rFonts w:ascii="仿宋" w:hAnsi="仿宋" w:eastAsia="仿宋" w:cs="Times New Roman"/>
          <w:kern w:val="2"/>
          <w:sz w:val="32"/>
          <w:szCs w:val="32"/>
          <w:shd w:val="clear" w:color="auto" w:fill="FFFFFF"/>
        </w:rPr>
        <w:t>要对抽查发现的违法行为，依法依规严格惩处，及时向社会公开行政处罚案件信息，接受社会监督。属于其他部门管辖的，及时移送相关部门查处；涉嫌构成犯罪的，依法及时向公安机关移送。</w:t>
      </w:r>
    </w:p>
    <w:p w14:paraId="73B2F4C9"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pacing w:after="0" w:afterLines="0" w:line="560" w:lineRule="exact"/>
        <w:ind w:right="0" w:firstLine="641"/>
        <w:jc w:val="both"/>
        <w:textAlignment w:val="auto"/>
        <w:rPr>
          <w:rFonts w:ascii="仿宋" w:hAnsi="仿宋" w:eastAsia="仿宋" w:cs="Times New Roman"/>
          <w:kern w:val="2"/>
          <w:sz w:val="32"/>
          <w:szCs w:val="32"/>
          <w:shd w:val="clear" w:color="auto" w:fill="FFFFFF"/>
        </w:rPr>
      </w:pPr>
    </w:p>
    <w:p w14:paraId="5E6D418C"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pacing w:after="0" w:afterLines="0" w:line="560" w:lineRule="exact"/>
        <w:ind w:right="0" w:firstLine="640"/>
        <w:jc w:val="both"/>
        <w:textAlignment w:val="auto"/>
        <w:rPr>
          <w:rFonts w:ascii="仿宋" w:hAnsi="仿宋" w:eastAsia="仿宋" w:cs="Times New Roman"/>
          <w:kern w:val="2"/>
          <w:sz w:val="32"/>
          <w:szCs w:val="32"/>
          <w:shd w:val="clear" w:color="auto" w:fill="FFFFFF"/>
        </w:rPr>
      </w:pPr>
    </w:p>
    <w:p w14:paraId="07D4BC9B">
      <w:pPr>
        <w:pStyle w:val="6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bidi w:val="0"/>
        <w:spacing w:before="0" w:beforeLines="0" w:beforeAutospacing="0" w:after="0" w:afterLines="0" w:afterAutospacing="0" w:line="560" w:lineRule="exact"/>
        <w:ind w:right="0" w:firstLine="640"/>
        <w:jc w:val="center"/>
        <w:textAlignment w:val="auto"/>
        <w:rPr>
          <w:rFonts w:hint="eastAsia" w:ascii="仿宋_GB2312" w:hAnsi="仿宋_GB2312" w:eastAsia="仿宋_GB2312" w:cs="Times New Roman"/>
          <w:kern w:val="2"/>
          <w:sz w:val="32"/>
          <w:szCs w:val="24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Times New Roman"/>
          <w:kern w:val="2"/>
          <w:sz w:val="32"/>
          <w:szCs w:val="24"/>
          <w:shd w:val="clear" w:color="auto" w:fill="FFFFFF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Times New Roman"/>
          <w:kern w:val="2"/>
          <w:sz w:val="32"/>
          <w:szCs w:val="24"/>
          <w:shd w:val="clear" w:color="auto" w:fill="FFFFFF"/>
        </w:rPr>
        <w:t>石家庄市藁城区</w:t>
      </w:r>
      <w:r>
        <w:rPr>
          <w:rFonts w:hint="eastAsia" w:ascii="仿宋_GB2312" w:hAnsi="仿宋_GB2312" w:eastAsia="仿宋_GB2312" w:cs="Times New Roman"/>
          <w:kern w:val="2"/>
          <w:sz w:val="32"/>
          <w:szCs w:val="24"/>
          <w:shd w:val="clear" w:color="auto" w:fill="FFFFFF"/>
          <w:lang w:eastAsia="zh-CN"/>
        </w:rPr>
        <w:t>发展和改革局</w:t>
      </w:r>
    </w:p>
    <w:p w14:paraId="0B8930D4"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spacing w:after="0" w:afterLines="0" w:line="560" w:lineRule="exact"/>
        <w:ind w:right="0"/>
        <w:jc w:val="center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Times New Roman"/>
          <w:kern w:val="2"/>
          <w:sz w:val="32"/>
          <w:szCs w:val="24"/>
          <w:shd w:val="clear" w:color="auto" w:fill="FFFFFF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Times New Roman"/>
          <w:kern w:val="2"/>
          <w:sz w:val="32"/>
          <w:szCs w:val="24"/>
          <w:shd w:val="clear" w:color="auto" w:fill="FFFFFF"/>
        </w:rPr>
        <w:t>20</w:t>
      </w:r>
      <w:r>
        <w:rPr>
          <w:rFonts w:hint="eastAsia" w:ascii="仿宋_GB2312" w:hAnsi="仿宋_GB2312" w:eastAsia="仿宋_GB2312" w:cs="Times New Roman"/>
          <w:kern w:val="2"/>
          <w:sz w:val="32"/>
          <w:szCs w:val="24"/>
          <w:shd w:val="clear" w:color="auto" w:fill="FFFFFF"/>
          <w:lang w:val="en-US" w:eastAsia="zh-CN"/>
        </w:rPr>
        <w:t>23</w:t>
      </w:r>
      <w:r>
        <w:rPr>
          <w:rFonts w:hint="eastAsia" w:ascii="仿宋_GB2312" w:hAnsi="仿宋_GB2312" w:eastAsia="仿宋_GB2312" w:cs="Times New Roman"/>
          <w:kern w:val="2"/>
          <w:sz w:val="32"/>
          <w:szCs w:val="24"/>
          <w:shd w:val="clear" w:color="auto" w:fill="FFFFFF"/>
        </w:rPr>
        <w:t>年</w:t>
      </w:r>
      <w:r>
        <w:rPr>
          <w:rFonts w:hint="eastAsia" w:ascii="仿宋_GB2312" w:hAnsi="仿宋_GB2312" w:eastAsia="仿宋_GB2312" w:cs="Times New Roman"/>
          <w:kern w:val="2"/>
          <w:sz w:val="32"/>
          <w:szCs w:val="24"/>
          <w:shd w:val="clear" w:color="auto" w:fill="FFFFFF"/>
          <w:lang w:val="en-US" w:eastAsia="zh-CN"/>
        </w:rPr>
        <w:t>5</w:t>
      </w:r>
      <w:r>
        <w:rPr>
          <w:rFonts w:hint="eastAsia" w:ascii="仿宋_GB2312" w:hAnsi="仿宋_GB2312" w:eastAsia="仿宋_GB2312" w:cs="Times New Roman"/>
          <w:kern w:val="2"/>
          <w:sz w:val="32"/>
          <w:szCs w:val="24"/>
          <w:shd w:val="clear" w:color="auto" w:fill="FFFFFF"/>
        </w:rPr>
        <w:t>月</w:t>
      </w:r>
      <w:r>
        <w:rPr>
          <w:rFonts w:hint="eastAsia" w:ascii="仿宋_GB2312" w:hAnsi="仿宋_GB2312" w:eastAsia="仿宋_GB2312" w:cs="Times New Roman"/>
          <w:kern w:val="2"/>
          <w:sz w:val="32"/>
          <w:szCs w:val="24"/>
          <w:shd w:val="clear" w:color="auto" w:fill="FFFFFF"/>
          <w:lang w:val="en-US" w:eastAsia="zh-CN"/>
        </w:rPr>
        <w:t>8</w:t>
      </w:r>
      <w:r>
        <w:rPr>
          <w:rFonts w:hint="eastAsia" w:ascii="仿宋_GB2312" w:hAnsi="仿宋_GB2312" w:eastAsia="仿宋_GB2312" w:cs="Times New Roman"/>
          <w:kern w:val="2"/>
          <w:sz w:val="32"/>
          <w:szCs w:val="24"/>
          <w:shd w:val="clear" w:color="auto" w:fill="FFFFFF"/>
        </w:rPr>
        <w:t>日</w:t>
      </w:r>
    </w:p>
    <w:sectPr>
      <w:pgSz w:w="11906" w:h="16838"/>
      <w:pgMar w:top="1644" w:right="1757" w:bottom="1644" w:left="1757" w:header="708" w:footer="708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MzZmIyODEyYmQwZGE2MGU2MDg2NjQ2ZDRlZTY2ODcifQ=="/>
  </w:docVars>
  <w:rsids>
    <w:rsidRoot w:val="00172A27"/>
    <w:rsid w:val="0EEE4853"/>
    <w:rsid w:val="2E1D7E25"/>
    <w:rsid w:val="6356728E"/>
    <w:rsid w:val="688A2DF5"/>
    <w:rsid w:val="70012D67"/>
    <w:rsid w:val="722446E4"/>
    <w:rsid w:val="750767F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adjustRightInd w:val="0"/>
      <w:snapToGrid w:val="0"/>
      <w:spacing w:after="200" w:afterLines="0" w:line="240" w:lineRule="auto"/>
    </w:pPr>
    <w:rPr>
      <w:rFonts w:ascii="Tahoma" w:hAnsi="Tahoma" w:eastAsia="微软雅黑" w:cs="Times New Roman"/>
      <w:sz w:val="22"/>
      <w:szCs w:val="22"/>
      <w:lang w:val="en-US" w:eastAsia="zh-CN" w:bidi="ar-SA"/>
    </w:rPr>
  </w:style>
  <w:style w:type="character" w:default="1" w:styleId="9">
    <w:name w:val="Default Paragraph Font"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uiPriority w:val="0"/>
    <w:pPr>
      <w:ind w:left="3360"/>
      <w:jc w:val="left"/>
    </w:pPr>
  </w:style>
  <w:style w:type="paragraph" w:styleId="3">
    <w:name w:val="Body Text Indent"/>
    <w:basedOn w:val="1"/>
    <w:uiPriority w:val="0"/>
    <w:pPr>
      <w:spacing w:after="120" w:afterLines="0"/>
      <w:ind w:left="420" w:leftChars="200"/>
    </w:p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adjustRightInd/>
      <w:snapToGrid/>
      <w:spacing w:before="100" w:beforeLines="0" w:beforeAutospacing="1" w:after="100" w:afterLines="0" w:afterAutospacing="1"/>
    </w:pPr>
    <w:rPr>
      <w:rFonts w:ascii="宋体" w:hAnsi="宋体" w:eastAsia="宋体" w:cs="宋体"/>
      <w:sz w:val="24"/>
      <w:szCs w:val="24"/>
    </w:rPr>
  </w:style>
  <w:style w:type="paragraph" w:styleId="7">
    <w:name w:val="Body Text First Indent 2"/>
    <w:basedOn w:val="3"/>
    <w:uiPriority w:val="0"/>
    <w:pPr>
      <w:ind w:firstLine="420" w:firstLineChars="200"/>
    </w:pPr>
  </w:style>
  <w:style w:type="paragraph" w:customStyle="1" w:styleId="10">
    <w:name w:val="Normal (Web)"/>
    <w:uiPriority w:val="0"/>
    <w:pPr>
      <w:widowControl w:val="0"/>
      <w:jc w:val="both"/>
    </w:pPr>
    <w:rPr>
      <w:rFonts w:ascii="Calibri" w:hAnsi="Calibri" w:eastAsia="Calibri" w:cs="Times New Roman"/>
      <w:kern w:val="1"/>
      <w:sz w:val="24"/>
      <w:szCs w:val="24"/>
      <w:lang w:val="en-US" w:eastAsia="zh-CN"/>
    </w:rPr>
  </w:style>
  <w:style w:type="character" w:customStyle="1" w:styleId="11">
    <w:name w:val="page number"/>
    <w:basedOn w:val="9"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782</Words>
  <Characters>806</Characters>
  <Lines>0</Lines>
  <Paragraphs>0</Paragraphs>
  <TotalTime>0</TotalTime>
  <ScaleCrop>false</ScaleCrop>
  <LinksUpToDate>false</LinksUpToDate>
  <CharactersWithSpaces>858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 </cp:lastModifiedBy>
  <cp:lastPrinted>2023-06-01T02:26:00Z</cp:lastPrinted>
  <dcterms:modified xsi:type="dcterms:W3CDTF">2024-09-19T09:50:32Z</dcterms:modified>
  <dc:title>2023年度发改局“双随机一公开”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AD251AECB62A40499C3BC412D3D78C60</vt:lpwstr>
  </property>
</Properties>
</file>