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yellow"/>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中共石家庄市藁城区委机构编制委员会办公室</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848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autoSpaceDE w:val="0"/>
        <w:autoSpaceDN w:val="0"/>
        <w:adjustRightInd w:val="0"/>
        <w:spacing w:after="0" w:afterLines="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1、贯彻执行上级机构编制管理和机构改革的方针、政策和法规，研究拟订全区机构编制管理的规定和办法；管理和指导全区党政机构、人大、政协、法院、检察院、群众团体机关的机构编制工作；管理和指导全区事业单位管理体制改革和机构编制管理工作。</w:t>
      </w:r>
    </w:p>
    <w:p>
      <w:pPr>
        <w:autoSpaceDE w:val="0"/>
        <w:autoSpaceDN w:val="0"/>
        <w:adjustRightInd w:val="0"/>
        <w:spacing w:after="0" w:afterLines="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2、研究拟订区、乡镇区机构改革方案，按程序报批，并组织实施。</w:t>
      </w:r>
    </w:p>
    <w:p>
      <w:pPr>
        <w:autoSpaceDE w:val="0"/>
        <w:autoSpaceDN w:val="0"/>
        <w:adjustRightInd w:val="0"/>
        <w:spacing w:after="0" w:afterLines="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3、协调区直各部门的职能配置及其调整，协调区直各部门与乡镇区的职责分工。</w:t>
      </w:r>
    </w:p>
    <w:p>
      <w:pPr>
        <w:autoSpaceDE w:val="0"/>
        <w:autoSpaceDN w:val="0"/>
        <w:adjustRightInd w:val="0"/>
        <w:spacing w:after="0" w:afterLines="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4、审核全区行政机关和直属事业机构的主要职责、机构设置、人员编制和领导职数，审批其内设机构的调整和更名；审核或审批全区事业单位机构编制事宜。</w:t>
      </w:r>
    </w:p>
    <w:p>
      <w:pPr>
        <w:autoSpaceDE w:val="0"/>
        <w:autoSpaceDN w:val="0"/>
        <w:adjustRightInd w:val="0"/>
        <w:spacing w:after="0" w:afterLines="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5、负责机构编制日常管理；负责全区机构编制的总量控制、动态管理和机构编制标准化工作；负责机构编制实名制管理，负责编制使用核准工作；建立健全机构编制部门与组织、人社、财政等有关部门的配合制约机制；负责机构编制业务指导培训和统计工作。</w:t>
      </w:r>
    </w:p>
    <w:p>
      <w:pPr>
        <w:autoSpaceDE w:val="0"/>
        <w:autoSpaceDN w:val="0"/>
        <w:adjustRightInd w:val="0"/>
        <w:spacing w:after="0" w:afterLines="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6、负责全区机构编制信息管理系统、电子政务和机构编制网站的建设和管理；指导全区党政群机关、事业单位政务和公益中文域名注册管理工作。</w:t>
      </w:r>
    </w:p>
    <w:p>
      <w:pPr>
        <w:autoSpaceDE w:val="0"/>
        <w:autoSpaceDN w:val="0"/>
        <w:adjustRightInd w:val="0"/>
        <w:spacing w:after="0" w:afterLines="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7、负责对全区机关事业单位机构编制执行情况的跟踪评估和监督检查；受理违反机构编制法规、纪律的事项。</w:t>
      </w:r>
    </w:p>
    <w:p>
      <w:pPr>
        <w:autoSpaceDE w:val="0"/>
        <w:autoSpaceDN w:val="0"/>
        <w:adjustRightInd w:val="0"/>
        <w:spacing w:after="0" w:afterLines="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8、负责全区事业单位法人登记管理和监督检查工作。</w:t>
      </w:r>
    </w:p>
    <w:p>
      <w:pPr>
        <w:autoSpaceDE w:val="0"/>
        <w:autoSpaceDN w:val="0"/>
        <w:adjustRightInd w:val="0"/>
        <w:spacing w:after="0" w:afterLines="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9、承办区委、区政府和区机构编制委员会交办的其他事项。</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2</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258"/>
        <w:gridCol w:w="2550"/>
        <w:gridCol w:w="27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258"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550"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787"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258"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中共石家庄市藁城区委机构编制委员会办公室</w:t>
            </w:r>
          </w:p>
        </w:tc>
        <w:tc>
          <w:tcPr>
            <w:tcW w:w="2550"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787"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258"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石家庄市藁城区机构编制电子政务中心</w:t>
            </w:r>
          </w:p>
        </w:tc>
        <w:tc>
          <w:tcPr>
            <w:tcW w:w="2550"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787"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财政性资金基本保证</w:t>
            </w:r>
          </w:p>
        </w:tc>
      </w:tr>
    </w:tbl>
    <w:p>
      <w:pPr>
        <w:widowControl/>
        <w:spacing w:after="160" w:line="580" w:lineRule="exact"/>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950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1552"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1552;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150.07</w:t>
      </w:r>
      <w:r>
        <w:rPr>
          <w:rFonts w:hint="eastAsia" w:ascii="仿宋_GB2312" w:hAnsi="Times New Roman" w:eastAsia="仿宋_GB2312" w:cs="DengXian-Regular"/>
          <w:sz w:val="32"/>
          <w:szCs w:val="32"/>
        </w:rPr>
        <w:t>万元。与2018年度决算相比，收支各增加</w:t>
      </w:r>
      <w:r>
        <w:rPr>
          <w:rFonts w:hint="eastAsia" w:ascii="仿宋_GB2312" w:hAnsi="Times New Roman" w:eastAsia="仿宋_GB2312" w:cs="DengXian-Regular"/>
          <w:sz w:val="32"/>
          <w:szCs w:val="32"/>
          <w:lang w:val="en-US" w:eastAsia="zh-CN"/>
        </w:rPr>
        <w:t>17.72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13.39</w:t>
      </w:r>
      <w:r>
        <w:rPr>
          <w:rFonts w:hint="eastAsia" w:ascii="仿宋_GB2312" w:hAnsi="Times New Roman" w:eastAsia="仿宋_GB2312" w:cs="DengXian-Regular"/>
          <w:sz w:val="32"/>
          <w:szCs w:val="32"/>
        </w:rPr>
        <w:t>%，主要原因是人员</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黑体" w:hAnsi="Calibri" w:eastAsia="黑体" w:cs="Times New Roman"/>
          <w:b/>
          <w:bCs/>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149.22</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149.22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149.13</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135.36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90.77</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13.77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9.23</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pPr>
        <w:adjustRightInd w:val="0"/>
        <w:snapToGrid w:val="0"/>
        <w:spacing w:line="580" w:lineRule="exact"/>
        <w:ind w:firstLine="1920" w:firstLineChars="6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251675648" behindDoc="1" locked="0" layoutInCell="1" allowOverlap="1">
            <wp:simplePos x="0" y="0"/>
            <wp:positionH relativeFrom="column">
              <wp:posOffset>480695</wp:posOffset>
            </wp:positionH>
            <wp:positionV relativeFrom="paragraph">
              <wp:posOffset>137160</wp:posOffset>
            </wp:positionV>
            <wp:extent cx="4470400" cy="2752090"/>
            <wp:effectExtent l="4445" t="4445" r="20955" b="5715"/>
            <wp:wrapNone/>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r>
        <w:rPr>
          <w:sz w:val="32"/>
        </w:rPr>
        <mc:AlternateContent>
          <mc:Choice Requires="wps">
            <w:drawing>
              <wp:anchor distT="0" distB="0" distL="114300" distR="114300" simplePos="0" relativeHeight="251670528" behindDoc="1" locked="0" layoutInCell="1" allowOverlap="1">
                <wp:simplePos x="0" y="0"/>
                <wp:positionH relativeFrom="column">
                  <wp:posOffset>1193165</wp:posOffset>
                </wp:positionH>
                <wp:positionV relativeFrom="paragraph">
                  <wp:posOffset>1202055</wp:posOffset>
                </wp:positionV>
                <wp:extent cx="3314065" cy="483235"/>
                <wp:effectExtent l="0" t="0" r="635" b="12065"/>
                <wp:wrapNone/>
                <wp:docPr id="30" name="文本框 30"/>
                <wp:cNvGraphicFramePr/>
                <a:graphic xmlns:a="http://schemas.openxmlformats.org/drawingml/2006/main">
                  <a:graphicData uri="http://schemas.microsoft.com/office/word/2010/wordprocessingShape">
                    <wps:wsp>
                      <wps:cNvSpPr txBox="1"/>
                      <wps:spPr>
                        <a:xfrm>
                          <a:off x="1953895" y="7448550"/>
                          <a:ext cx="3314065"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：支出构成情况（按支出性质）</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3.95pt;margin-top:94.65pt;height:38.05pt;width:260.95pt;z-index:-251645952;mso-width-relative:page;mso-height-relative:page;" fillcolor="#FFFFFF" filled="t" stroked="f" coordsize="21600,21600" o:gfxdata="UEsDBAoAAAAAAIdO4kAAAAAAAAAAAAAAAAAEAAAAZHJzL1BLAwQUAAAACACHTuJAwyFSEdYAAAAL&#10;AQAADwAAAGRycy9kb3ducmV2LnhtbE2Py07DMBBF90j8gzVI7KidUtomxOkCiS0SbenajYc4Ih5H&#10;tvv8eqYr2M3VHN1HvTr7QRwxpj6QhmKiQCC1wfbUadhu3p+WIFI2ZM0QCDVcMMGqub+rTWXDiT7x&#10;uM6dYBNKldHgch4rKVPr0Js0CSMS/75D9CazjJ200ZzY3A9yqtRcetMTJzgz4pvD9md98Bp2nb/u&#10;vooxOuuHGX1cL5tt6LV+fCjUK4iM5/wHw60+V4eGO+3DgWwSA+vlomT0dpTPIJhYqJLH7DVM5y8z&#10;kE0t/29ofgFQSwMEFAAAAAgAh07iQNmWtfthAgAAqwQAAA4AAABkcnMvZTJvRG9jLnhtbK1UwW7b&#10;MAy9D9g/CLqvTmKnTYM6RdYiw4BiLZANOyuyHAuQRE1SYncfsP1BT7vsvu/qd4ySnbbrduhhOTik&#10;+PwoPpI+O++0InvhvART0vHRiBJhOFTSbEv66ePqzYwSH5ipmAIjSnorPD1fvH511tq5mEADqhKO&#10;IInx89aWtAnBzrPM80Zo5o/ACoPBGpxmAV23zSrHWmTXKpuMRsdZC66yDrjwHk8v+yAdGN1LCKGu&#10;JReXwHdamNCzOqFYwJJ8I62ni3TbuhY8XNe1F4GokmKlIT0xCdqb+MwWZ2y+dcw2kg9XYC+5wrOa&#10;NJMGkz5QXbLAyM7Jv6i05A481OGIg876QpIiWMV49EybdcOsSLWg1N4+iO7/Hy3/sL9xRFYlzVES&#10;wzR2/P7u+/2PX/c/vxE8Q4Fa6+eIW1tEhu4tdDg2h3OPh7HurnY6/mNFJMZPp/nsdErJbUlPimI2&#10;nQ5Siy4QjoA8HxejYwRwRBSzfJJPI2X2yGSdD+8EaBKNkjpsZVKY7a986KEHSEzsQclqJZVKjttu&#10;LpQje4ZtX6XfwP4HTBnSlvQ4x8vFtwzE93tqZeKJSBM05Isy9OVGK3SbbtBmA9UtSuOgny5v+Uri&#10;na+YDzfM4Tihsrhw4RoftQJMCYNFSQPu67/OIx67jFFKWhzPkvovO+YEJeq9wf6fjosiznNyiunJ&#10;BB33NLJ5GjE7fQEoxRhX2/JkRnxQB7N2oD/jXi5jVgwxwzF3ScPBvAj90uBec7FcJhBOsGXhyqwt&#10;j9S9hMtdgFqmBkWZem2wsdHBGU4tHvYtLslTP6EevzGL3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MMhUhHWAAAACwEAAA8AAAAAAAAAAQAgAAAAIgAAAGRycy9kb3ducmV2LnhtbFBLAQIUABQAAAAI&#10;AIdO4kDZlrX7YQIAAKsEAAAOAAAAAAAAAAEAIAAAACUBAABkcnMvZTJvRG9jLnhtbFBLBQYAAAAA&#10;BgAGAFkBAAD4BQ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：支出构成情况（按支出性质）</w:t>
                      </w:r>
                    </w:p>
                    <w:p>
                      <w:pPr>
                        <w:spacing w:after="160" w:line="480" w:lineRule="auto"/>
                        <w:rPr>
                          <w:rFonts w:ascii="Times New Roman" w:hAnsi="Times New Roman" w:eastAsia="宋体" w:cs="Times New Roman"/>
                          <w:sz w:val="20"/>
                        </w:rPr>
                      </w:pPr>
                    </w:p>
                  </w:txbxContent>
                </v:textbox>
              </v:shape>
            </w:pict>
          </mc:Fallback>
        </mc:AlternateContent>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149.22</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18.05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13.76</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人员</w:t>
      </w:r>
      <w:r>
        <w:rPr>
          <w:rFonts w:hint="eastAsia" w:ascii="仿宋_GB2312" w:eastAsia="仿宋_GB2312" w:cs="DengXian-Regular"/>
          <w:sz w:val="32"/>
          <w:szCs w:val="32"/>
          <w:lang w:eastAsia="zh-CN"/>
        </w:rPr>
        <w:t>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149.13</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17.63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13.41</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人员</w:t>
      </w:r>
      <w:r>
        <w:rPr>
          <w:rFonts w:hint="eastAsia" w:ascii="仿宋_GB2312" w:eastAsia="仿宋_GB2312" w:cs="DengXian-Regular"/>
          <w:sz w:val="32"/>
          <w:szCs w:val="32"/>
          <w:lang w:eastAsia="zh-CN"/>
        </w:rPr>
        <w:t>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251675648" behindDoc="1" locked="0" layoutInCell="1" allowOverlap="1">
            <wp:simplePos x="0" y="0"/>
            <wp:positionH relativeFrom="column">
              <wp:posOffset>277495</wp:posOffset>
            </wp:positionH>
            <wp:positionV relativeFrom="paragraph">
              <wp:posOffset>60960</wp:posOffset>
            </wp:positionV>
            <wp:extent cx="4975225" cy="3181350"/>
            <wp:effectExtent l="5080" t="4445" r="10795" b="14605"/>
            <wp:wrapNone/>
            <wp:docPr id="36" name="图表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sz w:val="32"/>
        </w:rPr>
        <mc:AlternateContent>
          <mc:Choice Requires="wps">
            <w:drawing>
              <wp:anchor distT="0" distB="0" distL="114300" distR="114300" simplePos="0" relativeHeight="251676672" behindDoc="1" locked="0" layoutInCell="1" allowOverlap="1">
                <wp:simplePos x="0" y="0"/>
                <wp:positionH relativeFrom="column">
                  <wp:posOffset>812165</wp:posOffset>
                </wp:positionH>
                <wp:positionV relativeFrom="paragraph">
                  <wp:posOffset>59055</wp:posOffset>
                </wp:positionV>
                <wp:extent cx="3913505" cy="483235"/>
                <wp:effectExtent l="0" t="0" r="10795" b="12065"/>
                <wp:wrapNone/>
                <wp:docPr id="37" name="文本框 37"/>
                <wp:cNvGraphicFramePr/>
                <a:graphic xmlns:a="http://schemas.openxmlformats.org/drawingml/2006/main">
                  <a:graphicData uri="http://schemas.microsoft.com/office/word/2010/wordprocessingShape">
                    <wps:wsp>
                      <wps:cNvSpPr txBox="1"/>
                      <wps:spPr>
                        <a:xfrm>
                          <a:off x="0" y="0"/>
                          <a:ext cx="3913505"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2</w:t>
                            </w:r>
                            <w:r>
                              <w:rPr>
                                <w:rFonts w:hint="eastAsia" w:ascii="仿宋_GB2312" w:hAnsi="Times New Roman" w:eastAsia="仿宋_GB2312" w:cs="DengXian-Regular"/>
                                <w:sz w:val="28"/>
                                <w:szCs w:val="28"/>
                              </w:rPr>
                              <w:t>：财政拨款收支与2018 年度决算对比情况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3.95pt;margin-top:4.65pt;height:38.05pt;width:308.15pt;z-index:-251639808;mso-width-relative:page;mso-height-relative:page;" fillcolor="#FFFFFF" filled="t" stroked="f" coordsize="21600,21600" o:gfxdata="UEsDBAoAAAAAAIdO4kAAAAAAAAAAAAAAAAAEAAAAZHJzL1BLAwQUAAAACACHTuJA7NHfjdQAAAAI&#10;AQAADwAAAGRycy9kb3ducmV2LnhtbE2PzU7DMBCE70i8g7VI3KiTEGgb4vSAxBWJtvTsxkscYa8j&#10;2/19epYTHEczmvmmXZ29E0eMaQykoJwVIJD6YEYaFGw3bw8LEClrMtoFQgUXTLDqbm9a3Zhwog88&#10;rvMguIRSoxXYnKdGytRb9DrNwoTE3leIXmeWcZAm6hOXeyeroniWXo/EC1ZP+Gqx/14fvILd4K+7&#10;z3KK1nhX0/v1stmGUan7u7J4AZHxnP/C8IvP6NAx0z4cyCThWFfzJUcVLB9BsD+v6wrEXsHiqQbZ&#10;tfL/ge4HUEsDBBQAAAAIAIdO4kDdT15uVQIAAJ8EAAAOAAAAZHJzL2Uyb0RvYy54bWytVEtu2zAQ&#10;3RfoHQjuG/mbj2E5cB24KGA0AdKia5qiLAIkhyVpS+4B2htk1U33PVfO0SElO27aRRbVgpqf3nDe&#10;zGh63WhFdsJ5CSan/bMeJcJwKKTZ5PTTx+WbS0p8YKZgCozI6V54ej17/Wpa24kYQAWqEI4giPGT&#10;2ua0CsFOsszzSmjmz8AKg84SnGYBVbfJCsdqRNcqG/R651kNrrAOuPAerTetk3aI7iWAUJaSixvg&#10;Wy1MaFGdUCxgSb6S1tNZum1ZCh5uy9KLQFROsdKQTkyC8jqe2WzKJhvHbCV5dwX2kis8q0kzaTDp&#10;EeqGBUa2Tv4FpSV34KEMZxx01haSGMEq+r1n3NxXzIpUC1Lt7ZF0//9g+YfdnSOyyOnwghLDNHb8&#10;8eH7449fjz+/EbQhQbX1E4y7txgZmrfQ4Ngc7B6Nse6mdDq+sSKCfqR3f6RXNIFwNA6v+sNxb0wJ&#10;R9/ocjgYjiNM9vS1dT68E6BJFHLqsH2JVbZb+dCGHkJiMg9KFkupVFLcZr1QjuwYtnqZng79jzBl&#10;SJ3Tc7xIQjYQv2+hlYk4Ik1Nly+W3pYYpdCsm46PNRR7pMNBO1He8qXEO6+YD3fM4QghA7hk4RaP&#10;UgGmhE6ipAL39V/2GI+dRS8lNY5kTv2XLXOCEvXeYM+v+qNRnOGkjMYXA1TcqWd96jFbvQCkoo/r&#10;bHkSY3xQB7F0oD/jLs5jVnQxwzF3TsNBXIR2UXCXuZjPUxBOrWVhZe4tj9CRMAPzbYBSpgZFmlpu&#10;sLFRwblNLe52LC7GqZ6inv4rs9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Ds0d+N1AAAAAgBAAAP&#10;AAAAAAAAAAEAIAAAACIAAABkcnMvZG93bnJldi54bWxQSwECFAAUAAAACACHTuJA3U9eblUCAACf&#10;BAAADgAAAAAAAAABACAAAAAjAQAAZHJzL2Uyb0RvYy54bWxQSwUGAAAAAAYABgBZAQAA6gU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2</w:t>
                      </w:r>
                      <w:r>
                        <w:rPr>
                          <w:rFonts w:hint="eastAsia" w:ascii="仿宋_GB2312" w:hAnsi="Times New Roman" w:eastAsia="仿宋_GB2312" w:cs="DengXian-Regular"/>
                          <w:sz w:val="28"/>
                          <w:szCs w:val="28"/>
                        </w:rPr>
                        <w:t>：财政拨款收支与2018 年度决算对比情况</w:t>
                      </w:r>
                    </w:p>
                    <w:p>
                      <w:pPr>
                        <w:spacing w:after="160" w:line="480" w:lineRule="auto"/>
                        <w:rPr>
                          <w:rFonts w:ascii="Times New Roman" w:hAnsi="Times New Roman" w:eastAsia="宋体" w:cs="Times New Roman"/>
                          <w:sz w:val="20"/>
                        </w:rPr>
                      </w:pPr>
                    </w:p>
                  </w:txbxContent>
                </v:textbox>
              </v:shape>
            </w:pict>
          </mc:Fallback>
        </mc:AlternateContent>
      </w: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149.22</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89.9</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16.76</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人员、项目变动</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149.13</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89.85</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16.85</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人员、项目变动</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highlight w:val="yellow"/>
          <w:lang w:eastAsia="zh-CN"/>
        </w:rPr>
        <w:drawing>
          <wp:anchor distT="0" distB="0" distL="114935" distR="114935" simplePos="0" relativeHeight="251697152" behindDoc="0" locked="0" layoutInCell="1" allowOverlap="1">
            <wp:simplePos x="0" y="0"/>
            <wp:positionH relativeFrom="column">
              <wp:posOffset>439420</wp:posOffset>
            </wp:positionH>
            <wp:positionV relativeFrom="paragraph">
              <wp:posOffset>77470</wp:posOffset>
            </wp:positionV>
            <wp:extent cx="5080000" cy="3810000"/>
            <wp:effectExtent l="4445" t="4445" r="20955" b="14605"/>
            <wp:wrapNone/>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149.13</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highlight w:val="none"/>
          <w:lang w:eastAsia="zh-CN"/>
        </w:rPr>
        <w:t>：</w:t>
      </w: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:149.13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135.36</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124.22</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11.14</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万元，与年初预算持平，主要是认真贯彻落实中央</w:t>
      </w:r>
      <w:bookmarkStart w:id="0" w:name="_GoBack"/>
      <w:bookmarkEnd w:id="0"/>
      <w:r>
        <w:rPr>
          <w:rFonts w:hint="eastAsia" w:ascii="仿宋_GB2312" w:hAnsi="Times New Roman" w:eastAsia="仿宋_GB2312" w:cs="DengXian-Regular"/>
          <w:sz w:val="32"/>
          <w:szCs w:val="32"/>
          <w:lang w:eastAsia="zh-CN"/>
        </w:rPr>
        <w:t>八项规定</w:t>
      </w:r>
      <w:r>
        <w:rPr>
          <w:rFonts w:hint="eastAsia" w:ascii="仿宋_GB2312" w:hAnsi="Times New Roman" w:eastAsia="仿宋_GB2312" w:cs="DengXian-Regular"/>
          <w:sz w:val="32"/>
          <w:szCs w:val="32"/>
        </w:rPr>
        <w:t>精神和厉行节约要求，从严控制“三公”经费开支，全年无“三公”经费支出。。具体情况如下：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未发生</w:t>
      </w:r>
      <w:r>
        <w:rPr>
          <w:rFonts w:hint="eastAsia" w:ascii="楷体_GB2312" w:hAnsi="Times New Roman" w:eastAsia="楷体_GB2312" w:cs="DengXian-Bold"/>
          <w:b/>
          <w:bCs/>
          <w:sz w:val="32"/>
          <w:szCs w:val="32"/>
        </w:rPr>
        <w:t>。</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人/无本单位组织的出国（境）团组。因公出国（境）费支出与年初预算持平，</w:t>
      </w:r>
      <w:r>
        <w:rPr>
          <w:rFonts w:hint="eastAsia" w:ascii="仿宋_GB2312" w:hAnsi="Times New Roman" w:eastAsia="仿宋_GB2312" w:cs="DengXian-Regular"/>
          <w:sz w:val="32"/>
          <w:szCs w:val="32"/>
          <w:lang w:eastAsia="zh-CN"/>
        </w:rPr>
        <w:t>与2018年度决算支出持平，</w:t>
      </w:r>
      <w:r>
        <w:rPr>
          <w:rFonts w:hint="eastAsia" w:ascii="仿宋_GB2312" w:hAnsi="Times New Roman" w:eastAsia="仿宋_GB2312" w:cs="DengXian-Regular"/>
          <w:sz w:val="32"/>
          <w:szCs w:val="32"/>
        </w:rPr>
        <w:t>主要是认真贯彻落实中央</w:t>
      </w:r>
      <w:r>
        <w:rPr>
          <w:rFonts w:hint="eastAsia" w:ascii="仿宋_GB2312" w:hAnsi="Times New Roman" w:eastAsia="仿宋_GB2312" w:cs="DengXian-Regular"/>
          <w:sz w:val="32"/>
          <w:szCs w:val="32"/>
          <w:lang w:eastAsia="zh-CN"/>
        </w:rPr>
        <w:t>八项规定</w:t>
      </w:r>
      <w:r>
        <w:rPr>
          <w:rFonts w:hint="eastAsia" w:ascii="仿宋_GB2312" w:hAnsi="Times New Roman" w:eastAsia="仿宋_GB2312" w:cs="DengXian-Regular"/>
          <w:sz w:val="32"/>
          <w:szCs w:val="32"/>
        </w:rPr>
        <w:t>精神和厉行节约要求，从严控制“三公”经费开支。</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未发生</w:t>
      </w:r>
      <w:r>
        <w:rPr>
          <w:rFonts w:hint="eastAsia" w:ascii="楷体_GB2312" w:hAnsi="Times New Roman" w:eastAsia="楷体_GB2312" w:cs="DengXian-Bold"/>
          <w:b/>
          <w:bCs/>
          <w:sz w:val="32"/>
          <w:szCs w:val="32"/>
        </w:rPr>
        <w:t>。</w:t>
      </w:r>
      <w:r>
        <w:rPr>
          <w:rFonts w:hint="eastAsia" w:ascii="仿宋_GB2312" w:hAnsi="Times New Roman" w:eastAsia="仿宋_GB2312" w:cs="DengXian-Regular"/>
          <w:sz w:val="32"/>
          <w:szCs w:val="32"/>
        </w:rPr>
        <w:t>本部门2019年度公务用车购置及运行维护费与年初预算持平，与2018年度决算支出持平，主要是认真贯彻落实中央</w:t>
      </w:r>
      <w:r>
        <w:rPr>
          <w:rFonts w:hint="eastAsia" w:ascii="仿宋_GB2312" w:hAnsi="Times New Roman" w:eastAsia="仿宋_GB2312" w:cs="DengXian-Regular"/>
          <w:sz w:val="32"/>
          <w:szCs w:val="32"/>
          <w:lang w:eastAsia="zh-CN"/>
        </w:rPr>
        <w:t>八项规定</w:t>
      </w:r>
      <w:r>
        <w:rPr>
          <w:rFonts w:hint="eastAsia" w:ascii="仿宋_GB2312" w:hAnsi="Times New Roman" w:eastAsia="仿宋_GB2312" w:cs="DengXian-Regular"/>
          <w:sz w:val="32"/>
          <w:szCs w:val="32"/>
        </w:rPr>
        <w:t>精神和厉行节约要求，从严控制“三公”经费开支。</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万元。公务用车购置费支出与年初预算持平，与2018年度决算支出持平，主要是认真贯彻落实中央</w:t>
      </w:r>
      <w:r>
        <w:rPr>
          <w:rFonts w:hint="eastAsia" w:ascii="仿宋_GB2312" w:hAnsi="Times New Roman" w:eastAsia="仿宋_GB2312" w:cs="DengXian-Regular"/>
          <w:sz w:val="32"/>
          <w:szCs w:val="32"/>
          <w:lang w:eastAsia="zh-CN"/>
        </w:rPr>
        <w:t>八项规定</w:t>
      </w:r>
      <w:r>
        <w:rPr>
          <w:rFonts w:hint="eastAsia" w:ascii="仿宋_GB2312" w:hAnsi="Times New Roman" w:eastAsia="仿宋_GB2312" w:cs="DengXian-Regular"/>
          <w:sz w:val="32"/>
          <w:szCs w:val="32"/>
        </w:rPr>
        <w:t>精神和厉行节约要求，从严控制“三公”经费开支。</w:t>
      </w:r>
    </w:p>
    <w:p>
      <w:p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辆。公车运行维护费支出与年初预算持平，与2018年度决算支出持平，主要是认真贯彻落实中央</w:t>
      </w:r>
      <w:r>
        <w:rPr>
          <w:rFonts w:hint="eastAsia" w:ascii="仿宋_GB2312" w:hAnsi="Times New Roman" w:eastAsia="仿宋_GB2312" w:cs="DengXian-Regular"/>
          <w:sz w:val="32"/>
          <w:szCs w:val="32"/>
          <w:lang w:eastAsia="zh-CN"/>
        </w:rPr>
        <w:t>八项规定</w:t>
      </w:r>
      <w:r>
        <w:rPr>
          <w:rFonts w:hint="eastAsia" w:ascii="仿宋_GB2312" w:hAnsi="Times New Roman" w:eastAsia="仿宋_GB2312" w:cs="DengXian-Regular"/>
          <w:sz w:val="32"/>
          <w:szCs w:val="32"/>
        </w:rPr>
        <w:t>精神和厉行节约要求，从严控制“三公”经费开支。</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eastAsia="zh-CN"/>
        </w:rPr>
        <w:t>未发生</w:t>
      </w:r>
      <w:r>
        <w:rPr>
          <w:rFonts w:hint="eastAsia" w:ascii="楷体_GB2312" w:hAnsi="Times New Roman" w:eastAsia="楷体_GB2312" w:cs="DengXian-Bold"/>
          <w:b/>
          <w:bCs/>
          <w:sz w:val="32"/>
          <w:szCs w:val="32"/>
        </w:rPr>
        <w:t>。</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人次。公务接待费支出与年初预算持平，与2018年度决算支出持平，主要是认真贯彻落实中央</w:t>
      </w:r>
      <w:r>
        <w:rPr>
          <w:rFonts w:hint="eastAsia" w:ascii="仿宋_GB2312" w:hAnsi="Times New Roman" w:eastAsia="仿宋_GB2312" w:cs="DengXian-Regular"/>
          <w:sz w:val="32"/>
          <w:szCs w:val="32"/>
          <w:lang w:eastAsia="zh-CN"/>
        </w:rPr>
        <w:t>八项规定</w:t>
      </w:r>
      <w:r>
        <w:rPr>
          <w:rFonts w:hint="eastAsia" w:ascii="仿宋_GB2312" w:hAnsi="Times New Roman" w:eastAsia="仿宋_GB2312" w:cs="DengXian-Regular"/>
          <w:sz w:val="32"/>
          <w:szCs w:val="32"/>
        </w:rPr>
        <w:t>精神和厉行节约要求，从严控制“三公”经费开支。</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13.77</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。组织对“实名制管理工作”“事业单位分类改革”“事业单位管理”“中文域名工作”等</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13.77</w:t>
      </w:r>
      <w:r>
        <w:rPr>
          <w:rFonts w:hint="eastAsia" w:ascii="仿宋_GB2312" w:hAnsi="仿宋_GB2312" w:eastAsia="仿宋_GB2312" w:cs="仿宋_GB2312"/>
          <w:sz w:val="32"/>
          <w:szCs w:val="32"/>
        </w:rPr>
        <w:t>万元。从评价情况来看，本年度</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工作经费管理规范，按计划基本完成，确保了区委编办各项工作正常运转和圆满完成，</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绩效评价自评为优秀。</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本部门在今年部门决算公开中反映实名制管理工作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事业单位分类改革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事业单位管理</w:t>
      </w:r>
      <w:r>
        <w:rPr>
          <w:rFonts w:hint="eastAsia" w:ascii="仿宋_GB2312" w:hAnsi="仿宋_GB2312" w:eastAsia="仿宋_GB2312" w:cs="仿宋_GB2312"/>
          <w:sz w:val="32"/>
          <w:szCs w:val="32"/>
          <w:lang w:eastAsia="zh-CN"/>
        </w:rPr>
        <w:t>及</w:t>
      </w:r>
      <w:r>
        <w:rPr>
          <w:rFonts w:hint="eastAsia" w:ascii="仿宋_GB2312" w:hAnsi="仿宋_GB2312" w:eastAsia="仿宋_GB2312" w:cs="仿宋_GB2312"/>
          <w:sz w:val="32"/>
          <w:szCs w:val="32"/>
        </w:rPr>
        <w:t>中文域名工作等</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个项目绩效自评结果。</w:t>
      </w:r>
    </w:p>
    <w:p>
      <w:pPr>
        <w:numPr>
          <w:ilvl w:val="0"/>
          <w:numId w:val="2"/>
        </w:numPr>
        <w:adjustRightInd w:val="0"/>
        <w:snapToGrid w:val="0"/>
        <w:spacing w:line="580" w:lineRule="exact"/>
        <w:ind w:left="-10" w:leftChars="0" w:firstLine="640" w:firstLineChars="0"/>
        <w:rPr>
          <w:rFonts w:ascii="仿宋_GB2312" w:hAnsi="仿宋_GB2312" w:eastAsia="仿宋_GB2312" w:cs="仿宋_GB2312"/>
          <w:sz w:val="32"/>
          <w:szCs w:val="32"/>
        </w:rPr>
        <w:sectPr>
          <w:type w:val="continuous"/>
          <w:pgSz w:w="11906" w:h="16838"/>
          <w:pgMar w:top="2098" w:right="1474" w:bottom="1984" w:left="1588" w:header="851" w:footer="992" w:gutter="0"/>
          <w:pgNumType w:fmt="numberInDash"/>
          <w:cols w:space="0" w:num="1"/>
          <w:docGrid w:type="lines" w:linePitch="312" w:charSpace="0"/>
        </w:sectPr>
      </w:pPr>
    </w:p>
    <w:p>
      <w:pPr>
        <w:numPr>
          <w:ilvl w:val="0"/>
          <w:numId w:val="2"/>
        </w:numPr>
        <w:adjustRightInd w:val="0"/>
        <w:snapToGrid w:val="0"/>
        <w:spacing w:line="58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rPr>
        <w:t>实名制管理工作项目自评综述：根据年初设定的绩效目标，实名制管理工作项目绩效自评得分为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。项目绩效目标完成情况：严格落实机构编制实名制管理各项规定，进一步严格实名制管理和编制使用核准制度。</w:t>
      </w:r>
    </w:p>
    <w:tbl>
      <w:tblPr>
        <w:tblStyle w:val="6"/>
        <w:tblW w:w="12972" w:type="dxa"/>
        <w:tblInd w:w="0" w:type="dxa"/>
        <w:shd w:val="clear" w:color="auto" w:fill="auto"/>
        <w:tblLayout w:type="fixed"/>
        <w:tblCellMar>
          <w:top w:w="0" w:type="dxa"/>
          <w:left w:w="108" w:type="dxa"/>
          <w:bottom w:w="0" w:type="dxa"/>
          <w:right w:w="108" w:type="dxa"/>
        </w:tblCellMar>
      </w:tblPr>
      <w:tblGrid>
        <w:gridCol w:w="1891"/>
        <w:gridCol w:w="1733"/>
        <w:gridCol w:w="1372"/>
        <w:gridCol w:w="1489"/>
        <w:gridCol w:w="1549"/>
        <w:gridCol w:w="1554"/>
        <w:gridCol w:w="1554"/>
        <w:gridCol w:w="1830"/>
      </w:tblGrid>
      <w:tr>
        <w:tblPrEx>
          <w:shd w:val="clear" w:color="auto" w:fill="auto"/>
          <w:tblCellMar>
            <w:top w:w="0" w:type="dxa"/>
            <w:left w:w="108" w:type="dxa"/>
            <w:bottom w:w="0" w:type="dxa"/>
            <w:right w:w="108" w:type="dxa"/>
          </w:tblCellMar>
        </w:tblPrEx>
        <w:trPr>
          <w:trHeight w:val="270" w:hRule="atLeast"/>
        </w:trPr>
        <w:tc>
          <w:tcPr>
            <w:tcW w:w="12972" w:type="dxa"/>
            <w:gridSpan w:val="8"/>
            <w:vMerge w:val="restar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区级部门预算项目绩效自评表</w:t>
            </w:r>
          </w:p>
        </w:tc>
      </w:tr>
      <w:tr>
        <w:tblPrEx>
          <w:shd w:val="clear" w:color="auto" w:fill="auto"/>
          <w:tblCellMar>
            <w:top w:w="0" w:type="dxa"/>
            <w:left w:w="108" w:type="dxa"/>
            <w:bottom w:w="0" w:type="dxa"/>
            <w:right w:w="108" w:type="dxa"/>
          </w:tblCellMar>
        </w:tblPrEx>
        <w:trPr>
          <w:trHeight w:val="270" w:hRule="atLeast"/>
        </w:trPr>
        <w:tc>
          <w:tcPr>
            <w:tcW w:w="12972" w:type="dxa"/>
            <w:gridSpan w:val="8"/>
            <w:vMerge w:val="continue"/>
            <w:tcBorders>
              <w:top w:val="nil"/>
              <w:left w:val="nil"/>
              <w:bottom w:val="nil"/>
              <w:right w:val="nil"/>
            </w:tcBorders>
            <w:shd w:val="clear" w:color="auto" w:fill="auto"/>
            <w:noWrap/>
            <w:vAlign w:val="center"/>
          </w:tcPr>
          <w:p>
            <w:pPr>
              <w:jc w:val="center"/>
              <w:rPr>
                <w:rFonts w:hint="eastAsia" w:ascii="宋体" w:hAnsi="宋体" w:eastAsia="宋体" w:cs="宋体"/>
                <w:b/>
                <w:bCs/>
                <w:i w:val="0"/>
                <w:iCs w:val="0"/>
                <w:color w:val="000000"/>
                <w:sz w:val="36"/>
                <w:szCs w:val="36"/>
                <w:u w:val="none"/>
              </w:rPr>
            </w:pPr>
          </w:p>
        </w:tc>
      </w:tr>
      <w:tr>
        <w:tblPrEx>
          <w:shd w:val="clear" w:color="auto" w:fill="auto"/>
          <w:tblCellMar>
            <w:top w:w="0" w:type="dxa"/>
            <w:left w:w="108" w:type="dxa"/>
            <w:bottom w:w="0" w:type="dxa"/>
            <w:right w:w="108" w:type="dxa"/>
          </w:tblCellMar>
        </w:tblPrEx>
        <w:trPr>
          <w:trHeight w:val="300" w:hRule="atLeast"/>
        </w:trPr>
        <w:tc>
          <w:tcPr>
            <w:tcW w:w="12972"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（2019年度）</w:t>
            </w:r>
          </w:p>
        </w:tc>
      </w:tr>
      <w:tr>
        <w:tblPrEx>
          <w:shd w:val="clear" w:color="auto" w:fill="auto"/>
          <w:tblCellMar>
            <w:top w:w="0" w:type="dxa"/>
            <w:left w:w="108" w:type="dxa"/>
            <w:bottom w:w="0" w:type="dxa"/>
            <w:right w:w="108" w:type="dxa"/>
          </w:tblCellMar>
        </w:tblPrEx>
        <w:trPr>
          <w:trHeight w:val="270" w:hRule="atLeast"/>
        </w:trPr>
        <w:tc>
          <w:tcPr>
            <w:tcW w:w="1891"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填报单位：</w:t>
            </w:r>
          </w:p>
        </w:tc>
        <w:tc>
          <w:tcPr>
            <w:tcW w:w="173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区委编办</w:t>
            </w:r>
          </w:p>
        </w:tc>
        <w:tc>
          <w:tcPr>
            <w:tcW w:w="1372"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489"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549"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3384" w:type="dxa"/>
            <w:gridSpan w:val="2"/>
            <w:tcBorders>
              <w:top w:val="nil"/>
              <w:left w:val="nil"/>
              <w:bottom w:val="single" w:color="000000" w:sz="4" w:space="0"/>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单位金额：万元</w:t>
            </w:r>
          </w:p>
        </w:tc>
      </w:tr>
      <w:tr>
        <w:tblPrEx>
          <w:shd w:val="clear" w:color="auto" w:fill="auto"/>
          <w:tblCellMar>
            <w:top w:w="0" w:type="dxa"/>
            <w:left w:w="108" w:type="dxa"/>
            <w:bottom w:w="0" w:type="dxa"/>
            <w:right w:w="108" w:type="dxa"/>
          </w:tblCellMar>
        </w:tblPrEx>
        <w:trPr>
          <w:trHeight w:val="540" w:hRule="atLeast"/>
        </w:trPr>
        <w:tc>
          <w:tcPr>
            <w:tcW w:w="18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一、基本情况</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项目名称</w:t>
            </w:r>
          </w:p>
        </w:tc>
        <w:tc>
          <w:tcPr>
            <w:tcW w:w="286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实名制核查经费</w:t>
            </w:r>
          </w:p>
        </w:tc>
        <w:tc>
          <w:tcPr>
            <w:tcW w:w="1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实施（主管单位）</w:t>
            </w:r>
          </w:p>
        </w:tc>
        <w:tc>
          <w:tcPr>
            <w:tcW w:w="493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区委编办</w:t>
            </w:r>
          </w:p>
        </w:tc>
      </w:tr>
      <w:tr>
        <w:tblPrEx>
          <w:shd w:val="clear" w:color="auto" w:fill="auto"/>
          <w:tblCellMar>
            <w:top w:w="0" w:type="dxa"/>
            <w:left w:w="108" w:type="dxa"/>
            <w:bottom w:w="0" w:type="dxa"/>
            <w:right w:w="108" w:type="dxa"/>
          </w:tblCellMar>
        </w:tblPrEx>
        <w:trPr>
          <w:trHeight w:val="270" w:hRule="atLeast"/>
        </w:trPr>
        <w:tc>
          <w:tcPr>
            <w:tcW w:w="18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二、预算执行</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310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预算安排情况（调整后）</w:t>
            </w: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资金到位情况</w:t>
            </w:r>
          </w:p>
        </w:tc>
        <w:tc>
          <w:tcPr>
            <w:tcW w:w="310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资金执行情况</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预算执行进度</w:t>
            </w: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13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到位数：</w:t>
            </w:r>
          </w:p>
        </w:tc>
        <w:tc>
          <w:tcPr>
            <w:tcW w:w="1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执行数：</w:t>
            </w: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8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shd w:val="clear" w:color="auto" w:fill="auto"/>
          <w:tblCellMar>
            <w:top w:w="0" w:type="dxa"/>
            <w:left w:w="108" w:type="dxa"/>
            <w:bottom w:w="0" w:type="dxa"/>
            <w:right w:w="108" w:type="dxa"/>
          </w:tblCellMar>
        </w:tblPrEx>
        <w:trPr>
          <w:trHeight w:val="54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13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4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1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5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13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1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三、目标完成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4594"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年度预算目标</w:t>
            </w:r>
          </w:p>
        </w:tc>
        <w:tc>
          <w:tcPr>
            <w:tcW w:w="46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具体完成情况</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总体完成率</w:t>
            </w:r>
          </w:p>
        </w:tc>
      </w:tr>
      <w:tr>
        <w:tblPrEx>
          <w:shd w:val="clear" w:color="auto" w:fill="auto"/>
          <w:tblCellMar>
            <w:top w:w="0" w:type="dxa"/>
            <w:left w:w="108" w:type="dxa"/>
            <w:bottom w:w="0" w:type="dxa"/>
            <w:right w:w="108" w:type="dxa"/>
          </w:tblCellMar>
        </w:tblPrEx>
        <w:trPr>
          <w:trHeight w:val="94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59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严格落实机构编制实名制管理各项规定，进一步严格实名制管理和编制使用核准制度。</w:t>
            </w:r>
          </w:p>
        </w:tc>
        <w:tc>
          <w:tcPr>
            <w:tcW w:w="46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全部完成</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shd w:val="clear" w:color="auto" w:fill="auto"/>
          <w:tblCellMar>
            <w:top w:w="0" w:type="dxa"/>
            <w:left w:w="108" w:type="dxa"/>
            <w:bottom w:w="0" w:type="dxa"/>
            <w:right w:w="108" w:type="dxa"/>
          </w:tblCellMar>
        </w:tblPrEx>
        <w:trPr>
          <w:trHeight w:val="375" w:hRule="atLeast"/>
        </w:trPr>
        <w:tc>
          <w:tcPr>
            <w:tcW w:w="18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四、年度绩效指标完成情况</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一级指标</w:t>
            </w:r>
          </w:p>
        </w:tc>
        <w:tc>
          <w:tcPr>
            <w:tcW w:w="13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二级指标</w:t>
            </w: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三级指标</w:t>
            </w: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预期指标值</w:t>
            </w: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实际完成值</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自评得分</w:t>
            </w:r>
          </w:p>
        </w:tc>
      </w:tr>
      <w:tr>
        <w:tblPrEx>
          <w:shd w:val="clear" w:color="auto" w:fill="auto"/>
          <w:tblCellMar>
            <w:top w:w="0" w:type="dxa"/>
            <w:left w:w="108" w:type="dxa"/>
            <w:bottom w:w="0" w:type="dxa"/>
            <w:right w:w="108" w:type="dxa"/>
          </w:tblCellMar>
        </w:tblPrEx>
        <w:trPr>
          <w:trHeight w:val="66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产出指标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（40分）</w:t>
            </w:r>
          </w:p>
        </w:tc>
        <w:tc>
          <w:tcPr>
            <w:tcW w:w="137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数量指标</w:t>
            </w: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实名制信息系统周办结率</w:t>
            </w:r>
          </w:p>
        </w:tc>
        <w:tc>
          <w:tcPr>
            <w:tcW w:w="15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5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shd w:val="clear" w:color="auto" w:fill="auto"/>
          <w:tblCellMar>
            <w:top w:w="0" w:type="dxa"/>
            <w:left w:w="108" w:type="dxa"/>
            <w:bottom w:w="0" w:type="dxa"/>
            <w:right w:w="108" w:type="dxa"/>
          </w:tblCellMar>
        </w:tblPrEx>
        <w:trPr>
          <w:trHeight w:val="66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机构编制数据审核月办结率</w:t>
            </w:r>
          </w:p>
        </w:tc>
        <w:tc>
          <w:tcPr>
            <w:tcW w:w="15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5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60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质量指标</w:t>
            </w: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“月报”制度月办结率</w:t>
            </w:r>
          </w:p>
        </w:tc>
        <w:tc>
          <w:tcPr>
            <w:tcW w:w="15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5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时效指标</w:t>
            </w: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成本指标</w:t>
            </w: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54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预算执行率指标（10分）</w:t>
            </w:r>
          </w:p>
        </w:tc>
        <w:tc>
          <w:tcPr>
            <w:tcW w:w="13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执行率</w:t>
            </w: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1万元</w:t>
            </w:r>
          </w:p>
        </w:tc>
        <w:tc>
          <w:tcPr>
            <w:tcW w:w="15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5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shd w:val="clear" w:color="auto" w:fill="auto"/>
          <w:tblCellMar>
            <w:top w:w="0" w:type="dxa"/>
            <w:left w:w="108" w:type="dxa"/>
            <w:bottom w:w="0" w:type="dxa"/>
            <w:right w:w="108" w:type="dxa"/>
          </w:tblCellMar>
        </w:tblPrEx>
        <w:trPr>
          <w:trHeight w:val="54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效益指标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（40分）</w:t>
            </w:r>
          </w:p>
        </w:tc>
        <w:tc>
          <w:tcPr>
            <w:tcW w:w="13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经济效益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社会效益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66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可持续影响指标</w:t>
            </w: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实名制管理和编制使用核准任务完成率</w:t>
            </w:r>
          </w:p>
        </w:tc>
        <w:tc>
          <w:tcPr>
            <w:tcW w:w="15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5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r>
      <w:tr>
        <w:tblPrEx>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（10分）</w:t>
            </w:r>
          </w:p>
        </w:tc>
        <w:tc>
          <w:tcPr>
            <w:tcW w:w="13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服务对象满意度</w:t>
            </w:r>
          </w:p>
        </w:tc>
        <w:tc>
          <w:tcPr>
            <w:tcW w:w="15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5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5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总分</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shd w:val="clear" w:color="auto" w:fill="auto"/>
          <w:tblCellMar>
            <w:top w:w="0" w:type="dxa"/>
            <w:left w:w="108" w:type="dxa"/>
            <w:bottom w:w="0" w:type="dxa"/>
            <w:right w:w="108" w:type="dxa"/>
          </w:tblCellMar>
        </w:tblPrEx>
        <w:trPr>
          <w:trHeight w:val="1005" w:hRule="atLeast"/>
        </w:trPr>
        <w:tc>
          <w:tcPr>
            <w:tcW w:w="18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五、存在问题、原因及下一步整改措施</w:t>
            </w:r>
          </w:p>
        </w:tc>
        <w:tc>
          <w:tcPr>
            <w:tcW w:w="11081"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tblPrEx>
          <w:shd w:val="clear" w:color="auto" w:fill="auto"/>
          <w:tblCellMar>
            <w:top w:w="0" w:type="dxa"/>
            <w:left w:w="108" w:type="dxa"/>
            <w:bottom w:w="0" w:type="dxa"/>
            <w:right w:w="108" w:type="dxa"/>
          </w:tblCellMar>
        </w:tblPrEx>
        <w:trPr>
          <w:trHeight w:val="270" w:hRule="atLeast"/>
        </w:trPr>
        <w:tc>
          <w:tcPr>
            <w:tcW w:w="1891"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填报人：</w:t>
            </w:r>
          </w:p>
        </w:tc>
        <w:tc>
          <w:tcPr>
            <w:tcW w:w="173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陈晓光</w:t>
            </w:r>
          </w:p>
        </w:tc>
        <w:tc>
          <w:tcPr>
            <w:tcW w:w="1372"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489"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549"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联系电话：</w:t>
            </w:r>
          </w:p>
        </w:tc>
        <w:tc>
          <w:tcPr>
            <w:tcW w:w="1554" w:type="dxa"/>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88165578</w:t>
            </w:r>
          </w:p>
        </w:tc>
        <w:tc>
          <w:tcPr>
            <w:tcW w:w="1554"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r>
    </w:tbl>
    <w:p>
      <w:pPr>
        <w:numPr>
          <w:ilvl w:val="0"/>
          <w:numId w:val="0"/>
        </w:numPr>
        <w:adjustRightInd w:val="0"/>
        <w:snapToGrid w:val="0"/>
        <w:spacing w:line="580" w:lineRule="exact"/>
        <w:ind w:left="630" w:leftChars="0"/>
        <w:rPr>
          <w:rFonts w:ascii="仿宋_GB2312" w:hAnsi="仿宋_GB2312" w:eastAsia="仿宋_GB2312" w:cs="仿宋_GB2312"/>
          <w:sz w:val="32"/>
          <w:szCs w:val="32"/>
        </w:rPr>
      </w:pPr>
    </w:p>
    <w:p>
      <w:pPr>
        <w:numPr>
          <w:ilvl w:val="0"/>
          <w:numId w:val="2"/>
        </w:numPr>
        <w:adjustRightInd w:val="0"/>
        <w:snapToGrid w:val="0"/>
        <w:spacing w:line="58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rPr>
        <w:t>事业单位分类改革项目自评综述：根据年初设定的绩效目标，事业单位分类改革项目绩效自评得分为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0.9685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96.85%</w:t>
      </w:r>
      <w:r>
        <w:rPr>
          <w:rFonts w:hint="eastAsia" w:ascii="仿宋_GB2312" w:hAnsi="仿宋_GB2312" w:eastAsia="仿宋_GB2312" w:cs="仿宋_GB2312"/>
          <w:sz w:val="32"/>
          <w:szCs w:val="32"/>
        </w:rPr>
        <w:t>。项目绩效目标完成情况：会同职能部门推进五大领域综合行政执法改革，在相应机构加挂综合执法局或综合执法大队牌子，并明确职能。</w:t>
      </w:r>
    </w:p>
    <w:tbl>
      <w:tblPr>
        <w:tblStyle w:val="6"/>
        <w:tblW w:w="12972" w:type="dxa"/>
        <w:tblInd w:w="0" w:type="dxa"/>
        <w:shd w:val="clear" w:color="auto" w:fill="auto"/>
        <w:tblLayout w:type="fixed"/>
        <w:tblCellMar>
          <w:top w:w="0" w:type="dxa"/>
          <w:left w:w="108" w:type="dxa"/>
          <w:bottom w:w="0" w:type="dxa"/>
          <w:right w:w="108" w:type="dxa"/>
        </w:tblCellMar>
      </w:tblPr>
      <w:tblGrid>
        <w:gridCol w:w="1271"/>
        <w:gridCol w:w="1010"/>
        <w:gridCol w:w="933"/>
        <w:gridCol w:w="895"/>
        <w:gridCol w:w="3463"/>
        <w:gridCol w:w="2131"/>
        <w:gridCol w:w="2148"/>
        <w:gridCol w:w="1121"/>
      </w:tblGrid>
      <w:tr>
        <w:tblPrEx>
          <w:shd w:val="clear" w:color="auto" w:fill="auto"/>
          <w:tblCellMar>
            <w:top w:w="0" w:type="dxa"/>
            <w:left w:w="108" w:type="dxa"/>
            <w:bottom w:w="0" w:type="dxa"/>
            <w:right w:w="108" w:type="dxa"/>
          </w:tblCellMar>
        </w:tblPrEx>
        <w:trPr>
          <w:trHeight w:val="270" w:hRule="atLeast"/>
        </w:trPr>
        <w:tc>
          <w:tcPr>
            <w:tcW w:w="12972" w:type="dxa"/>
            <w:gridSpan w:val="8"/>
            <w:vMerge w:val="restar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区级部门预算项目绩效自评表</w:t>
            </w:r>
          </w:p>
        </w:tc>
      </w:tr>
      <w:tr>
        <w:tblPrEx>
          <w:shd w:val="clear" w:color="auto" w:fill="auto"/>
          <w:tblCellMar>
            <w:top w:w="0" w:type="dxa"/>
            <w:left w:w="108" w:type="dxa"/>
            <w:bottom w:w="0" w:type="dxa"/>
            <w:right w:w="108" w:type="dxa"/>
          </w:tblCellMar>
        </w:tblPrEx>
        <w:trPr>
          <w:trHeight w:val="200" w:hRule="atLeast"/>
        </w:trPr>
        <w:tc>
          <w:tcPr>
            <w:tcW w:w="12972" w:type="dxa"/>
            <w:gridSpan w:val="8"/>
            <w:vMerge w:val="continue"/>
            <w:tcBorders>
              <w:top w:val="nil"/>
              <w:left w:val="nil"/>
              <w:bottom w:val="nil"/>
              <w:right w:val="nil"/>
            </w:tcBorders>
            <w:shd w:val="clear" w:color="auto" w:fill="auto"/>
            <w:noWrap/>
            <w:vAlign w:val="center"/>
          </w:tcPr>
          <w:p>
            <w:pPr>
              <w:jc w:val="center"/>
              <w:rPr>
                <w:rFonts w:hint="eastAsia" w:ascii="宋体" w:hAnsi="宋体" w:eastAsia="宋体" w:cs="宋体"/>
                <w:b/>
                <w:bCs/>
                <w:i w:val="0"/>
                <w:iCs w:val="0"/>
                <w:color w:val="000000"/>
                <w:sz w:val="36"/>
                <w:szCs w:val="36"/>
                <w:u w:val="none"/>
              </w:rPr>
            </w:pPr>
          </w:p>
        </w:tc>
      </w:tr>
      <w:tr>
        <w:tblPrEx>
          <w:shd w:val="clear" w:color="auto" w:fill="auto"/>
          <w:tblCellMar>
            <w:top w:w="0" w:type="dxa"/>
            <w:left w:w="108" w:type="dxa"/>
            <w:bottom w:w="0" w:type="dxa"/>
            <w:right w:w="108" w:type="dxa"/>
          </w:tblCellMar>
        </w:tblPrEx>
        <w:trPr>
          <w:trHeight w:val="300" w:hRule="atLeast"/>
        </w:trPr>
        <w:tc>
          <w:tcPr>
            <w:tcW w:w="12972"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2019  年度）</w:t>
            </w:r>
          </w:p>
        </w:tc>
      </w:tr>
      <w:tr>
        <w:tblPrEx>
          <w:shd w:val="clear" w:color="auto" w:fill="auto"/>
          <w:tblCellMar>
            <w:top w:w="0" w:type="dxa"/>
            <w:left w:w="108" w:type="dxa"/>
            <w:bottom w:w="0" w:type="dxa"/>
            <w:right w:w="108" w:type="dxa"/>
          </w:tblCellMar>
        </w:tblPrEx>
        <w:trPr>
          <w:trHeight w:val="270" w:hRule="atLeast"/>
        </w:trPr>
        <w:tc>
          <w:tcPr>
            <w:tcW w:w="1271"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填报单位：</w:t>
            </w:r>
          </w:p>
        </w:tc>
        <w:tc>
          <w:tcPr>
            <w:tcW w:w="101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区委编办</w:t>
            </w:r>
          </w:p>
        </w:tc>
        <w:tc>
          <w:tcPr>
            <w:tcW w:w="933"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895"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3463"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2131"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3269" w:type="dxa"/>
            <w:gridSpan w:val="2"/>
            <w:tcBorders>
              <w:top w:val="nil"/>
              <w:left w:val="nil"/>
              <w:bottom w:val="single" w:color="000000" w:sz="4" w:space="0"/>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单位金额：万元</w:t>
            </w:r>
          </w:p>
        </w:tc>
      </w:tr>
      <w:tr>
        <w:tblPrEx>
          <w:shd w:val="clear" w:color="auto" w:fill="auto"/>
          <w:tblCellMar>
            <w:top w:w="0" w:type="dxa"/>
            <w:left w:w="108" w:type="dxa"/>
            <w:bottom w:w="0" w:type="dxa"/>
            <w:right w:w="108" w:type="dxa"/>
          </w:tblCellMar>
        </w:tblPrEx>
        <w:trPr>
          <w:trHeight w:val="540" w:hRule="atLeast"/>
        </w:trPr>
        <w:tc>
          <w:tcPr>
            <w:tcW w:w="12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一、基本情况</w:t>
            </w: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项目名称</w:t>
            </w:r>
          </w:p>
        </w:tc>
        <w:tc>
          <w:tcPr>
            <w:tcW w:w="182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事业单位分类改革经费</w:t>
            </w:r>
          </w:p>
        </w:tc>
        <w:tc>
          <w:tcPr>
            <w:tcW w:w="34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实施（主管单位）</w:t>
            </w:r>
          </w:p>
        </w:tc>
        <w:tc>
          <w:tcPr>
            <w:tcW w:w="54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区委编办</w:t>
            </w:r>
          </w:p>
        </w:tc>
      </w:tr>
      <w:tr>
        <w:tblPrEx>
          <w:shd w:val="clear" w:color="auto" w:fill="auto"/>
          <w:tblCellMar>
            <w:top w:w="0" w:type="dxa"/>
            <w:left w:w="108" w:type="dxa"/>
            <w:bottom w:w="0" w:type="dxa"/>
            <w:right w:w="108" w:type="dxa"/>
          </w:tblCellMar>
        </w:tblPrEx>
        <w:trPr>
          <w:trHeight w:val="270" w:hRule="atLeast"/>
        </w:trPr>
        <w:tc>
          <w:tcPr>
            <w:tcW w:w="12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二、预算执行</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194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预算安排情况（调整后）</w:t>
            </w:r>
          </w:p>
        </w:tc>
        <w:tc>
          <w:tcPr>
            <w:tcW w:w="435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资金到位情况</w:t>
            </w:r>
          </w:p>
        </w:tc>
        <w:tc>
          <w:tcPr>
            <w:tcW w:w="427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资金执行情况</w:t>
            </w:r>
          </w:p>
        </w:tc>
        <w:tc>
          <w:tcPr>
            <w:tcW w:w="11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预算执行进度</w:t>
            </w:r>
          </w:p>
        </w:tc>
      </w:tr>
      <w:tr>
        <w:tblPrEx>
          <w:shd w:val="clear" w:color="auto" w:fill="auto"/>
          <w:tblCellMar>
            <w:top w:w="0" w:type="dxa"/>
            <w:left w:w="108" w:type="dxa"/>
            <w:bottom w:w="0" w:type="dxa"/>
            <w:right w:w="108" w:type="dxa"/>
          </w:tblCellMar>
        </w:tblPrEx>
        <w:trPr>
          <w:trHeight w:val="27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9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到位数：</w:t>
            </w:r>
          </w:p>
        </w:tc>
        <w:tc>
          <w:tcPr>
            <w:tcW w:w="3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执行数：</w:t>
            </w:r>
          </w:p>
        </w:tc>
        <w:tc>
          <w:tcPr>
            <w:tcW w:w="21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0.9685</w:t>
            </w:r>
          </w:p>
        </w:tc>
        <w:tc>
          <w:tcPr>
            <w:tcW w:w="11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r>
      <w:tr>
        <w:tblPrEx>
          <w:shd w:val="clear" w:color="auto" w:fill="auto"/>
          <w:tblCellMar>
            <w:top w:w="0" w:type="dxa"/>
            <w:left w:w="108" w:type="dxa"/>
            <w:bottom w:w="0" w:type="dxa"/>
            <w:right w:w="108" w:type="dxa"/>
          </w:tblCellMar>
        </w:tblPrEx>
        <w:trPr>
          <w:trHeight w:val="54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9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3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21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0.9685</w:t>
            </w:r>
          </w:p>
        </w:tc>
        <w:tc>
          <w:tcPr>
            <w:tcW w:w="11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9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8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3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21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2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三、目标完成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283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年度预算目标</w:t>
            </w:r>
          </w:p>
        </w:tc>
        <w:tc>
          <w:tcPr>
            <w:tcW w:w="7742"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具体完成情况</w:t>
            </w:r>
          </w:p>
        </w:tc>
        <w:tc>
          <w:tcPr>
            <w:tcW w:w="11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总体完成率</w:t>
            </w:r>
          </w:p>
        </w:tc>
      </w:tr>
      <w:tr>
        <w:tblPrEx>
          <w:shd w:val="clear" w:color="auto" w:fill="auto"/>
          <w:tblCellMar>
            <w:top w:w="0" w:type="dxa"/>
            <w:left w:w="108" w:type="dxa"/>
            <w:bottom w:w="0" w:type="dxa"/>
            <w:right w:w="108" w:type="dxa"/>
          </w:tblCellMar>
        </w:tblPrEx>
        <w:trPr>
          <w:trHeight w:val="142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83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按照深化事业单位改革的总体要求，创新事业单位体制机制，优化事业单位布局结构，激发事业单位发展活力，以改革推动解决发展不平衡不充分的问题。</w:t>
            </w:r>
          </w:p>
        </w:tc>
        <w:tc>
          <w:tcPr>
            <w:tcW w:w="7742"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会同职能部门推进五大领域综合行政执法改革，在相应机构加挂综合执法局或综合执法大队牌子，并明确职能。</w:t>
            </w:r>
          </w:p>
        </w:tc>
        <w:tc>
          <w:tcPr>
            <w:tcW w:w="11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shd w:val="clear" w:color="auto" w:fill="auto"/>
          <w:tblCellMar>
            <w:top w:w="0" w:type="dxa"/>
            <w:left w:w="108" w:type="dxa"/>
            <w:bottom w:w="0" w:type="dxa"/>
            <w:right w:w="108" w:type="dxa"/>
          </w:tblCellMar>
        </w:tblPrEx>
        <w:trPr>
          <w:trHeight w:val="375" w:hRule="atLeast"/>
        </w:trPr>
        <w:tc>
          <w:tcPr>
            <w:tcW w:w="12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四、年度绩效指标完成情况</w:t>
            </w: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一级指标</w:t>
            </w:r>
          </w:p>
        </w:tc>
        <w:tc>
          <w:tcPr>
            <w:tcW w:w="9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二级指标</w:t>
            </w:r>
          </w:p>
        </w:tc>
        <w:tc>
          <w:tcPr>
            <w:tcW w:w="435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三级指标</w:t>
            </w:r>
          </w:p>
        </w:tc>
        <w:tc>
          <w:tcPr>
            <w:tcW w:w="2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预期指标值</w:t>
            </w:r>
          </w:p>
        </w:tc>
        <w:tc>
          <w:tcPr>
            <w:tcW w:w="21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实际完成值</w:t>
            </w:r>
          </w:p>
        </w:tc>
        <w:tc>
          <w:tcPr>
            <w:tcW w:w="11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自评得分</w:t>
            </w:r>
          </w:p>
        </w:tc>
      </w:tr>
      <w:tr>
        <w:tblPrEx>
          <w:tblCellMar>
            <w:top w:w="0" w:type="dxa"/>
            <w:left w:w="108" w:type="dxa"/>
            <w:bottom w:w="0" w:type="dxa"/>
            <w:right w:w="108" w:type="dxa"/>
          </w:tblCellMar>
        </w:tblPrEx>
        <w:trPr>
          <w:trHeight w:val="1095"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产出指标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（80分）</w:t>
            </w:r>
          </w:p>
        </w:tc>
        <w:tc>
          <w:tcPr>
            <w:tcW w:w="93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数量指标</w:t>
            </w:r>
          </w:p>
        </w:tc>
        <w:tc>
          <w:tcPr>
            <w:tcW w:w="43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21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27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3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435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3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4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2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3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435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3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2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3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质量指标</w:t>
            </w:r>
          </w:p>
        </w:tc>
        <w:tc>
          <w:tcPr>
            <w:tcW w:w="43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事业单位分类率</w:t>
            </w:r>
          </w:p>
        </w:tc>
        <w:tc>
          <w:tcPr>
            <w:tcW w:w="2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21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tblPrEx>
          <w:shd w:val="clear" w:color="auto" w:fill="auto"/>
          <w:tblCellMar>
            <w:top w:w="0" w:type="dxa"/>
            <w:left w:w="108" w:type="dxa"/>
            <w:bottom w:w="0" w:type="dxa"/>
            <w:right w:w="108" w:type="dxa"/>
          </w:tblCellMar>
        </w:tblPrEx>
        <w:trPr>
          <w:trHeight w:val="27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3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43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公益类事业单位改革率</w:t>
            </w:r>
          </w:p>
        </w:tc>
        <w:tc>
          <w:tcPr>
            <w:tcW w:w="2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21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tblPrEx>
          <w:tblCellMar>
            <w:top w:w="0" w:type="dxa"/>
            <w:left w:w="108" w:type="dxa"/>
            <w:bottom w:w="0" w:type="dxa"/>
            <w:right w:w="108" w:type="dxa"/>
          </w:tblCellMar>
        </w:tblPrEx>
        <w:trPr>
          <w:trHeight w:val="27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3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43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经营类事业单位改革率</w:t>
            </w:r>
          </w:p>
        </w:tc>
        <w:tc>
          <w:tcPr>
            <w:tcW w:w="2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21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tblPrEx>
          <w:shd w:val="clear" w:color="auto" w:fill="auto"/>
          <w:tblCellMar>
            <w:top w:w="0" w:type="dxa"/>
            <w:left w:w="108" w:type="dxa"/>
            <w:bottom w:w="0" w:type="dxa"/>
            <w:right w:w="108" w:type="dxa"/>
          </w:tblCellMar>
        </w:tblPrEx>
        <w:trPr>
          <w:trHeight w:val="27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3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43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执法队伍改革率</w:t>
            </w:r>
          </w:p>
        </w:tc>
        <w:tc>
          <w:tcPr>
            <w:tcW w:w="2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21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tblPrEx>
          <w:shd w:val="clear" w:color="auto" w:fill="auto"/>
          <w:tblCellMar>
            <w:top w:w="0" w:type="dxa"/>
            <w:left w:w="108" w:type="dxa"/>
            <w:bottom w:w="0" w:type="dxa"/>
            <w:right w:w="108" w:type="dxa"/>
          </w:tblCellMar>
        </w:tblPrEx>
        <w:trPr>
          <w:trHeight w:val="27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3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时效指标</w:t>
            </w:r>
          </w:p>
        </w:tc>
        <w:tc>
          <w:tcPr>
            <w:tcW w:w="435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3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4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2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3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435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3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2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3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435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3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2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3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成本指标</w:t>
            </w:r>
          </w:p>
        </w:tc>
        <w:tc>
          <w:tcPr>
            <w:tcW w:w="435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3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4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2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3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435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3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2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3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435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3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2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54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预算执行率指标</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执行率</w:t>
            </w:r>
          </w:p>
        </w:tc>
        <w:tc>
          <w:tcPr>
            <w:tcW w:w="435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2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54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效益指标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（20分）</w:t>
            </w:r>
          </w:p>
        </w:tc>
        <w:tc>
          <w:tcPr>
            <w:tcW w:w="9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经济效益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4358" w:type="dxa"/>
            <w:gridSpan w:val="2"/>
            <w:vMerge w:val="restart"/>
            <w:tcBorders>
              <w:top w:val="single" w:color="000000" w:sz="4" w:space="0"/>
              <w:left w:val="single" w:color="000000" w:sz="4" w:space="0"/>
              <w:bottom w:val="nil"/>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31" w:type="dxa"/>
            <w:vMerge w:val="restart"/>
            <w:tcBorders>
              <w:top w:val="single" w:color="000000" w:sz="4" w:space="0"/>
              <w:left w:val="single" w:color="000000" w:sz="4" w:space="0"/>
              <w:bottom w:val="nil"/>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48" w:type="dxa"/>
            <w:vMerge w:val="restart"/>
            <w:tcBorders>
              <w:top w:val="single" w:color="000000" w:sz="4" w:space="0"/>
              <w:left w:val="single" w:color="000000" w:sz="4" w:space="0"/>
              <w:bottom w:val="nil"/>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21" w:type="dxa"/>
            <w:vMerge w:val="restart"/>
            <w:tcBorders>
              <w:top w:val="single" w:color="000000" w:sz="4" w:space="0"/>
              <w:left w:val="single" w:color="000000" w:sz="4" w:space="0"/>
              <w:bottom w:val="nil"/>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358" w:type="dxa"/>
            <w:gridSpan w:val="2"/>
            <w:vMerge w:val="continue"/>
            <w:tcBorders>
              <w:top w:val="single" w:color="000000" w:sz="4" w:space="0"/>
              <w:left w:val="single" w:color="000000" w:sz="4" w:space="0"/>
              <w:bottom w:val="nil"/>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31" w:type="dxa"/>
            <w:vMerge w:val="continue"/>
            <w:tcBorders>
              <w:top w:val="single" w:color="000000" w:sz="4" w:space="0"/>
              <w:left w:val="single" w:color="000000" w:sz="4" w:space="0"/>
              <w:bottom w:val="nil"/>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48" w:type="dxa"/>
            <w:vMerge w:val="continue"/>
            <w:tcBorders>
              <w:top w:val="single" w:color="000000" w:sz="4" w:space="0"/>
              <w:left w:val="single" w:color="000000" w:sz="4" w:space="0"/>
              <w:bottom w:val="nil"/>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21" w:type="dxa"/>
            <w:vMerge w:val="continue"/>
            <w:tcBorders>
              <w:top w:val="single" w:color="000000" w:sz="4" w:space="0"/>
              <w:left w:val="single" w:color="000000" w:sz="4" w:space="0"/>
              <w:bottom w:val="nil"/>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社会效益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435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事业单位分类改革任务完成率</w:t>
            </w:r>
          </w:p>
        </w:tc>
        <w:tc>
          <w:tcPr>
            <w:tcW w:w="213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214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2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tblPrEx>
          <w:shd w:val="clear" w:color="auto" w:fill="auto"/>
          <w:tblCellMar>
            <w:top w:w="0" w:type="dxa"/>
            <w:left w:w="108" w:type="dxa"/>
            <w:bottom w:w="0" w:type="dxa"/>
            <w:right w:w="108" w:type="dxa"/>
          </w:tblCellMar>
        </w:tblPrEx>
        <w:trPr>
          <w:trHeight w:val="27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35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213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21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2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35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213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21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2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可持续影响指标</w:t>
            </w:r>
          </w:p>
        </w:tc>
        <w:tc>
          <w:tcPr>
            <w:tcW w:w="4358" w:type="dxa"/>
            <w:gridSpan w:val="2"/>
            <w:vMerge w:val="restart"/>
            <w:tcBorders>
              <w:top w:val="single" w:color="000000" w:sz="4" w:space="0"/>
              <w:left w:val="single" w:color="000000" w:sz="4" w:space="0"/>
              <w:bottom w:val="nil"/>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31" w:type="dxa"/>
            <w:vMerge w:val="restart"/>
            <w:tcBorders>
              <w:top w:val="single" w:color="000000" w:sz="4" w:space="0"/>
              <w:left w:val="single" w:color="000000" w:sz="4" w:space="0"/>
              <w:bottom w:val="nil"/>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2148" w:type="dxa"/>
            <w:vMerge w:val="restart"/>
            <w:tcBorders>
              <w:top w:val="single" w:color="000000" w:sz="4" w:space="0"/>
              <w:left w:val="single" w:color="000000" w:sz="4" w:space="0"/>
              <w:bottom w:val="nil"/>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21" w:type="dxa"/>
            <w:vMerge w:val="restart"/>
            <w:tcBorders>
              <w:top w:val="single" w:color="000000" w:sz="4" w:space="0"/>
              <w:left w:val="single" w:color="000000" w:sz="4" w:space="0"/>
              <w:bottom w:val="nil"/>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358" w:type="dxa"/>
            <w:gridSpan w:val="2"/>
            <w:vMerge w:val="continue"/>
            <w:tcBorders>
              <w:top w:val="single" w:color="000000" w:sz="4" w:space="0"/>
              <w:left w:val="single" w:color="000000" w:sz="4" w:space="0"/>
              <w:bottom w:val="nil"/>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31" w:type="dxa"/>
            <w:vMerge w:val="continue"/>
            <w:tcBorders>
              <w:top w:val="single" w:color="000000" w:sz="4" w:space="0"/>
              <w:left w:val="single" w:color="000000" w:sz="4" w:space="0"/>
              <w:bottom w:val="nil"/>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2148" w:type="dxa"/>
            <w:vMerge w:val="continue"/>
            <w:tcBorders>
              <w:top w:val="single" w:color="000000" w:sz="4" w:space="0"/>
              <w:left w:val="single" w:color="000000" w:sz="4" w:space="0"/>
              <w:bottom w:val="nil"/>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21" w:type="dxa"/>
            <w:vMerge w:val="continue"/>
            <w:tcBorders>
              <w:top w:val="single" w:color="000000" w:sz="4" w:space="0"/>
              <w:left w:val="single" w:color="000000" w:sz="4" w:space="0"/>
              <w:bottom w:val="nil"/>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满意度指标</w:t>
            </w:r>
          </w:p>
        </w:tc>
        <w:tc>
          <w:tcPr>
            <w:tcW w:w="9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4358" w:type="dxa"/>
            <w:gridSpan w:val="2"/>
            <w:vMerge w:val="restart"/>
            <w:tcBorders>
              <w:top w:val="single" w:color="000000" w:sz="4" w:space="0"/>
              <w:left w:val="single" w:color="000000" w:sz="4" w:space="0"/>
              <w:bottom w:val="nil"/>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31" w:type="dxa"/>
            <w:vMerge w:val="restart"/>
            <w:tcBorders>
              <w:top w:val="single" w:color="000000" w:sz="4" w:space="0"/>
              <w:left w:val="single" w:color="000000" w:sz="4" w:space="0"/>
              <w:bottom w:val="nil"/>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48" w:type="dxa"/>
            <w:vMerge w:val="restart"/>
            <w:tcBorders>
              <w:top w:val="single" w:color="000000" w:sz="4" w:space="0"/>
              <w:left w:val="single" w:color="000000" w:sz="4" w:space="0"/>
              <w:bottom w:val="nil"/>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21" w:type="dxa"/>
            <w:vMerge w:val="restart"/>
            <w:tcBorders>
              <w:top w:val="single" w:color="000000" w:sz="4" w:space="0"/>
              <w:left w:val="single" w:color="000000" w:sz="4" w:space="0"/>
              <w:bottom w:val="nil"/>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358" w:type="dxa"/>
            <w:gridSpan w:val="2"/>
            <w:vMerge w:val="continue"/>
            <w:tcBorders>
              <w:top w:val="single" w:color="000000" w:sz="4" w:space="0"/>
              <w:left w:val="single" w:color="000000" w:sz="4" w:space="0"/>
              <w:bottom w:val="nil"/>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31" w:type="dxa"/>
            <w:vMerge w:val="continue"/>
            <w:tcBorders>
              <w:top w:val="single" w:color="000000" w:sz="4" w:space="0"/>
              <w:left w:val="single" w:color="000000" w:sz="4" w:space="0"/>
              <w:bottom w:val="nil"/>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148" w:type="dxa"/>
            <w:vMerge w:val="continue"/>
            <w:tcBorders>
              <w:top w:val="single" w:color="000000" w:sz="4" w:space="0"/>
              <w:left w:val="single" w:color="000000" w:sz="4" w:space="0"/>
              <w:bottom w:val="nil"/>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21" w:type="dxa"/>
            <w:vMerge w:val="continue"/>
            <w:tcBorders>
              <w:top w:val="single" w:color="000000" w:sz="4" w:space="0"/>
              <w:left w:val="single" w:color="000000" w:sz="4" w:space="0"/>
              <w:bottom w:val="nil"/>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58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总分</w:t>
            </w:r>
          </w:p>
        </w:tc>
        <w:tc>
          <w:tcPr>
            <w:tcW w:w="11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shd w:val="clear" w:color="auto" w:fill="auto"/>
          <w:tblCellMar>
            <w:top w:w="0" w:type="dxa"/>
            <w:left w:w="108" w:type="dxa"/>
            <w:bottom w:w="0" w:type="dxa"/>
            <w:right w:w="108" w:type="dxa"/>
          </w:tblCellMar>
        </w:tblPrEx>
        <w:trPr>
          <w:trHeight w:val="1005" w:hRule="atLeast"/>
        </w:trPr>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五、存在问题、原因及下一步整改措施</w:t>
            </w:r>
          </w:p>
        </w:tc>
        <w:tc>
          <w:tcPr>
            <w:tcW w:w="11701"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tblPrEx>
          <w:shd w:val="clear" w:color="auto" w:fill="auto"/>
          <w:tblCellMar>
            <w:top w:w="0" w:type="dxa"/>
            <w:left w:w="108" w:type="dxa"/>
            <w:bottom w:w="0" w:type="dxa"/>
            <w:right w:w="108" w:type="dxa"/>
          </w:tblCellMar>
        </w:tblPrEx>
        <w:trPr>
          <w:trHeight w:val="270" w:hRule="atLeast"/>
        </w:trPr>
        <w:tc>
          <w:tcPr>
            <w:tcW w:w="1271"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填报人：马爱杰</w:t>
            </w:r>
          </w:p>
        </w:tc>
        <w:tc>
          <w:tcPr>
            <w:tcW w:w="1010"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933"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895"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346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联系电话：88107177</w:t>
            </w:r>
          </w:p>
        </w:tc>
        <w:tc>
          <w:tcPr>
            <w:tcW w:w="2131"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2148"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121"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r>
    </w:tbl>
    <w:p>
      <w:pPr>
        <w:numPr>
          <w:ilvl w:val="0"/>
          <w:numId w:val="0"/>
        </w:numPr>
        <w:adjustRightInd w:val="0"/>
        <w:snapToGrid w:val="0"/>
        <w:spacing w:line="580" w:lineRule="exact"/>
        <w:ind w:left="630" w:leftChars="0"/>
        <w:rPr>
          <w:rFonts w:ascii="仿宋_GB2312" w:hAnsi="仿宋_GB2312" w:eastAsia="仿宋_GB2312" w:cs="仿宋_GB2312"/>
          <w:sz w:val="32"/>
          <w:szCs w:val="32"/>
        </w:rPr>
      </w:pPr>
    </w:p>
    <w:p>
      <w:pPr>
        <w:numPr>
          <w:ilvl w:val="0"/>
          <w:numId w:val="2"/>
        </w:numPr>
        <w:adjustRightInd w:val="0"/>
        <w:snapToGrid w:val="0"/>
        <w:spacing w:line="58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rPr>
        <w:t>事业单位管理项目自评综述：根据年初设定的绩效目标，事业单位管理项目绩效自评得分为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。项目绩效目标完成情况：对全区所有事业单位名称进行规范，事业单位不再使用委、办、局、处等名称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扎实做好事业单位法人登记管理，圆满完成事业单位法人年度报告。</w:t>
      </w:r>
    </w:p>
    <w:tbl>
      <w:tblPr>
        <w:tblStyle w:val="6"/>
        <w:tblW w:w="12972" w:type="dxa"/>
        <w:tblInd w:w="0" w:type="dxa"/>
        <w:shd w:val="clear" w:color="auto" w:fill="auto"/>
        <w:tblLayout w:type="fixed"/>
        <w:tblCellMar>
          <w:top w:w="0" w:type="dxa"/>
          <w:left w:w="108" w:type="dxa"/>
          <w:bottom w:w="0" w:type="dxa"/>
          <w:right w:w="108" w:type="dxa"/>
        </w:tblCellMar>
      </w:tblPr>
      <w:tblGrid>
        <w:gridCol w:w="1085"/>
        <w:gridCol w:w="926"/>
        <w:gridCol w:w="750"/>
        <w:gridCol w:w="775"/>
        <w:gridCol w:w="3138"/>
        <w:gridCol w:w="2670"/>
        <w:gridCol w:w="2667"/>
        <w:gridCol w:w="961"/>
      </w:tblGrid>
      <w:tr>
        <w:tblPrEx>
          <w:tblCellMar>
            <w:top w:w="0" w:type="dxa"/>
            <w:left w:w="108" w:type="dxa"/>
            <w:bottom w:w="0" w:type="dxa"/>
            <w:right w:w="108" w:type="dxa"/>
          </w:tblCellMar>
        </w:tblPrEx>
        <w:trPr>
          <w:trHeight w:val="270" w:hRule="atLeast"/>
        </w:trPr>
        <w:tc>
          <w:tcPr>
            <w:tcW w:w="12972" w:type="dxa"/>
            <w:gridSpan w:val="8"/>
            <w:vMerge w:val="restar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区级部门预算项目绩效自评表</w:t>
            </w:r>
          </w:p>
        </w:tc>
      </w:tr>
      <w:tr>
        <w:tblPrEx>
          <w:shd w:val="clear" w:color="auto" w:fill="auto"/>
          <w:tblCellMar>
            <w:top w:w="0" w:type="dxa"/>
            <w:left w:w="108" w:type="dxa"/>
            <w:bottom w:w="0" w:type="dxa"/>
            <w:right w:w="108" w:type="dxa"/>
          </w:tblCellMar>
        </w:tblPrEx>
        <w:trPr>
          <w:trHeight w:val="270" w:hRule="atLeast"/>
        </w:trPr>
        <w:tc>
          <w:tcPr>
            <w:tcW w:w="12972" w:type="dxa"/>
            <w:gridSpan w:val="8"/>
            <w:vMerge w:val="continue"/>
            <w:tcBorders>
              <w:top w:val="nil"/>
              <w:left w:val="nil"/>
              <w:bottom w:val="nil"/>
              <w:right w:val="nil"/>
            </w:tcBorders>
            <w:shd w:val="clear" w:color="auto" w:fill="auto"/>
            <w:noWrap/>
            <w:vAlign w:val="center"/>
          </w:tcPr>
          <w:p>
            <w:pPr>
              <w:jc w:val="center"/>
              <w:rPr>
                <w:rFonts w:hint="eastAsia" w:ascii="宋体" w:hAnsi="宋体" w:eastAsia="宋体" w:cs="宋体"/>
                <w:b/>
                <w:bCs/>
                <w:i w:val="0"/>
                <w:iCs w:val="0"/>
                <w:color w:val="000000"/>
                <w:sz w:val="36"/>
                <w:szCs w:val="36"/>
                <w:u w:val="none"/>
              </w:rPr>
            </w:pPr>
          </w:p>
        </w:tc>
      </w:tr>
      <w:tr>
        <w:tblPrEx>
          <w:shd w:val="clear" w:color="auto" w:fill="auto"/>
          <w:tblCellMar>
            <w:top w:w="0" w:type="dxa"/>
            <w:left w:w="108" w:type="dxa"/>
            <w:bottom w:w="0" w:type="dxa"/>
            <w:right w:w="108" w:type="dxa"/>
          </w:tblCellMar>
        </w:tblPrEx>
        <w:trPr>
          <w:trHeight w:val="300" w:hRule="atLeast"/>
        </w:trPr>
        <w:tc>
          <w:tcPr>
            <w:tcW w:w="12972"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2019  年度）</w:t>
            </w:r>
          </w:p>
        </w:tc>
      </w:tr>
      <w:tr>
        <w:tblPrEx>
          <w:shd w:val="clear" w:color="auto" w:fill="auto"/>
          <w:tblCellMar>
            <w:top w:w="0" w:type="dxa"/>
            <w:left w:w="108" w:type="dxa"/>
            <w:bottom w:w="0" w:type="dxa"/>
            <w:right w:w="108" w:type="dxa"/>
          </w:tblCellMar>
        </w:tblPrEx>
        <w:trPr>
          <w:trHeight w:val="270" w:hRule="atLeast"/>
        </w:trPr>
        <w:tc>
          <w:tcPr>
            <w:tcW w:w="108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填报单位：</w:t>
            </w:r>
          </w:p>
        </w:tc>
        <w:tc>
          <w:tcPr>
            <w:tcW w:w="92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区委编办</w:t>
            </w:r>
          </w:p>
        </w:tc>
        <w:tc>
          <w:tcPr>
            <w:tcW w:w="750"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775"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3138"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2670"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3628" w:type="dxa"/>
            <w:gridSpan w:val="2"/>
            <w:tcBorders>
              <w:top w:val="nil"/>
              <w:left w:val="nil"/>
              <w:bottom w:val="single" w:color="000000" w:sz="4" w:space="0"/>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单位金额：万元</w:t>
            </w:r>
          </w:p>
        </w:tc>
      </w:tr>
      <w:tr>
        <w:tblPrEx>
          <w:shd w:val="clear" w:color="auto" w:fill="auto"/>
          <w:tblCellMar>
            <w:top w:w="0" w:type="dxa"/>
            <w:left w:w="108" w:type="dxa"/>
            <w:bottom w:w="0" w:type="dxa"/>
            <w:right w:w="108" w:type="dxa"/>
          </w:tblCellMar>
        </w:tblPrEx>
        <w:trPr>
          <w:trHeight w:val="540" w:hRule="atLeast"/>
        </w:trPr>
        <w:tc>
          <w:tcPr>
            <w:tcW w:w="10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一、基本情况</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项目名称</w:t>
            </w:r>
          </w:p>
        </w:tc>
        <w:tc>
          <w:tcPr>
            <w:tcW w:w="152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事业单位管理</w:t>
            </w:r>
          </w:p>
        </w:tc>
        <w:tc>
          <w:tcPr>
            <w:tcW w:w="31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实施（主管单位）</w:t>
            </w:r>
          </w:p>
        </w:tc>
        <w:tc>
          <w:tcPr>
            <w:tcW w:w="629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区委编办</w:t>
            </w:r>
          </w:p>
        </w:tc>
      </w:tr>
      <w:tr>
        <w:tblPrEx>
          <w:shd w:val="clear" w:color="auto" w:fill="auto"/>
          <w:tblCellMar>
            <w:top w:w="0" w:type="dxa"/>
            <w:left w:w="108" w:type="dxa"/>
            <w:bottom w:w="0" w:type="dxa"/>
            <w:right w:w="108" w:type="dxa"/>
          </w:tblCellMar>
        </w:tblPrEx>
        <w:trPr>
          <w:trHeight w:val="270" w:hRule="atLeast"/>
        </w:trPr>
        <w:tc>
          <w:tcPr>
            <w:tcW w:w="10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二、预算执行</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167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预算安排情况（调整后）</w:t>
            </w:r>
          </w:p>
        </w:tc>
        <w:tc>
          <w:tcPr>
            <w:tcW w:w="391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资金到位情况</w:t>
            </w:r>
          </w:p>
        </w:tc>
        <w:tc>
          <w:tcPr>
            <w:tcW w:w="5337"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资金执行情况</w:t>
            </w:r>
          </w:p>
        </w:tc>
        <w:tc>
          <w:tcPr>
            <w:tcW w:w="9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预算执行进度</w:t>
            </w:r>
          </w:p>
        </w:tc>
      </w:tr>
      <w:tr>
        <w:tblPrEx>
          <w:shd w:val="clear" w:color="auto" w:fill="auto"/>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到位数：</w:t>
            </w:r>
          </w:p>
        </w:tc>
        <w:tc>
          <w:tcPr>
            <w:tcW w:w="31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执行数：</w:t>
            </w:r>
          </w:p>
        </w:tc>
        <w:tc>
          <w:tcPr>
            <w:tcW w:w="26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9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shd w:val="clear" w:color="auto" w:fill="auto"/>
          <w:tblCellMar>
            <w:top w:w="0" w:type="dxa"/>
            <w:left w:w="108" w:type="dxa"/>
            <w:bottom w:w="0" w:type="dxa"/>
            <w:right w:w="108" w:type="dxa"/>
          </w:tblCellMar>
        </w:tblPrEx>
        <w:trPr>
          <w:trHeight w:val="54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31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6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26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31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26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0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三、目标完成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2451"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年度预算目标</w:t>
            </w:r>
          </w:p>
        </w:tc>
        <w:tc>
          <w:tcPr>
            <w:tcW w:w="847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具体完成情况</w:t>
            </w:r>
          </w:p>
        </w:tc>
        <w:tc>
          <w:tcPr>
            <w:tcW w:w="9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总体完成率</w:t>
            </w:r>
          </w:p>
        </w:tc>
      </w:tr>
      <w:tr>
        <w:tblPrEx>
          <w:shd w:val="clear" w:color="auto" w:fill="auto"/>
          <w:tblCellMar>
            <w:top w:w="0" w:type="dxa"/>
            <w:left w:w="108" w:type="dxa"/>
            <w:bottom w:w="0" w:type="dxa"/>
            <w:right w:w="108" w:type="dxa"/>
          </w:tblCellMar>
        </w:tblPrEx>
        <w:trPr>
          <w:trHeight w:val="130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451"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事业单位管理规范有序。</w:t>
            </w:r>
          </w:p>
        </w:tc>
        <w:tc>
          <w:tcPr>
            <w:tcW w:w="847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对全区所有事业单位名称进行规范，事业单位不再使用委、办、局、处等名称。扎实做好事业单位法人登记管理，圆满完成事业单位法人年度报告。</w:t>
            </w:r>
          </w:p>
        </w:tc>
        <w:tc>
          <w:tcPr>
            <w:tcW w:w="9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shd w:val="clear" w:color="auto" w:fill="auto"/>
          <w:tblCellMar>
            <w:top w:w="0" w:type="dxa"/>
            <w:left w:w="108" w:type="dxa"/>
            <w:bottom w:w="0" w:type="dxa"/>
            <w:right w:w="108" w:type="dxa"/>
          </w:tblCellMar>
        </w:tblPrEx>
        <w:trPr>
          <w:trHeight w:val="375" w:hRule="atLeast"/>
        </w:trPr>
        <w:tc>
          <w:tcPr>
            <w:tcW w:w="10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四、年度绩效指标完成情况</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一级指标</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二级指标</w:t>
            </w:r>
          </w:p>
        </w:tc>
        <w:tc>
          <w:tcPr>
            <w:tcW w:w="391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三级指标</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预期指标值</w:t>
            </w:r>
          </w:p>
        </w:tc>
        <w:tc>
          <w:tcPr>
            <w:tcW w:w="26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实际完成值</w:t>
            </w:r>
          </w:p>
        </w:tc>
        <w:tc>
          <w:tcPr>
            <w:tcW w:w="9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自评得分</w:t>
            </w:r>
          </w:p>
        </w:tc>
      </w:tr>
      <w:tr>
        <w:tblPrEx>
          <w:shd w:val="clear" w:color="auto" w:fill="auto"/>
          <w:tblCellMar>
            <w:top w:w="0" w:type="dxa"/>
            <w:left w:w="108" w:type="dxa"/>
            <w:bottom w:w="0" w:type="dxa"/>
            <w:right w:w="108" w:type="dxa"/>
          </w:tblCellMar>
        </w:tblPrEx>
        <w:trPr>
          <w:trHeight w:val="28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产出指标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（60分）</w:t>
            </w:r>
          </w:p>
        </w:tc>
        <w:tc>
          <w:tcPr>
            <w:tcW w:w="75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数量指标</w:t>
            </w:r>
          </w:p>
        </w:tc>
        <w:tc>
          <w:tcPr>
            <w:tcW w:w="391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6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26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6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26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26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5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质量指标</w:t>
            </w:r>
          </w:p>
        </w:tc>
        <w:tc>
          <w:tcPr>
            <w:tcW w:w="391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事业单位活动审查率</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26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tblPrEx>
          <w:shd w:val="clear" w:color="auto" w:fill="auto"/>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91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事业单位资金审查率</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26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tblPrEx>
          <w:shd w:val="clear" w:color="auto" w:fill="auto"/>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91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事业单位评估审查率</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26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tblPrEx>
          <w:shd w:val="clear" w:color="auto" w:fill="auto"/>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5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时效指标</w:t>
            </w:r>
          </w:p>
        </w:tc>
        <w:tc>
          <w:tcPr>
            <w:tcW w:w="391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6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26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6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26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26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5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成本指标</w:t>
            </w:r>
          </w:p>
        </w:tc>
        <w:tc>
          <w:tcPr>
            <w:tcW w:w="391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6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26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6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26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26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54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预算执行率指标</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执行率</w:t>
            </w:r>
          </w:p>
        </w:tc>
        <w:tc>
          <w:tcPr>
            <w:tcW w:w="391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6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9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54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效益指标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（40分）</w:t>
            </w:r>
          </w:p>
        </w:tc>
        <w:tc>
          <w:tcPr>
            <w:tcW w:w="7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经济效益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391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6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26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6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26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26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社会效益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391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事业单位事中事后监管抽查率</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26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tblPrEx>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91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年度报告报送率</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26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tblPrEx>
          <w:shd w:val="clear" w:color="auto" w:fill="auto"/>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可持续影响指标</w:t>
            </w:r>
          </w:p>
        </w:tc>
        <w:tc>
          <w:tcPr>
            <w:tcW w:w="391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6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26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6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26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26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满意度指标</w:t>
            </w:r>
          </w:p>
        </w:tc>
        <w:tc>
          <w:tcPr>
            <w:tcW w:w="7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391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6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26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6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26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c>
          <w:tcPr>
            <w:tcW w:w="26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92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总分</w:t>
            </w:r>
          </w:p>
        </w:tc>
        <w:tc>
          <w:tcPr>
            <w:tcW w:w="9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shd w:val="clear" w:color="auto" w:fill="auto"/>
          <w:tblCellMar>
            <w:top w:w="0" w:type="dxa"/>
            <w:left w:w="108" w:type="dxa"/>
            <w:bottom w:w="0" w:type="dxa"/>
            <w:right w:w="108" w:type="dxa"/>
          </w:tblCellMar>
        </w:tblPrEx>
        <w:trPr>
          <w:trHeight w:val="1005" w:hRule="atLeast"/>
        </w:trPr>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五、存在问题、原因及下一步整改措施</w:t>
            </w:r>
          </w:p>
        </w:tc>
        <w:tc>
          <w:tcPr>
            <w:tcW w:w="1188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tblPrEx>
          <w:shd w:val="clear" w:color="auto" w:fill="auto"/>
          <w:tblCellMar>
            <w:top w:w="0" w:type="dxa"/>
            <w:left w:w="108" w:type="dxa"/>
            <w:bottom w:w="0" w:type="dxa"/>
            <w:right w:w="108" w:type="dxa"/>
          </w:tblCellMar>
        </w:tblPrEx>
        <w:trPr>
          <w:trHeight w:val="270" w:hRule="atLeast"/>
        </w:trPr>
        <w:tc>
          <w:tcPr>
            <w:tcW w:w="108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填报人：马爱杰</w:t>
            </w:r>
          </w:p>
        </w:tc>
        <w:tc>
          <w:tcPr>
            <w:tcW w:w="926"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750"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775"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3138"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联系电话：</w:t>
            </w:r>
          </w:p>
        </w:tc>
        <w:tc>
          <w:tcPr>
            <w:tcW w:w="2670" w:type="dxa"/>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88107177</w:t>
            </w:r>
          </w:p>
        </w:tc>
        <w:tc>
          <w:tcPr>
            <w:tcW w:w="2667"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961"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r>
    </w:tbl>
    <w:p>
      <w:pPr>
        <w:numPr>
          <w:ilvl w:val="0"/>
          <w:numId w:val="0"/>
        </w:numPr>
        <w:adjustRightInd w:val="0"/>
        <w:snapToGrid w:val="0"/>
        <w:spacing w:line="580" w:lineRule="exact"/>
        <w:ind w:left="630" w:leftChars="0"/>
        <w:rPr>
          <w:rFonts w:ascii="仿宋_GB2312" w:hAnsi="仿宋_GB2312" w:eastAsia="仿宋_GB2312" w:cs="仿宋_GB2312"/>
          <w:sz w:val="32"/>
          <w:szCs w:val="32"/>
        </w:rPr>
      </w:pPr>
    </w:p>
    <w:p>
      <w:pPr>
        <w:numPr>
          <w:ilvl w:val="0"/>
          <w:numId w:val="2"/>
        </w:numPr>
        <w:adjustRightInd w:val="0"/>
        <w:snapToGrid w:val="0"/>
        <w:spacing w:line="58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rPr>
        <w:t>中文域名工作</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自评综述：根据年初设定的绩效目标，中文域名工作项目绩效自评得分为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。项目绩效目标完成情况：中文域名注册和网络标识“双覆盖”。</w:t>
      </w:r>
    </w:p>
    <w:tbl>
      <w:tblPr>
        <w:tblStyle w:val="6"/>
        <w:tblW w:w="12972" w:type="dxa"/>
        <w:tblInd w:w="0" w:type="dxa"/>
        <w:shd w:val="clear" w:color="auto" w:fill="auto"/>
        <w:tblLayout w:type="fixed"/>
        <w:tblCellMar>
          <w:top w:w="0" w:type="dxa"/>
          <w:left w:w="108" w:type="dxa"/>
          <w:bottom w:w="0" w:type="dxa"/>
          <w:right w:w="108" w:type="dxa"/>
        </w:tblCellMar>
      </w:tblPr>
      <w:tblGrid>
        <w:gridCol w:w="1891"/>
        <w:gridCol w:w="1733"/>
        <w:gridCol w:w="1372"/>
        <w:gridCol w:w="1489"/>
        <w:gridCol w:w="1549"/>
        <w:gridCol w:w="1554"/>
        <w:gridCol w:w="1554"/>
        <w:gridCol w:w="1830"/>
      </w:tblGrid>
      <w:tr>
        <w:tblPrEx>
          <w:shd w:val="clear" w:color="auto" w:fill="auto"/>
          <w:tblCellMar>
            <w:top w:w="0" w:type="dxa"/>
            <w:left w:w="108" w:type="dxa"/>
            <w:bottom w:w="0" w:type="dxa"/>
            <w:right w:w="108" w:type="dxa"/>
          </w:tblCellMar>
        </w:tblPrEx>
        <w:trPr>
          <w:trHeight w:val="270" w:hRule="atLeast"/>
        </w:trPr>
        <w:tc>
          <w:tcPr>
            <w:tcW w:w="12972" w:type="dxa"/>
            <w:gridSpan w:val="8"/>
            <w:vMerge w:val="restar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区级部门预算项目绩效自评表</w:t>
            </w:r>
          </w:p>
        </w:tc>
      </w:tr>
      <w:tr>
        <w:tblPrEx>
          <w:shd w:val="clear" w:color="auto" w:fill="auto"/>
          <w:tblCellMar>
            <w:top w:w="0" w:type="dxa"/>
            <w:left w:w="108" w:type="dxa"/>
            <w:bottom w:w="0" w:type="dxa"/>
            <w:right w:w="108" w:type="dxa"/>
          </w:tblCellMar>
        </w:tblPrEx>
        <w:trPr>
          <w:trHeight w:val="270" w:hRule="atLeast"/>
        </w:trPr>
        <w:tc>
          <w:tcPr>
            <w:tcW w:w="12972" w:type="dxa"/>
            <w:gridSpan w:val="8"/>
            <w:vMerge w:val="continue"/>
            <w:tcBorders>
              <w:top w:val="nil"/>
              <w:left w:val="nil"/>
              <w:bottom w:val="nil"/>
              <w:right w:val="nil"/>
            </w:tcBorders>
            <w:shd w:val="clear" w:color="auto" w:fill="auto"/>
            <w:noWrap/>
            <w:vAlign w:val="center"/>
          </w:tcPr>
          <w:p>
            <w:pPr>
              <w:jc w:val="center"/>
              <w:rPr>
                <w:rFonts w:hint="eastAsia" w:ascii="宋体" w:hAnsi="宋体" w:eastAsia="宋体" w:cs="宋体"/>
                <w:b/>
                <w:bCs/>
                <w:i w:val="0"/>
                <w:iCs w:val="0"/>
                <w:color w:val="000000"/>
                <w:sz w:val="36"/>
                <w:szCs w:val="36"/>
                <w:u w:val="none"/>
              </w:rPr>
            </w:pPr>
          </w:p>
        </w:tc>
      </w:tr>
      <w:tr>
        <w:tblPrEx>
          <w:shd w:val="clear" w:color="auto" w:fill="auto"/>
          <w:tblCellMar>
            <w:top w:w="0" w:type="dxa"/>
            <w:left w:w="108" w:type="dxa"/>
            <w:bottom w:w="0" w:type="dxa"/>
            <w:right w:w="108" w:type="dxa"/>
          </w:tblCellMar>
        </w:tblPrEx>
        <w:trPr>
          <w:trHeight w:val="300" w:hRule="atLeast"/>
        </w:trPr>
        <w:tc>
          <w:tcPr>
            <w:tcW w:w="12972"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（2019年度）</w:t>
            </w:r>
          </w:p>
        </w:tc>
      </w:tr>
      <w:tr>
        <w:tblPrEx>
          <w:shd w:val="clear" w:color="auto" w:fill="auto"/>
          <w:tblCellMar>
            <w:top w:w="0" w:type="dxa"/>
            <w:left w:w="108" w:type="dxa"/>
            <w:bottom w:w="0" w:type="dxa"/>
            <w:right w:w="108" w:type="dxa"/>
          </w:tblCellMar>
        </w:tblPrEx>
        <w:trPr>
          <w:trHeight w:val="270" w:hRule="atLeast"/>
        </w:trPr>
        <w:tc>
          <w:tcPr>
            <w:tcW w:w="1891"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填报单位：</w:t>
            </w:r>
          </w:p>
        </w:tc>
        <w:tc>
          <w:tcPr>
            <w:tcW w:w="173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区委编办</w:t>
            </w:r>
          </w:p>
        </w:tc>
        <w:tc>
          <w:tcPr>
            <w:tcW w:w="1372"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489"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549"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3384" w:type="dxa"/>
            <w:gridSpan w:val="2"/>
            <w:tcBorders>
              <w:top w:val="nil"/>
              <w:left w:val="nil"/>
              <w:bottom w:val="single" w:color="000000" w:sz="4" w:space="0"/>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单位金额：万元</w:t>
            </w:r>
          </w:p>
        </w:tc>
      </w:tr>
      <w:tr>
        <w:tblPrEx>
          <w:shd w:val="clear" w:color="auto" w:fill="auto"/>
          <w:tblCellMar>
            <w:top w:w="0" w:type="dxa"/>
            <w:left w:w="108" w:type="dxa"/>
            <w:bottom w:w="0" w:type="dxa"/>
            <w:right w:w="108" w:type="dxa"/>
          </w:tblCellMar>
        </w:tblPrEx>
        <w:trPr>
          <w:trHeight w:val="540" w:hRule="atLeast"/>
        </w:trPr>
        <w:tc>
          <w:tcPr>
            <w:tcW w:w="18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一、基本情况</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项目名称</w:t>
            </w:r>
          </w:p>
        </w:tc>
        <w:tc>
          <w:tcPr>
            <w:tcW w:w="286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中文域名工作经费</w:t>
            </w:r>
          </w:p>
        </w:tc>
        <w:tc>
          <w:tcPr>
            <w:tcW w:w="1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实施（主管单位）</w:t>
            </w:r>
          </w:p>
        </w:tc>
        <w:tc>
          <w:tcPr>
            <w:tcW w:w="493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区委编办</w:t>
            </w:r>
          </w:p>
        </w:tc>
      </w:tr>
      <w:tr>
        <w:tblPrEx>
          <w:shd w:val="clear" w:color="auto" w:fill="auto"/>
          <w:tblCellMar>
            <w:top w:w="0" w:type="dxa"/>
            <w:left w:w="108" w:type="dxa"/>
            <w:bottom w:w="0" w:type="dxa"/>
            <w:right w:w="108" w:type="dxa"/>
          </w:tblCellMar>
        </w:tblPrEx>
        <w:trPr>
          <w:trHeight w:val="270" w:hRule="atLeast"/>
        </w:trPr>
        <w:tc>
          <w:tcPr>
            <w:tcW w:w="18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二、预算执行</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310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预算安排情况（调整后）</w:t>
            </w: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资金到位情况</w:t>
            </w:r>
          </w:p>
        </w:tc>
        <w:tc>
          <w:tcPr>
            <w:tcW w:w="310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资金执行情况</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预算执行进度</w:t>
            </w: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13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到位数：</w:t>
            </w:r>
          </w:p>
        </w:tc>
        <w:tc>
          <w:tcPr>
            <w:tcW w:w="1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w:t>
            </w: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执行数：</w:t>
            </w: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w:t>
            </w:r>
          </w:p>
        </w:tc>
        <w:tc>
          <w:tcPr>
            <w:tcW w:w="18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shd w:val="clear" w:color="auto" w:fill="auto"/>
          <w:tblCellMar>
            <w:top w:w="0" w:type="dxa"/>
            <w:left w:w="108" w:type="dxa"/>
            <w:bottom w:w="0" w:type="dxa"/>
            <w:right w:w="108" w:type="dxa"/>
          </w:tblCellMar>
        </w:tblPrEx>
        <w:trPr>
          <w:trHeight w:val="54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13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w:t>
            </w:r>
          </w:p>
        </w:tc>
        <w:tc>
          <w:tcPr>
            <w:tcW w:w="14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1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w:t>
            </w:r>
          </w:p>
        </w:tc>
        <w:tc>
          <w:tcPr>
            <w:tcW w:w="15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w:t>
            </w:r>
          </w:p>
        </w:tc>
        <w:tc>
          <w:tcPr>
            <w:tcW w:w="1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13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1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三、目标完成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4594"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年度预算目标</w:t>
            </w:r>
          </w:p>
        </w:tc>
        <w:tc>
          <w:tcPr>
            <w:tcW w:w="46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具体完成情况</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总体完成率</w:t>
            </w:r>
          </w:p>
        </w:tc>
      </w:tr>
      <w:tr>
        <w:tblPrEx>
          <w:shd w:val="clear" w:color="auto" w:fill="auto"/>
          <w:tblCellMar>
            <w:top w:w="0" w:type="dxa"/>
            <w:left w:w="108" w:type="dxa"/>
            <w:bottom w:w="0" w:type="dxa"/>
            <w:right w:w="108" w:type="dxa"/>
          </w:tblCellMar>
        </w:tblPrEx>
        <w:trPr>
          <w:trHeight w:val="435"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594"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中文域名注册和网络标识“双覆盖”</w:t>
            </w:r>
          </w:p>
        </w:tc>
        <w:tc>
          <w:tcPr>
            <w:tcW w:w="46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全部完成</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shd w:val="clear" w:color="auto" w:fill="auto"/>
          <w:tblCellMar>
            <w:top w:w="0" w:type="dxa"/>
            <w:left w:w="108" w:type="dxa"/>
            <w:bottom w:w="0" w:type="dxa"/>
            <w:right w:w="108" w:type="dxa"/>
          </w:tblCellMar>
        </w:tblPrEx>
        <w:trPr>
          <w:trHeight w:val="375" w:hRule="atLeast"/>
        </w:trPr>
        <w:tc>
          <w:tcPr>
            <w:tcW w:w="18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四、年度绩效指标完成情况</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一级指标</w:t>
            </w:r>
          </w:p>
        </w:tc>
        <w:tc>
          <w:tcPr>
            <w:tcW w:w="13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二级指标</w:t>
            </w: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三级指标</w:t>
            </w: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预期指标值</w:t>
            </w: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实际完成值</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自评得分</w:t>
            </w:r>
          </w:p>
        </w:tc>
      </w:tr>
      <w:tr>
        <w:tblPrEx>
          <w:shd w:val="clear" w:color="auto" w:fill="auto"/>
          <w:tblCellMar>
            <w:top w:w="0" w:type="dxa"/>
            <w:left w:w="108" w:type="dxa"/>
            <w:bottom w:w="0" w:type="dxa"/>
            <w:right w:w="108" w:type="dxa"/>
          </w:tblCellMar>
        </w:tblPrEx>
        <w:trPr>
          <w:trHeight w:val="1095"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产出指标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（40分）</w:t>
            </w:r>
          </w:p>
        </w:tc>
        <w:tc>
          <w:tcPr>
            <w:tcW w:w="137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数量指标</w:t>
            </w: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中文域名注册率</w:t>
            </w:r>
          </w:p>
        </w:tc>
        <w:tc>
          <w:tcPr>
            <w:tcW w:w="15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5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质量指标</w:t>
            </w: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中文域名挂标率</w:t>
            </w: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时效指标</w:t>
            </w: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成本指标</w:t>
            </w: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54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预算执行率指标（10分）</w:t>
            </w:r>
          </w:p>
        </w:tc>
        <w:tc>
          <w:tcPr>
            <w:tcW w:w="13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执行率</w:t>
            </w: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10.8万元</w:t>
            </w: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shd w:val="clear" w:color="auto" w:fill="auto"/>
          <w:tblCellMar>
            <w:top w:w="0" w:type="dxa"/>
            <w:left w:w="108" w:type="dxa"/>
            <w:bottom w:w="0" w:type="dxa"/>
            <w:right w:w="108" w:type="dxa"/>
          </w:tblCellMar>
        </w:tblPrEx>
        <w:trPr>
          <w:trHeight w:val="54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效益指标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（40分）</w:t>
            </w:r>
          </w:p>
        </w:tc>
        <w:tc>
          <w:tcPr>
            <w:tcW w:w="13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经济效益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社会效益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是否“双覆盖”</w:t>
            </w: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可持续影响指标</w:t>
            </w: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（10分）</w:t>
            </w:r>
          </w:p>
        </w:tc>
        <w:tc>
          <w:tcPr>
            <w:tcW w:w="13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服务对象满意度</w:t>
            </w: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5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270" w:hRule="atLeast"/>
        </w:trPr>
        <w:tc>
          <w:tcPr>
            <w:tcW w:w="1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25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总分</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shd w:val="clear" w:color="auto" w:fill="auto"/>
          <w:tblCellMar>
            <w:top w:w="0" w:type="dxa"/>
            <w:left w:w="108" w:type="dxa"/>
            <w:bottom w:w="0" w:type="dxa"/>
            <w:right w:w="108" w:type="dxa"/>
          </w:tblCellMar>
        </w:tblPrEx>
        <w:trPr>
          <w:trHeight w:val="1005" w:hRule="atLeast"/>
        </w:trPr>
        <w:tc>
          <w:tcPr>
            <w:tcW w:w="18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五、存在问题、原因及下一步整改措施</w:t>
            </w:r>
          </w:p>
        </w:tc>
        <w:tc>
          <w:tcPr>
            <w:tcW w:w="11081"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tblPrEx>
          <w:shd w:val="clear" w:color="auto" w:fill="auto"/>
          <w:tblCellMar>
            <w:top w:w="0" w:type="dxa"/>
            <w:left w:w="108" w:type="dxa"/>
            <w:bottom w:w="0" w:type="dxa"/>
            <w:right w:w="108" w:type="dxa"/>
          </w:tblCellMar>
        </w:tblPrEx>
        <w:trPr>
          <w:trHeight w:val="270" w:hRule="atLeast"/>
        </w:trPr>
        <w:tc>
          <w:tcPr>
            <w:tcW w:w="1891"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填报人：</w:t>
            </w:r>
          </w:p>
        </w:tc>
        <w:tc>
          <w:tcPr>
            <w:tcW w:w="1733"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陈晓光</w:t>
            </w:r>
          </w:p>
        </w:tc>
        <w:tc>
          <w:tcPr>
            <w:tcW w:w="1372"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489"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549"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联系电话：</w:t>
            </w:r>
          </w:p>
        </w:tc>
        <w:tc>
          <w:tcPr>
            <w:tcW w:w="1554" w:type="dxa"/>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88165578</w:t>
            </w:r>
          </w:p>
        </w:tc>
        <w:tc>
          <w:tcPr>
            <w:tcW w:w="1554"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r>
    </w:tbl>
    <w:p>
      <w:pPr>
        <w:numPr>
          <w:ilvl w:val="0"/>
          <w:numId w:val="0"/>
        </w:numPr>
        <w:adjustRightInd w:val="0"/>
        <w:snapToGrid w:val="0"/>
        <w:spacing w:line="580" w:lineRule="exact"/>
        <w:ind w:left="630" w:leftChars="0"/>
        <w:rPr>
          <w:rFonts w:hint="eastAsia" w:ascii="仿宋_GB2312" w:hAnsi="仿宋_GB2312" w:eastAsia="仿宋_GB2312" w:cs="仿宋_GB2312"/>
          <w:b/>
          <w:bCs/>
          <w:sz w:val="32"/>
          <w:szCs w:val="32"/>
          <w:lang w:val="en-US" w:eastAsia="zh-CN"/>
        </w:rPr>
      </w:pPr>
    </w:p>
    <w:p>
      <w:pPr>
        <w:numPr>
          <w:ilvl w:val="0"/>
          <w:numId w:val="0"/>
        </w:numPr>
        <w:adjustRightInd w:val="0"/>
        <w:snapToGrid w:val="0"/>
        <w:spacing w:line="58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财政评价项目绩效评价结果</w:t>
      </w:r>
    </w:p>
    <w:p>
      <w:pPr>
        <w:widowControl w:val="0"/>
        <w:numPr>
          <w:ilvl w:val="0"/>
          <w:numId w:val="0"/>
        </w:numPr>
        <w:adjustRightInd w:val="0"/>
        <w:snapToGrid w:val="0"/>
        <w:spacing w:line="580" w:lineRule="exact"/>
        <w:ind w:firstLine="960" w:firstLineChars="300"/>
        <w:jc w:val="both"/>
        <w:rPr>
          <w:rFonts w:hint="eastAsia" w:ascii="仿宋_GB2312" w:hAnsi="仿宋_GB2312" w:eastAsia="仿宋_GB2312" w:cs="仿宋_GB2312"/>
          <w:b/>
          <w:bCs/>
          <w:sz w:val="32"/>
          <w:szCs w:val="32"/>
        </w:rPr>
        <w:sectPr>
          <w:type w:val="continuous"/>
          <w:pgSz w:w="16838" w:h="11906" w:orient="landscape"/>
          <w:pgMar w:top="1587" w:right="2098" w:bottom="1474" w:left="1984" w:header="851" w:footer="992" w:gutter="0"/>
          <w:pgNumType w:fmt="numberInDash"/>
          <w:cols w:space="0" w:num="1"/>
          <w:rtlGutter w:val="0"/>
          <w:docGrid w:type="lines" w:linePitch="315" w:charSpace="0"/>
        </w:sectPr>
      </w:pPr>
      <w:r>
        <w:rPr>
          <w:rFonts w:hint="eastAsia" w:ascii="仿宋_GB2312" w:hAnsi="仿宋_GB2312" w:eastAsia="仿宋_GB2312" w:cs="仿宋_GB2312"/>
          <w:b w:val="0"/>
          <w:bCs w:val="0"/>
          <w:sz w:val="32"/>
          <w:szCs w:val="32"/>
          <w:lang w:val="en-US" w:eastAsia="zh-CN"/>
        </w:rPr>
        <w:t>本部门无</w:t>
      </w:r>
      <w:r>
        <w:rPr>
          <w:rFonts w:hint="eastAsia" w:ascii="仿宋_GB2312" w:hAnsi="仿宋_GB2312" w:eastAsia="仿宋_GB2312" w:cs="仿宋_GB2312"/>
          <w:b w:val="0"/>
          <w:bCs w:val="0"/>
          <w:sz w:val="32"/>
          <w:szCs w:val="32"/>
        </w:rPr>
        <w:t>财政评价项目</w:t>
      </w:r>
      <w:r>
        <w:rPr>
          <w:rFonts w:hint="eastAsia" w:ascii="仿宋_GB2312" w:hAnsi="仿宋_GB2312" w:eastAsia="仿宋_GB2312" w:cs="仿宋_GB2312"/>
          <w:b w:val="0"/>
          <w:bCs w:val="0"/>
          <w:sz w:val="32"/>
          <w:szCs w:val="32"/>
          <w:lang w:eastAsia="zh-CN"/>
        </w:rPr>
        <w:t>。</w:t>
      </w:r>
    </w:p>
    <w:p>
      <w:pPr>
        <w:numPr>
          <w:ilvl w:val="0"/>
          <w:numId w:val="0"/>
        </w:numPr>
        <w:adjustRightInd w:val="0"/>
        <w:snapToGrid w:val="0"/>
        <w:spacing w:line="580" w:lineRule="exact"/>
        <w:ind w:left="630" w:leftChars="0"/>
        <w:rPr>
          <w:rFonts w:ascii="仿宋_GB2312" w:hAnsi="仿宋_GB2312" w:eastAsia="仿宋_GB2312" w:cs="仿宋_GB2312"/>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11.14</w:t>
      </w:r>
      <w:r>
        <w:rPr>
          <w:rFonts w:hint="eastAsia" w:ascii="仿宋_GB2312" w:hAnsi="Times New Roman" w:eastAsia="仿宋_GB2312" w:cs="DengXian-Regular"/>
          <w:sz w:val="32"/>
          <w:szCs w:val="32"/>
        </w:rPr>
        <w:t>万元，比2018年度</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0.26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2.39</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人员变动。</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与上年持平。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hint="eastAsia" w:ascii="仿宋_GB2312" w:eastAsia="仿宋_GB2312" w:cs="DengXian-Regular"/>
          <w:sz w:val="32"/>
          <w:szCs w:val="32"/>
          <w:lang w:val="en-US" w:eastAsia="zh-CN"/>
        </w:rPr>
      </w:pPr>
      <w:r>
        <w:rPr>
          <w:rFonts w:hint="eastAsia" w:ascii="仿宋_GB2312" w:hAnsi="Times New Roman" w:eastAsia="仿宋_GB2312" w:cs="DengXian-Regular"/>
          <w:sz w:val="32"/>
          <w:szCs w:val="32"/>
        </w:rPr>
        <w:t>1. 本部门2019年度</w:t>
      </w:r>
      <w:r>
        <w:rPr>
          <w:rFonts w:hint="eastAsia" w:ascii="仿宋_GB2312" w:eastAsia="仿宋_GB2312" w:cs="DengXian-Regular"/>
          <w:sz w:val="32"/>
          <w:szCs w:val="32"/>
          <w:lang w:val="en-US" w:eastAsia="zh-CN"/>
        </w:rPr>
        <w:t>无一般公共预算财政拨款“三公”经费支出,故F03表以空表列式;无政府性基金预算财政拨款收入支出,故Z09表以空表列式;无国有资本经营预算财政拨款支出，故Z10表以空表列式。</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2576"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2576;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3600"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3600;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149.22</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149.13</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149.22</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149.13</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0.85</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0.94</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150.07</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150.07</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9580" w:type="dxa"/>
        <w:jc w:val="center"/>
        <w:tblLayout w:type="fixed"/>
        <w:tblCellMar>
          <w:top w:w="0" w:type="dxa"/>
          <w:left w:w="0" w:type="dxa"/>
          <w:bottom w:w="0" w:type="dxa"/>
          <w:right w:w="0" w:type="dxa"/>
        </w:tblCellMar>
      </w:tblPr>
      <w:tblGrid>
        <w:gridCol w:w="1008"/>
        <w:gridCol w:w="58"/>
        <w:gridCol w:w="58"/>
        <w:gridCol w:w="1455"/>
        <w:gridCol w:w="1000"/>
        <w:gridCol w:w="1000"/>
        <w:gridCol w:w="1000"/>
        <w:gridCol w:w="1000"/>
        <w:gridCol w:w="1000"/>
        <w:gridCol w:w="1000"/>
        <w:gridCol w:w="1001"/>
      </w:tblGrid>
      <w:tr>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01"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257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5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b/>
                <w:bCs/>
                <w:color w:val="000000"/>
                <w:kern w:val="0"/>
                <w:sz w:val="22"/>
                <w:lang w:bidi="ar"/>
              </w:rPr>
            </w:pPr>
            <w:r>
              <w:rPr>
                <w:rFonts w:hint="eastAsia" w:ascii="宋体" w:hAnsi="宋体" w:eastAsia="宋体" w:cs="宋体"/>
                <w:b/>
                <w:bCs/>
                <w:color w:val="000000"/>
                <w:kern w:val="0"/>
                <w:sz w:val="22"/>
                <w:lang w:val="en-US" w:eastAsia="zh-CN" w:bidi="ar"/>
              </w:rPr>
              <w:t>149.22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b/>
                <w:bCs/>
                <w:color w:val="000000"/>
                <w:kern w:val="0"/>
                <w:sz w:val="22"/>
                <w:lang w:bidi="ar"/>
              </w:rPr>
            </w:pPr>
            <w:r>
              <w:rPr>
                <w:rFonts w:hint="eastAsia" w:ascii="宋体" w:hAnsi="宋体" w:eastAsia="宋体" w:cs="宋体"/>
                <w:b/>
                <w:bCs/>
                <w:color w:val="000000"/>
                <w:kern w:val="0"/>
                <w:sz w:val="22"/>
                <w:lang w:val="en-US" w:eastAsia="zh-CN" w:bidi="ar"/>
              </w:rPr>
              <w:t>149.22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一般公共服务支出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bidi="ar"/>
              </w:rPr>
            </w:pPr>
            <w:r>
              <w:rPr>
                <w:rFonts w:hint="eastAsia" w:ascii="宋体" w:hAnsi="宋体" w:eastAsia="宋体" w:cs="宋体"/>
                <w:color w:val="000000"/>
                <w:kern w:val="0"/>
                <w:sz w:val="22"/>
                <w:lang w:val="en-US" w:eastAsia="zh-CN" w:bidi="ar"/>
              </w:rPr>
              <w:t>149.22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bidi="ar"/>
              </w:rPr>
            </w:pPr>
            <w:r>
              <w:rPr>
                <w:rFonts w:hint="eastAsia" w:ascii="宋体" w:hAnsi="宋体" w:eastAsia="宋体" w:cs="宋体"/>
                <w:color w:val="000000"/>
                <w:kern w:val="0"/>
                <w:sz w:val="22"/>
                <w:lang w:val="en-US" w:eastAsia="zh-CN" w:bidi="ar"/>
              </w:rPr>
              <w:t>149.22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20132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组织事务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bidi="ar"/>
              </w:rPr>
            </w:pPr>
            <w:r>
              <w:rPr>
                <w:rFonts w:hint="eastAsia" w:ascii="宋体" w:hAnsi="宋体" w:eastAsia="宋体" w:cs="宋体"/>
                <w:color w:val="000000"/>
                <w:kern w:val="0"/>
                <w:sz w:val="22"/>
                <w:lang w:val="en-US" w:eastAsia="zh-CN" w:bidi="ar"/>
              </w:rPr>
              <w:t>13.77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bidi="ar"/>
              </w:rPr>
            </w:pPr>
            <w:r>
              <w:rPr>
                <w:rFonts w:hint="eastAsia" w:ascii="宋体" w:hAnsi="宋体" w:eastAsia="宋体" w:cs="宋体"/>
                <w:color w:val="000000"/>
                <w:kern w:val="0"/>
                <w:sz w:val="22"/>
                <w:lang w:val="en-US" w:eastAsia="zh-CN" w:bidi="ar"/>
              </w:rPr>
              <w:t>13.77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2013201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行政运行</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bidi="ar"/>
              </w:rPr>
            </w:pPr>
            <w:r>
              <w:rPr>
                <w:rFonts w:hint="eastAsia" w:ascii="宋体" w:hAnsi="宋体" w:eastAsia="宋体" w:cs="宋体"/>
                <w:color w:val="000000"/>
                <w:kern w:val="0"/>
                <w:sz w:val="22"/>
                <w:lang w:val="en-US" w:eastAsia="zh-CN" w:bidi="ar"/>
              </w:rPr>
              <w:t>13.77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bidi="ar"/>
              </w:rPr>
            </w:pPr>
            <w:r>
              <w:rPr>
                <w:rFonts w:hint="eastAsia" w:ascii="宋体" w:hAnsi="宋体" w:eastAsia="宋体" w:cs="宋体"/>
                <w:color w:val="000000"/>
                <w:kern w:val="0"/>
                <w:sz w:val="22"/>
                <w:lang w:val="en-US" w:eastAsia="zh-CN" w:bidi="ar"/>
              </w:rPr>
              <w:t>13.77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20136</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其他共产党事务支出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bidi="ar"/>
              </w:rPr>
            </w:pPr>
            <w:r>
              <w:rPr>
                <w:rFonts w:hint="eastAsia" w:ascii="宋体" w:hAnsi="宋体" w:eastAsia="宋体" w:cs="宋体"/>
                <w:color w:val="000000"/>
                <w:kern w:val="0"/>
                <w:sz w:val="22"/>
                <w:lang w:val="en-US" w:eastAsia="zh-CN" w:bidi="ar"/>
              </w:rPr>
              <w:t>135.46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bidi="ar"/>
              </w:rPr>
            </w:pPr>
            <w:r>
              <w:rPr>
                <w:rFonts w:hint="eastAsia" w:ascii="宋体" w:hAnsi="宋体" w:eastAsia="宋体" w:cs="宋体"/>
                <w:color w:val="000000"/>
                <w:kern w:val="0"/>
                <w:sz w:val="22"/>
                <w:lang w:val="en-US" w:eastAsia="zh-CN" w:bidi="ar"/>
              </w:rPr>
              <w:t>135.46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2013601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行政运行</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bidi="ar"/>
              </w:rPr>
            </w:pPr>
            <w:r>
              <w:rPr>
                <w:rFonts w:hint="eastAsia" w:ascii="宋体" w:hAnsi="宋体" w:eastAsia="宋体" w:cs="宋体"/>
                <w:color w:val="000000"/>
                <w:kern w:val="0"/>
                <w:sz w:val="22"/>
                <w:lang w:val="en-US" w:eastAsia="zh-CN" w:bidi="ar"/>
              </w:rPr>
              <w:t>135.46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bidi="ar"/>
              </w:rPr>
            </w:pPr>
            <w:r>
              <w:rPr>
                <w:rFonts w:hint="eastAsia" w:ascii="宋体" w:hAnsi="宋体" w:eastAsia="宋体" w:cs="宋体"/>
                <w:color w:val="000000"/>
                <w:kern w:val="0"/>
                <w:sz w:val="22"/>
                <w:lang w:val="en-US" w:eastAsia="zh-CN" w:bidi="ar"/>
              </w:rPr>
              <w:t>135.46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b/>
                <w:bCs/>
                <w:color w:val="000000"/>
                <w:kern w:val="0"/>
                <w:sz w:val="22"/>
                <w:lang w:val="en-US" w:eastAsia="zh-CN" w:bidi="ar"/>
              </w:rPr>
            </w:pPr>
            <w:r>
              <w:rPr>
                <w:rFonts w:hint="eastAsia" w:ascii="宋体" w:hAnsi="宋体" w:eastAsia="宋体" w:cs="宋体"/>
                <w:b/>
                <w:bCs/>
                <w:color w:val="000000"/>
                <w:kern w:val="0"/>
                <w:sz w:val="22"/>
                <w:lang w:val="en-US" w:eastAsia="zh-CN" w:bidi="ar"/>
              </w:rPr>
              <w:t>149.13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b/>
                <w:bCs/>
                <w:color w:val="000000"/>
                <w:kern w:val="0"/>
                <w:sz w:val="22"/>
                <w:lang w:val="en-US" w:eastAsia="zh-CN" w:bidi="ar"/>
              </w:rPr>
            </w:pPr>
            <w:r>
              <w:rPr>
                <w:rFonts w:hint="eastAsia" w:ascii="宋体" w:hAnsi="宋体" w:eastAsia="宋体" w:cs="宋体"/>
                <w:b/>
                <w:bCs/>
                <w:color w:val="000000"/>
                <w:kern w:val="0"/>
                <w:sz w:val="22"/>
                <w:lang w:val="en-US" w:eastAsia="zh-CN" w:bidi="ar"/>
              </w:rPr>
              <w:t>135.36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b/>
                <w:bCs/>
                <w:color w:val="000000"/>
                <w:kern w:val="0"/>
                <w:sz w:val="22"/>
                <w:lang w:val="en-US" w:eastAsia="zh-CN" w:bidi="ar"/>
              </w:rPr>
            </w:pPr>
            <w:r>
              <w:rPr>
                <w:rFonts w:hint="eastAsia" w:ascii="宋体" w:hAnsi="宋体" w:eastAsia="宋体" w:cs="宋体"/>
                <w:b/>
                <w:bCs/>
                <w:color w:val="000000"/>
                <w:kern w:val="0"/>
                <w:sz w:val="22"/>
                <w:lang w:val="en-US" w:eastAsia="zh-CN" w:bidi="ar"/>
              </w:rPr>
              <w:t>13.77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一般公共服务支出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val="en-US" w:eastAsia="zh-CN" w:bidi="ar"/>
              </w:rPr>
            </w:pPr>
            <w:r>
              <w:rPr>
                <w:rFonts w:hint="eastAsia" w:ascii="宋体" w:hAnsi="宋体" w:eastAsia="宋体" w:cs="宋体"/>
                <w:color w:val="000000"/>
                <w:kern w:val="0"/>
                <w:sz w:val="22"/>
                <w:lang w:val="en-US" w:eastAsia="zh-CN" w:bidi="ar"/>
              </w:rPr>
              <w:t>149.13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val="en-US" w:eastAsia="zh-CN" w:bidi="ar"/>
              </w:rPr>
            </w:pPr>
            <w:r>
              <w:rPr>
                <w:rFonts w:hint="eastAsia" w:ascii="宋体" w:hAnsi="宋体" w:eastAsia="宋体" w:cs="宋体"/>
                <w:color w:val="000000"/>
                <w:kern w:val="0"/>
                <w:sz w:val="22"/>
                <w:lang w:val="en-US" w:eastAsia="zh-CN" w:bidi="ar"/>
              </w:rPr>
              <w:t>135.36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val="en-US" w:eastAsia="zh-CN" w:bidi="ar"/>
              </w:rPr>
            </w:pPr>
            <w:r>
              <w:rPr>
                <w:rFonts w:hint="eastAsia" w:ascii="宋体" w:hAnsi="宋体" w:eastAsia="宋体" w:cs="宋体"/>
                <w:color w:val="000000"/>
                <w:kern w:val="0"/>
                <w:sz w:val="22"/>
                <w:lang w:val="en-US" w:eastAsia="zh-CN" w:bidi="ar"/>
              </w:rPr>
              <w:t>13.77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20132</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组织事务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val="en-US" w:eastAsia="zh-CN" w:bidi="ar"/>
              </w:rPr>
            </w:pPr>
            <w:r>
              <w:rPr>
                <w:rFonts w:hint="eastAsia" w:ascii="宋体" w:hAnsi="宋体" w:eastAsia="宋体" w:cs="宋体"/>
                <w:color w:val="000000"/>
                <w:kern w:val="0"/>
                <w:sz w:val="22"/>
                <w:lang w:val="en-US" w:eastAsia="zh-CN" w:bidi="ar"/>
              </w:rPr>
              <w:t>13.77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val="en-US" w:eastAsia="zh-CN"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val="en-US" w:eastAsia="zh-CN" w:bidi="ar"/>
              </w:rPr>
            </w:pPr>
            <w:r>
              <w:rPr>
                <w:rFonts w:hint="eastAsia" w:ascii="宋体" w:hAnsi="宋体" w:eastAsia="宋体" w:cs="宋体"/>
                <w:color w:val="000000"/>
                <w:kern w:val="0"/>
                <w:sz w:val="22"/>
                <w:lang w:val="en-US" w:eastAsia="zh-CN" w:bidi="ar"/>
              </w:rPr>
              <w:t>13.77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2013201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行政运行</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val="en-US" w:eastAsia="zh-CN" w:bidi="ar"/>
              </w:rPr>
            </w:pPr>
            <w:r>
              <w:rPr>
                <w:rFonts w:hint="eastAsia" w:ascii="宋体" w:hAnsi="宋体" w:eastAsia="宋体" w:cs="宋体"/>
                <w:color w:val="000000"/>
                <w:kern w:val="0"/>
                <w:sz w:val="22"/>
                <w:lang w:val="en-US" w:eastAsia="zh-CN" w:bidi="ar"/>
              </w:rPr>
              <w:t>13.77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val="en-US" w:eastAsia="zh-CN"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val="en-US" w:eastAsia="zh-CN" w:bidi="ar"/>
              </w:rPr>
            </w:pPr>
            <w:r>
              <w:rPr>
                <w:rFonts w:hint="eastAsia" w:ascii="宋体" w:hAnsi="宋体" w:eastAsia="宋体" w:cs="宋体"/>
                <w:color w:val="000000"/>
                <w:kern w:val="0"/>
                <w:sz w:val="22"/>
                <w:lang w:val="en-US" w:eastAsia="zh-CN" w:bidi="ar"/>
              </w:rPr>
              <w:t>13.77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20136</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其他共产党事务支出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val="en-US" w:eastAsia="zh-CN" w:bidi="ar"/>
              </w:rPr>
            </w:pPr>
            <w:r>
              <w:rPr>
                <w:rFonts w:hint="eastAsia" w:ascii="宋体" w:hAnsi="宋体" w:eastAsia="宋体" w:cs="宋体"/>
                <w:color w:val="000000"/>
                <w:kern w:val="0"/>
                <w:sz w:val="22"/>
                <w:lang w:val="en-US" w:eastAsia="zh-CN" w:bidi="ar"/>
              </w:rPr>
              <w:t>135.36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val="en-US" w:eastAsia="zh-CN" w:bidi="ar"/>
              </w:rPr>
            </w:pPr>
            <w:r>
              <w:rPr>
                <w:rFonts w:hint="eastAsia" w:ascii="宋体" w:hAnsi="宋体" w:eastAsia="宋体" w:cs="宋体"/>
                <w:color w:val="000000"/>
                <w:kern w:val="0"/>
                <w:sz w:val="22"/>
                <w:lang w:val="en-US" w:eastAsia="zh-CN" w:bidi="ar"/>
              </w:rPr>
              <w:t>135.36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val="en-US" w:eastAsia="zh-CN"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2013601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行政运行</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val="en-US" w:eastAsia="zh-CN" w:bidi="ar"/>
              </w:rPr>
            </w:pPr>
            <w:r>
              <w:rPr>
                <w:rFonts w:hint="eastAsia" w:ascii="宋体" w:hAnsi="宋体" w:eastAsia="宋体" w:cs="宋体"/>
                <w:color w:val="000000"/>
                <w:kern w:val="0"/>
                <w:sz w:val="22"/>
                <w:lang w:val="en-US" w:eastAsia="zh-CN" w:bidi="ar"/>
              </w:rPr>
              <w:t>135.36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val="en-US" w:eastAsia="zh-CN" w:bidi="ar"/>
              </w:rPr>
            </w:pPr>
            <w:r>
              <w:rPr>
                <w:rFonts w:hint="eastAsia" w:ascii="宋体" w:hAnsi="宋体" w:eastAsia="宋体" w:cs="宋体"/>
                <w:color w:val="000000"/>
                <w:kern w:val="0"/>
                <w:sz w:val="22"/>
                <w:lang w:val="en-US" w:eastAsia="zh-CN" w:bidi="ar"/>
              </w:rPr>
              <w:t>135.36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eastAsia" w:ascii="宋体" w:hAnsi="宋体" w:eastAsia="宋体" w:cs="宋体"/>
                <w:color w:val="000000"/>
                <w:kern w:val="0"/>
                <w:sz w:val="22"/>
                <w:lang w:val="en-US" w:eastAsia="zh-CN" w:bidi="ar"/>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9520" w:type="dxa"/>
        <w:jc w:val="center"/>
        <w:tblLayout w:type="fixed"/>
        <w:tblCellMar>
          <w:top w:w="0" w:type="dxa"/>
          <w:left w:w="0" w:type="dxa"/>
          <w:bottom w:w="0" w:type="dxa"/>
          <w:right w:w="0" w:type="dxa"/>
        </w:tblCellMar>
      </w:tblPr>
      <w:tblGrid>
        <w:gridCol w:w="2922"/>
        <w:gridCol w:w="425"/>
        <w:gridCol w:w="731"/>
        <w:gridCol w:w="2877"/>
        <w:gridCol w:w="507"/>
        <w:gridCol w:w="696"/>
        <w:gridCol w:w="690"/>
        <w:gridCol w:w="672"/>
      </w:tblGrid>
      <w:tr>
        <w:tblPrEx>
          <w:tblCellMar>
            <w:top w:w="0" w:type="dxa"/>
            <w:left w:w="0" w:type="dxa"/>
            <w:bottom w:w="0" w:type="dxa"/>
            <w:right w:w="0" w:type="dxa"/>
          </w:tblCellMar>
        </w:tblPrEx>
        <w:trPr>
          <w:trHeight w:val="564"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7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7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jc w:val="center"/>
        </w:trPr>
        <w:tc>
          <w:tcPr>
            <w:tcW w:w="407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442"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3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8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69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67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716"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9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7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149.22</w:t>
            </w: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149.13</w:t>
            </w: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149.13</w:t>
            </w: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44"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149.22</w:t>
            </w: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149.13</w:t>
            </w: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149.13</w:t>
            </w: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0.85</w:t>
            </w: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0.94</w:t>
            </w: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0.94</w:t>
            </w: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0.85</w:t>
            </w: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150.07</w:t>
            </w:r>
          </w:p>
        </w:tc>
        <w:tc>
          <w:tcPr>
            <w:tcW w:w="2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150.07</w:t>
            </w: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150.07</w:t>
            </w:r>
          </w:p>
        </w:tc>
        <w:tc>
          <w:tcPr>
            <w:tcW w:w="6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9990" w:type="dxa"/>
        <w:jc w:val="center"/>
        <w:tblLayout w:type="fixed"/>
        <w:tblCellMar>
          <w:top w:w="0" w:type="dxa"/>
          <w:left w:w="0" w:type="dxa"/>
          <w:bottom w:w="0" w:type="dxa"/>
          <w:right w:w="0" w:type="dxa"/>
        </w:tblCellMar>
      </w:tblPr>
      <w:tblGrid>
        <w:gridCol w:w="1174"/>
        <w:gridCol w:w="67"/>
        <w:gridCol w:w="67"/>
        <w:gridCol w:w="1695"/>
        <w:gridCol w:w="2329"/>
        <w:gridCol w:w="2329"/>
        <w:gridCol w:w="2329"/>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69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149.13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135.36</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bCs/>
                <w:color w:val="000000"/>
                <w:sz w:val="22"/>
                <w:lang w:val="en-US" w:eastAsia="zh-CN"/>
              </w:rPr>
            </w:pPr>
            <w:r>
              <w:rPr>
                <w:rFonts w:hint="eastAsia" w:ascii="宋体" w:hAnsi="宋体" w:eastAsia="宋体" w:cs="宋体"/>
                <w:b/>
                <w:bCs/>
                <w:color w:val="000000"/>
                <w:sz w:val="22"/>
                <w:lang w:val="en-US" w:eastAsia="zh-CN"/>
              </w:rPr>
              <w:t>13.77</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一般公共服务支出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149.13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135.36</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13.77</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20132</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组织事务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13.77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13.77</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2013201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行政运行</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13.77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13.77</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20136</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其他共产党事务支出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135.36</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135.36</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2013601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行政运行</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135.36</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135.36</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widowControl/>
        <w:jc w:val="left"/>
        <w:textAlignment w:val="center"/>
        <w:rPr>
          <w:rFonts w:hint="eastAsia"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注：本表反映部门本年度一般公共预算财政拨款支出情况。</w:t>
      </w: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tbl>
      <w:tblPr>
        <w:tblStyle w:val="6"/>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124.22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11.14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33.04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2.21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26.13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1.47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7.92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9.69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3.49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4.91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3.99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0.52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8.27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28.28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0.45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1.13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3.81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124.22</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11.14</w:t>
            </w:r>
          </w:p>
        </w:tc>
      </w:tr>
    </w:tbl>
    <w:p>
      <w:pPr>
        <w:widowControl/>
        <w:jc w:val="left"/>
        <w:textAlignment w:val="center"/>
        <w:rPr>
          <w:rFonts w:hint="eastAsia"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注：本表反映部门本年度一般公共预算财政拨款基本支出明细情况。</w:t>
      </w:r>
      <w:r>
        <w:rPr>
          <w:rFonts w:hint="eastAsia" w:ascii="宋体" w:hAnsi="宋体" w:eastAsia="宋体" w:cs="宋体"/>
          <w:color w:val="000000"/>
          <w:kern w:val="0"/>
          <w:sz w:val="22"/>
          <w:lang w:bidi="ar"/>
        </w:rPr>
        <w:br w:type="page"/>
      </w: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本部门本年度无“三公”经费支出预决算情况，按要求以空表列示。</w:t>
      </w:r>
      <w:r>
        <w:rPr>
          <w:rFonts w:hint="eastAsia" w:ascii="宋体" w:hAnsi="宋体" w:eastAsia="宋体" w:cs="宋体"/>
        </w:rPr>
        <w:tab/>
      </w:r>
      <w:r>
        <w:rPr>
          <w:rFonts w:hint="eastAsia" w:ascii="宋体" w:hAnsi="宋体" w:eastAsia="宋体" w:cs="宋体"/>
        </w:rPr>
        <w:tab/>
      </w:r>
      <w:r>
        <w:rPr>
          <w:rFonts w:hint="eastAsia" w:ascii="宋体" w:hAnsi="宋体" w:eastAsia="宋体" w:cs="宋体"/>
        </w:rPr>
        <w:tab/>
      </w:r>
      <w:r>
        <w:rPr>
          <w:rFonts w:hint="eastAsia" w:ascii="宋体" w:hAnsi="宋体" w:eastAsia="宋体" w:cs="宋体"/>
        </w:rPr>
        <w:tab/>
      </w:r>
      <w:r>
        <w:rPr>
          <w:rFonts w:hint="eastAsia" w:ascii="宋体" w:hAnsi="宋体" w:eastAsia="宋体" w:cs="宋体"/>
        </w:rPr>
        <w:tab/>
      </w:r>
      <w:r>
        <w:rPr>
          <w:rFonts w:hint="eastAsia" w:ascii="宋体" w:hAnsi="宋体" w:eastAsia="宋体" w:cs="宋体"/>
        </w:rPr>
        <w:tab/>
      </w:r>
      <w:r>
        <w:rPr>
          <w:rFonts w:hint="eastAsia" w:ascii="宋体" w:hAnsi="宋体" w:eastAsia="宋体" w:cs="宋体"/>
        </w:rPr>
        <w:tab/>
      </w:r>
      <w:r>
        <w:rPr>
          <w:rFonts w:hint="eastAsia" w:ascii="宋体" w:hAnsi="宋体" w:eastAsia="宋体" w:cs="宋体"/>
        </w:rPr>
        <w:tab/>
      </w:r>
      <w:r>
        <w:rPr>
          <w:rFonts w:hint="eastAsia" w:ascii="宋体" w:hAnsi="宋体" w:eastAsia="宋体" w:cs="宋体"/>
        </w:rPr>
        <w:tab/>
      </w:r>
      <w:r>
        <w:rPr>
          <w:rFonts w:hint="eastAsia" w:ascii="宋体" w:hAnsi="宋体" w:eastAsia="宋体" w:cs="宋体"/>
        </w:rPr>
        <w:tab/>
      </w:r>
      <w:r>
        <w:rPr>
          <w:rFonts w:hint="eastAsia" w:ascii="宋体" w:hAnsi="宋体" w:eastAsia="宋体" w:cs="宋体"/>
        </w:rP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注：本表反映部门本年度政府性基金预算财政拨款收入、支出及结转和结余情况。本部门本年度无收支及结转结余情况，按要求以空表列示。</w:t>
      </w:r>
      <w:r>
        <w:br w:type="page"/>
      </w:r>
    </w:p>
    <w:tbl>
      <w:tblPr>
        <w:tblStyle w:val="6"/>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rFonts w:hint="eastAsia" w:eastAsiaTheme="minorEastAsia"/>
          <w:lang w:val="en-US" w:eastAsia="zh-CN"/>
        </w:rPr>
      </w:pPr>
      <w:r>
        <w:rPr>
          <w:rFonts w:hint="eastAsia" w:ascii="宋体" w:hAnsi="宋体" w:eastAsia="宋体" w:cs="宋体"/>
        </w:rPr>
        <w:t>注：本表反映部门本年度政府性基金预算财政拨款收入、支出及结转和结余情况。本部门本年度无收支及结转结余情况，按要求以空表列示。</w:t>
      </w:r>
      <w:r>
        <w:rPr>
          <w:rFonts w:hint="eastAsia" w:ascii="宋体" w:hAnsi="宋体" w:eastAsia="宋体" w:cs="宋体"/>
        </w:rPr>
        <w:br w:type="page"/>
      </w:r>
      <w:r>
        <w:rPr>
          <w:rFonts w:hint="eastAsia"/>
          <w:lang w:val="en-US" w:eastAsia="zh-CN"/>
        </w:rPr>
        <w:t>V</w:t>
      </w:r>
    </w:p>
    <w:p>
      <w:r>
        <mc:AlternateContent>
          <mc:Choice Requires="wps">
            <w:drawing>
              <wp:anchor distT="0" distB="0" distL="114300" distR="114300" simplePos="0" relativeHeight="251674624"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4624;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ArialUnicodeMS">
    <w:altName w:val="Malgun Gothic"/>
    <w:panose1 w:val="00000000000000000000"/>
    <w:charset w:val="81"/>
    <w:family w:val="auto"/>
    <w:pitch w:val="default"/>
    <w:sig w:usb0="00000000" w:usb1="00000000" w:usb2="00000010"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5888"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85888;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6912"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86912;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7936"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793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8960"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8960;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92032"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92032;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82816;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1792"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81792;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95104"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95104;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96128"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96128;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93056"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93056;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4080"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94080;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9984"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9984;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1008"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91008;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3840"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83840;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4864"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4864;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8720"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78720;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7696"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77696;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9744"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9744;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0768"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0768;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pPr>
        <w:ind w:left="-1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attachedTemplate r:id="rId1"/>
  <w:documentProtection w:enforcement="0"/>
  <w:defaultTabStop w:val="420"/>
  <w:drawingGridVerticalSpacing w:val="158"/>
  <w:displayHorizontalDrawingGridEvery w:val="1"/>
  <w:displayVerticalDrawingGridEvery w:val="2"/>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Y4OTZkMmEyYmM2MDhiODgwOWFhNjU5YmQ1ODc0ZGQ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84C17"/>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12D5A9A"/>
    <w:rsid w:val="01B03F5F"/>
    <w:rsid w:val="01B75BCC"/>
    <w:rsid w:val="01EF0953"/>
    <w:rsid w:val="031A45CA"/>
    <w:rsid w:val="0375624E"/>
    <w:rsid w:val="03A10295"/>
    <w:rsid w:val="04831CB4"/>
    <w:rsid w:val="04B074BD"/>
    <w:rsid w:val="05B00A30"/>
    <w:rsid w:val="066A6281"/>
    <w:rsid w:val="06C76032"/>
    <w:rsid w:val="06EF66F5"/>
    <w:rsid w:val="07711ACF"/>
    <w:rsid w:val="082F3A49"/>
    <w:rsid w:val="085F70A7"/>
    <w:rsid w:val="08A22154"/>
    <w:rsid w:val="08E4193E"/>
    <w:rsid w:val="08E54045"/>
    <w:rsid w:val="08F42A03"/>
    <w:rsid w:val="09176944"/>
    <w:rsid w:val="09D616C4"/>
    <w:rsid w:val="0A68422C"/>
    <w:rsid w:val="0B011416"/>
    <w:rsid w:val="0B1C0FA1"/>
    <w:rsid w:val="0B2E5ECB"/>
    <w:rsid w:val="0C0E5438"/>
    <w:rsid w:val="0C173B17"/>
    <w:rsid w:val="0C7021B8"/>
    <w:rsid w:val="0CFF0AF0"/>
    <w:rsid w:val="0D1F16B3"/>
    <w:rsid w:val="0D8307FF"/>
    <w:rsid w:val="0E07712C"/>
    <w:rsid w:val="0E123152"/>
    <w:rsid w:val="0E8A2D8C"/>
    <w:rsid w:val="0F122CBE"/>
    <w:rsid w:val="0F865CC6"/>
    <w:rsid w:val="0FAD63E0"/>
    <w:rsid w:val="101D7EEB"/>
    <w:rsid w:val="107F1148"/>
    <w:rsid w:val="108D7049"/>
    <w:rsid w:val="10A129FF"/>
    <w:rsid w:val="114673BB"/>
    <w:rsid w:val="11495462"/>
    <w:rsid w:val="118F56FA"/>
    <w:rsid w:val="12B652E8"/>
    <w:rsid w:val="12D23E9B"/>
    <w:rsid w:val="13465183"/>
    <w:rsid w:val="152C7868"/>
    <w:rsid w:val="155115EE"/>
    <w:rsid w:val="158D02CA"/>
    <w:rsid w:val="17103FEC"/>
    <w:rsid w:val="1794568E"/>
    <w:rsid w:val="17FF7F38"/>
    <w:rsid w:val="18135CFA"/>
    <w:rsid w:val="1885347C"/>
    <w:rsid w:val="198344E0"/>
    <w:rsid w:val="1A662D2F"/>
    <w:rsid w:val="1ADA39AF"/>
    <w:rsid w:val="1B7B5D64"/>
    <w:rsid w:val="1C841CEA"/>
    <w:rsid w:val="1D0944F0"/>
    <w:rsid w:val="1D64417C"/>
    <w:rsid w:val="1D7D05B6"/>
    <w:rsid w:val="1E274523"/>
    <w:rsid w:val="1EDF233D"/>
    <w:rsid w:val="1EE72C6F"/>
    <w:rsid w:val="1FFC6D1D"/>
    <w:rsid w:val="20EA4BBF"/>
    <w:rsid w:val="214544C9"/>
    <w:rsid w:val="218537AB"/>
    <w:rsid w:val="219C7635"/>
    <w:rsid w:val="21C7480F"/>
    <w:rsid w:val="21CF363F"/>
    <w:rsid w:val="220E6CA2"/>
    <w:rsid w:val="224F1ECB"/>
    <w:rsid w:val="227B41FA"/>
    <w:rsid w:val="227E6CD3"/>
    <w:rsid w:val="22A719F4"/>
    <w:rsid w:val="22B90274"/>
    <w:rsid w:val="22EE7926"/>
    <w:rsid w:val="236A7938"/>
    <w:rsid w:val="245C3612"/>
    <w:rsid w:val="24A25F54"/>
    <w:rsid w:val="24C42CAA"/>
    <w:rsid w:val="25337B2B"/>
    <w:rsid w:val="25C53D65"/>
    <w:rsid w:val="26542AE0"/>
    <w:rsid w:val="2658360A"/>
    <w:rsid w:val="2665246A"/>
    <w:rsid w:val="268E6734"/>
    <w:rsid w:val="26964234"/>
    <w:rsid w:val="26A82336"/>
    <w:rsid w:val="27AB0E07"/>
    <w:rsid w:val="2824652D"/>
    <w:rsid w:val="28C66CF0"/>
    <w:rsid w:val="28D103A5"/>
    <w:rsid w:val="28F72CB5"/>
    <w:rsid w:val="291254EA"/>
    <w:rsid w:val="2A5C5A2B"/>
    <w:rsid w:val="2A655DC5"/>
    <w:rsid w:val="2A86080B"/>
    <w:rsid w:val="2AE45245"/>
    <w:rsid w:val="2AF44C97"/>
    <w:rsid w:val="2B267984"/>
    <w:rsid w:val="2B286ADF"/>
    <w:rsid w:val="2B4C2C32"/>
    <w:rsid w:val="2C0220BB"/>
    <w:rsid w:val="2CB77B4F"/>
    <w:rsid w:val="2DAB7933"/>
    <w:rsid w:val="2DB17B99"/>
    <w:rsid w:val="2DE70EEC"/>
    <w:rsid w:val="2E933DC8"/>
    <w:rsid w:val="2F1F2386"/>
    <w:rsid w:val="2FA036B3"/>
    <w:rsid w:val="2FE66AC0"/>
    <w:rsid w:val="30336172"/>
    <w:rsid w:val="30B842A1"/>
    <w:rsid w:val="30E04A39"/>
    <w:rsid w:val="30ED0170"/>
    <w:rsid w:val="30F428D3"/>
    <w:rsid w:val="31C2036A"/>
    <w:rsid w:val="320D02A5"/>
    <w:rsid w:val="331B2297"/>
    <w:rsid w:val="335C0B11"/>
    <w:rsid w:val="336B1FEB"/>
    <w:rsid w:val="33AB0F0A"/>
    <w:rsid w:val="33D70A38"/>
    <w:rsid w:val="33E73E79"/>
    <w:rsid w:val="33EC61AC"/>
    <w:rsid w:val="34382839"/>
    <w:rsid w:val="343A7AB5"/>
    <w:rsid w:val="348E566F"/>
    <w:rsid w:val="352647F3"/>
    <w:rsid w:val="356A60C1"/>
    <w:rsid w:val="35C83B40"/>
    <w:rsid w:val="361E0E3D"/>
    <w:rsid w:val="36D33917"/>
    <w:rsid w:val="370A2B43"/>
    <w:rsid w:val="37240E58"/>
    <w:rsid w:val="375D0D9F"/>
    <w:rsid w:val="38165D8C"/>
    <w:rsid w:val="390C52C5"/>
    <w:rsid w:val="39B93905"/>
    <w:rsid w:val="39CA1579"/>
    <w:rsid w:val="3A226944"/>
    <w:rsid w:val="3AEE6A48"/>
    <w:rsid w:val="3B053F0D"/>
    <w:rsid w:val="3C1620AA"/>
    <w:rsid w:val="3C7F6BE8"/>
    <w:rsid w:val="3C924598"/>
    <w:rsid w:val="3CA1672D"/>
    <w:rsid w:val="3CDB2A15"/>
    <w:rsid w:val="3D13279C"/>
    <w:rsid w:val="3D2E4E79"/>
    <w:rsid w:val="3D6164FD"/>
    <w:rsid w:val="3D680F06"/>
    <w:rsid w:val="3D8F080F"/>
    <w:rsid w:val="3D9B5430"/>
    <w:rsid w:val="3E2A6C1D"/>
    <w:rsid w:val="3EB227F8"/>
    <w:rsid w:val="3EB25DE3"/>
    <w:rsid w:val="3F331144"/>
    <w:rsid w:val="3F997935"/>
    <w:rsid w:val="3FC67A39"/>
    <w:rsid w:val="400B569F"/>
    <w:rsid w:val="40450FF7"/>
    <w:rsid w:val="40814F34"/>
    <w:rsid w:val="40BE1FF2"/>
    <w:rsid w:val="40F018C1"/>
    <w:rsid w:val="425307E0"/>
    <w:rsid w:val="42686C2A"/>
    <w:rsid w:val="43DB24E0"/>
    <w:rsid w:val="4448247D"/>
    <w:rsid w:val="445A045D"/>
    <w:rsid w:val="44CE1FA4"/>
    <w:rsid w:val="44DD2D52"/>
    <w:rsid w:val="45A253AD"/>
    <w:rsid w:val="45D75E4E"/>
    <w:rsid w:val="45E542FB"/>
    <w:rsid w:val="45F50F99"/>
    <w:rsid w:val="4677132E"/>
    <w:rsid w:val="46C168D8"/>
    <w:rsid w:val="46C65528"/>
    <w:rsid w:val="46D635E5"/>
    <w:rsid w:val="46DF6CF6"/>
    <w:rsid w:val="475F6611"/>
    <w:rsid w:val="479064D3"/>
    <w:rsid w:val="47917A72"/>
    <w:rsid w:val="48140DA4"/>
    <w:rsid w:val="482E2E5F"/>
    <w:rsid w:val="487F73ED"/>
    <w:rsid w:val="48A55AA2"/>
    <w:rsid w:val="48FA51E4"/>
    <w:rsid w:val="49221865"/>
    <w:rsid w:val="4A347EAE"/>
    <w:rsid w:val="4A5979A2"/>
    <w:rsid w:val="4B0646A1"/>
    <w:rsid w:val="4B7213DC"/>
    <w:rsid w:val="4C125009"/>
    <w:rsid w:val="4C58001E"/>
    <w:rsid w:val="4CD02AA1"/>
    <w:rsid w:val="4D0F5E08"/>
    <w:rsid w:val="4D107943"/>
    <w:rsid w:val="4D432E7B"/>
    <w:rsid w:val="4D8202F2"/>
    <w:rsid w:val="4E072890"/>
    <w:rsid w:val="4E5F6626"/>
    <w:rsid w:val="502B0169"/>
    <w:rsid w:val="51562928"/>
    <w:rsid w:val="519E51A1"/>
    <w:rsid w:val="522E1B88"/>
    <w:rsid w:val="52600405"/>
    <w:rsid w:val="529B4319"/>
    <w:rsid w:val="52F12A1C"/>
    <w:rsid w:val="53B27228"/>
    <w:rsid w:val="53B954CD"/>
    <w:rsid w:val="53CB7520"/>
    <w:rsid w:val="54044097"/>
    <w:rsid w:val="55505001"/>
    <w:rsid w:val="558E6E79"/>
    <w:rsid w:val="55A21061"/>
    <w:rsid w:val="55DD185E"/>
    <w:rsid w:val="55E80A68"/>
    <w:rsid w:val="55F005E1"/>
    <w:rsid w:val="56104967"/>
    <w:rsid w:val="561B0666"/>
    <w:rsid w:val="564B1644"/>
    <w:rsid w:val="57773DD6"/>
    <w:rsid w:val="578B79AB"/>
    <w:rsid w:val="57B75D72"/>
    <w:rsid w:val="59716AB5"/>
    <w:rsid w:val="59921AB3"/>
    <w:rsid w:val="59F05FF8"/>
    <w:rsid w:val="5B2E0EE0"/>
    <w:rsid w:val="5B357771"/>
    <w:rsid w:val="5BB5065F"/>
    <w:rsid w:val="5BD239C7"/>
    <w:rsid w:val="5BE544D1"/>
    <w:rsid w:val="5CCD3FD5"/>
    <w:rsid w:val="5D876BF8"/>
    <w:rsid w:val="5DF75BA7"/>
    <w:rsid w:val="5E3D05FC"/>
    <w:rsid w:val="5EAB51CA"/>
    <w:rsid w:val="5EF66394"/>
    <w:rsid w:val="5F6E14E0"/>
    <w:rsid w:val="5F837698"/>
    <w:rsid w:val="5FE1666F"/>
    <w:rsid w:val="61217FFD"/>
    <w:rsid w:val="619061CD"/>
    <w:rsid w:val="61FA5F9D"/>
    <w:rsid w:val="632A41C3"/>
    <w:rsid w:val="63BC2921"/>
    <w:rsid w:val="640C1E21"/>
    <w:rsid w:val="640D177A"/>
    <w:rsid w:val="6412238C"/>
    <w:rsid w:val="64313F25"/>
    <w:rsid w:val="6433292F"/>
    <w:rsid w:val="64345567"/>
    <w:rsid w:val="64CD6910"/>
    <w:rsid w:val="65BD2CF9"/>
    <w:rsid w:val="66CA1A29"/>
    <w:rsid w:val="6789158D"/>
    <w:rsid w:val="67D81BA4"/>
    <w:rsid w:val="67D95B7B"/>
    <w:rsid w:val="67E07092"/>
    <w:rsid w:val="695243E1"/>
    <w:rsid w:val="69FA3B80"/>
    <w:rsid w:val="6A011191"/>
    <w:rsid w:val="6A2B0E4A"/>
    <w:rsid w:val="6A6D56EB"/>
    <w:rsid w:val="6A7202F6"/>
    <w:rsid w:val="6AAF1C96"/>
    <w:rsid w:val="6AE32D78"/>
    <w:rsid w:val="6B1D339A"/>
    <w:rsid w:val="6B477FBC"/>
    <w:rsid w:val="6BA600E5"/>
    <w:rsid w:val="6CD17D5E"/>
    <w:rsid w:val="6DEC7526"/>
    <w:rsid w:val="6E7500D4"/>
    <w:rsid w:val="6F7476CE"/>
    <w:rsid w:val="700C6B46"/>
    <w:rsid w:val="70212FC4"/>
    <w:rsid w:val="702F1374"/>
    <w:rsid w:val="70744CE4"/>
    <w:rsid w:val="70902F7A"/>
    <w:rsid w:val="71593597"/>
    <w:rsid w:val="71644812"/>
    <w:rsid w:val="717F2FC8"/>
    <w:rsid w:val="7190211C"/>
    <w:rsid w:val="71B90B38"/>
    <w:rsid w:val="7204373E"/>
    <w:rsid w:val="729C39A1"/>
    <w:rsid w:val="72EB50C2"/>
    <w:rsid w:val="731943BB"/>
    <w:rsid w:val="73A41D2F"/>
    <w:rsid w:val="73D42AE4"/>
    <w:rsid w:val="7438596D"/>
    <w:rsid w:val="75681757"/>
    <w:rsid w:val="75A346A8"/>
    <w:rsid w:val="764D27DC"/>
    <w:rsid w:val="76AA1637"/>
    <w:rsid w:val="76E229AA"/>
    <w:rsid w:val="772C7F8B"/>
    <w:rsid w:val="774E73B7"/>
    <w:rsid w:val="7756171B"/>
    <w:rsid w:val="77F005F9"/>
    <w:rsid w:val="786C08A6"/>
    <w:rsid w:val="787745E6"/>
    <w:rsid w:val="78A95F41"/>
    <w:rsid w:val="78C42D5A"/>
    <w:rsid w:val="78D70263"/>
    <w:rsid w:val="78F72350"/>
    <w:rsid w:val="793D0E83"/>
    <w:rsid w:val="795003B7"/>
    <w:rsid w:val="79B9382C"/>
    <w:rsid w:val="79C47A7C"/>
    <w:rsid w:val="7A0129F6"/>
    <w:rsid w:val="7A3233B5"/>
    <w:rsid w:val="7A555541"/>
    <w:rsid w:val="7A5A53C4"/>
    <w:rsid w:val="7ABB5AF3"/>
    <w:rsid w:val="7B043B76"/>
    <w:rsid w:val="7BE64682"/>
    <w:rsid w:val="7C041A6A"/>
    <w:rsid w:val="7C4607F9"/>
    <w:rsid w:val="7C517359"/>
    <w:rsid w:val="7C714079"/>
    <w:rsid w:val="7E125EC4"/>
    <w:rsid w:val="7E327570"/>
    <w:rsid w:val="7F3D15FD"/>
    <w:rsid w:val="7F3D64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customXml" Target="../customXml/item2.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本年支出</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135.36</c:v>
                </c:pt>
                <c:pt idx="1">
                  <c:v>13.77</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财政拨款收支与</a:t>
            </a:r>
            <a:r>
              <a:rPr lang="en-US" altLang="zh-CN"/>
              <a:t>2018</a:t>
            </a:r>
            <a:r>
              <a:rPr altLang="en-US"/>
              <a:t>年度决算对比情况</a:t>
            </a:r>
            <a:endParaRPr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2018年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131.17</c:v>
                </c:pt>
                <c:pt idx="1">
                  <c:v>131.5</c:v>
                </c:pt>
              </c:numCache>
            </c:numRef>
          </c:val>
        </c:ser>
        <c:ser>
          <c:idx val="1"/>
          <c:order val="1"/>
          <c:tx>
            <c:strRef>
              <c:f>Sheet1!$C$1</c:f>
              <c:strCache>
                <c:ptCount val="1"/>
                <c:pt idx="0">
                  <c:v>2019年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149.22</c:v>
                </c:pt>
                <c:pt idx="1">
                  <c:v>149.13</c:v>
                </c:pt>
              </c:numCache>
            </c:numRef>
          </c:val>
        </c:ser>
        <c:dLbls>
          <c:showLegendKey val="0"/>
          <c:showVal val="1"/>
          <c:showCatName val="0"/>
          <c:showSerName val="0"/>
          <c:showPercent val="0"/>
          <c:showBubbleSize val="0"/>
        </c:dLbls>
        <c:gapWidth val="219"/>
        <c:overlap val="-27"/>
        <c:axId val="297161605"/>
        <c:axId val="911707592"/>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delete val="1"/>
                </c:dLbls>
                <c:cat>
                  <c:strRef>
                    <c:extLst>
                      <c:ext uri="{02D57815-91ED-43cb-92C2-25804820EDAC}">
                        <c15:fullRef>
                          <c15:sqref/>
                        </c15:fullRef>
                        <c15:formulaRef>
                          <c15:sqref>Sheet1!$A$2:$A$3</c15:sqref>
                        </c15:formulaRef>
                      </c:ext>
                    </c:extLst>
                    <c:strCache>
                      <c:ptCount val="2"/>
                      <c:pt idx="0">
                        <c:v>收入</c:v>
                      </c:pt>
                      <c:pt idx="1">
                        <c:v>支出</c:v>
                      </c:pt>
                    </c:strCache>
                  </c:strRef>
                </c:cat>
                <c:val>
                  <c:numRef>
                    <c:extLst>
                      <c:ext uri="{02D57815-91ED-43cb-92C2-25804820EDAC}">
                        <c15:formulaRef>
                          <c15:sqref>Sheet1!#REF!</c15:sqref>
                        </c15:formulaRef>
                      </c:ext>
                    </c:extLst>
                    <c:numCache>
                      <c:formatCode>General</c:formatCode>
                      <c:ptCount val="1"/>
                      <c:pt idx="0">
                        <c:v>1</c:v>
                      </c:pt>
                    </c:numCache>
                  </c:numRef>
                </c:val>
              </c15:ser>
            </c15:filteredBarSeries>
          </c:ext>
        </c:extLst>
      </c:barChart>
      <c:catAx>
        <c:axId val="29716160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11707592"/>
        <c:crosses val="autoZero"/>
        <c:auto val="1"/>
        <c:lblAlgn val="ctr"/>
        <c:lblOffset val="100"/>
        <c:noMultiLvlLbl val="0"/>
      </c:catAx>
      <c:valAx>
        <c:axId val="9117075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97161605"/>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图3：财政拨款收支与预算对比</a:t>
            </a:r>
          </a:p>
          <a:p>
            <a:pPr defTabSz="914400">
              <a:defRPr lang="zh-CN" sz="1400" b="0" i="0" u="none" strike="noStrike" kern="1200" spc="0" baseline="0">
                <a:solidFill>
                  <a:schemeClr val="tx1">
                    <a:lumMod val="65000"/>
                    <a:lumOff val="35000"/>
                  </a:schemeClr>
                </a:solidFill>
                <a:latin typeface="+mn-lt"/>
                <a:ea typeface="+mn-ea"/>
                <a:cs typeface="+mn-cs"/>
              </a:defRPr>
            </a:pPr>
            <a:r>
              <a:t>                                                      （单位：万）</a:t>
            </a:r>
          </a:p>
        </c:rich>
      </c:tx>
      <c:layout>
        <c:manualLayout>
          <c:xMode val="edge"/>
          <c:yMode val="edge"/>
          <c:x val="0.100375"/>
          <c:y val="0.005"/>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2019预算</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165.98</c:v>
                </c:pt>
                <c:pt idx="1">
                  <c:v>165.98</c:v>
                </c:pt>
              </c:numCache>
            </c:numRef>
          </c:val>
        </c:ser>
        <c:ser>
          <c:idx val="1"/>
          <c:order val="1"/>
          <c:tx>
            <c:strRef>
              <c:f>Sheet1!$C$1</c:f>
              <c:strCache>
                <c:ptCount val="1"/>
                <c:pt idx="0">
                  <c:v>2019决算</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149.22</c:v>
                </c:pt>
                <c:pt idx="1">
                  <c:v>149.13</c:v>
                </c:pt>
              </c:numCache>
            </c:numRef>
          </c:val>
        </c:ser>
        <c:dLbls>
          <c:showLegendKey val="0"/>
          <c:showVal val="1"/>
          <c:showCatName val="0"/>
          <c:showSerName val="0"/>
          <c:showPercent val="0"/>
          <c:showBubbleSize val="0"/>
        </c:dLbls>
        <c:gapWidth val="219"/>
        <c:overlap val="-27"/>
        <c:axId val="47411803"/>
        <c:axId val="313872690"/>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extLst>
                      <c:ext uri="{02D57815-91ED-43cb-92C2-25804820EDAC}">
                        <c15:fullRef>
                          <c15:sqref/>
                        </c15:fullRef>
                        <c15:formulaRef>
                          <c15:sqref>Sheet1!$A$2:$A$3</c15:sqref>
                        </c15:formulaRef>
                      </c:ext>
                    </c:extLst>
                    <c:strCache>
                      <c:ptCount val="2"/>
                      <c:pt idx="0">
                        <c:v>收入</c:v>
                      </c:pt>
                      <c:pt idx="1">
                        <c:v>支出</c:v>
                      </c:pt>
                    </c:strCache>
                  </c:strRef>
                </c:cat>
                <c:val>
                  <c:numRef>
                    <c:extLst>
                      <c:ext uri="{02D57815-91ED-43cb-92C2-25804820EDAC}">
                        <c15:formulaRef>
                          <c15:sqref>Sheet1!#REF!</c15:sqref>
                        </c15:formulaRef>
                      </c:ext>
                    </c:extLst>
                    <c:numCache>
                      <c:formatCode>General</c:formatCode>
                      <c:ptCount val="1"/>
                      <c:pt idx="0">
                        <c:v>1</c:v>
                      </c:pt>
                    </c:numCache>
                  </c:numRef>
                </c:val>
              </c15:ser>
            </c15:filteredBarSeries>
          </c:ext>
        </c:extLst>
      </c:barChart>
      <c:catAx>
        <c:axId val="4741180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13872690"/>
        <c:crosses val="autoZero"/>
        <c:auto val="1"/>
        <c:lblAlgn val="ctr"/>
        <c:lblOffset val="100"/>
        <c:noMultiLvlLbl val="0"/>
      </c:catAx>
      <c:valAx>
        <c:axId val="313872690"/>
        <c:scaling>
          <c:orientation val="minMax"/>
          <c:max val="20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7411803"/>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40</Pages>
  <Words>9443</Words>
  <Characters>10829</Characters>
  <Lines>78</Lines>
  <Paragraphs>22</Paragraphs>
  <TotalTime>1</TotalTime>
  <ScaleCrop>false</ScaleCrop>
  <LinksUpToDate>false</LinksUpToDate>
  <CharactersWithSpaces>11237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怹。</cp:lastModifiedBy>
  <cp:lastPrinted>2020-07-30T02:37:00Z</cp:lastPrinted>
  <dcterms:modified xsi:type="dcterms:W3CDTF">2023-06-05T01:23:58Z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6196E32590944BB580A99F20D1B7A2BF</vt:lpwstr>
  </property>
</Properties>
</file>