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textAlignment w:val="auto"/>
        <w:outlineLvl w:val="9"/>
        <w:rPr>
          <w:rFonts w:hint="default" w:ascii="仿宋" w:hAnsi="仿宋" w:eastAsia="仿宋" w:cs="仿宋"/>
          <w:kern w:val="0"/>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1</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textAlignment w:val="auto"/>
        <w:outlineLvl w:val="9"/>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石家庄市藁城区应急管理局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1</w:t>
      </w:r>
      <w:r>
        <w:rPr>
          <w:rFonts w:hint="eastAsia" w:ascii="宋体" w:hAnsi="宋体" w:cs="宋体"/>
          <w:b/>
          <w:bCs/>
          <w:sz w:val="44"/>
          <w:szCs w:val="44"/>
        </w:rPr>
        <w:t>年度部门整体支出绩效评价报告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宋体"/>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我局认真开展了202</w:t>
      </w:r>
      <w:r>
        <w:rPr>
          <w:rFonts w:hint="eastAsia" w:ascii="仿宋" w:hAnsi="仿宋" w:eastAsia="仿宋" w:cs="仿宋"/>
          <w:sz w:val="32"/>
          <w:szCs w:val="32"/>
          <w:lang w:val="en-US" w:eastAsia="zh-CN"/>
        </w:rPr>
        <w:t>1</w:t>
      </w:r>
      <w:r>
        <w:rPr>
          <w:rFonts w:hint="eastAsia" w:ascii="仿宋" w:hAnsi="仿宋" w:eastAsia="仿宋" w:cs="仿宋"/>
          <w:sz w:val="32"/>
          <w:szCs w:val="32"/>
        </w:rPr>
        <w:t>年度预算绩效自评工作，现将有关情况报告如下：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2"/>
        </w:rPr>
        <w:t>基本情况及职责职能</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bookmarkStart w:id="0" w:name="_GoBack"/>
      <w:bookmarkEnd w:id="0"/>
      <w:r>
        <w:rPr>
          <w:rFonts w:hint="eastAsia" w:ascii="仿宋" w:hAnsi="仿宋" w:eastAsia="仿宋" w:cs="仿宋"/>
          <w:sz w:val="32"/>
          <w:szCs w:val="32"/>
          <w:lang w:eastAsia="zh-CN"/>
        </w:rP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eastAsia="zh-CN"/>
        </w:rPr>
        <w:t>我单位内设股室</w:t>
      </w:r>
      <w:r>
        <w:rPr>
          <w:rFonts w:hint="eastAsia" w:ascii="仿宋" w:hAnsi="仿宋" w:eastAsia="仿宋" w:cs="仿宋"/>
          <w:sz w:val="32"/>
          <w:szCs w:val="32"/>
          <w:lang w:val="en-US" w:eastAsia="zh-CN"/>
        </w:rPr>
        <w:t>7个：办公室、应急管理协调股、综合减灾救援股、危险化学品安全监督管理股、工商贸行业安全监督管理股、培训和科技信息化股、政策法规宣传和事故调查统计股。下属2个事业单位：应急管理综合行政执法大队、地震中心。正式在职人数42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（一）部门整体支出概况</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年部门决算收支完成情况如下：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 全年收入为</w:t>
      </w:r>
      <w:r>
        <w:rPr>
          <w:rFonts w:hint="eastAsia" w:ascii="仿宋" w:hAnsi="仿宋" w:eastAsia="仿宋"/>
          <w:sz w:val="32"/>
          <w:szCs w:val="32"/>
          <w:lang w:val="en-US" w:eastAsia="zh-CN"/>
        </w:rPr>
        <w:t>10880003.43</w:t>
      </w:r>
      <w:r>
        <w:rPr>
          <w:rFonts w:hint="eastAsia" w:ascii="仿宋" w:hAnsi="仿宋" w:eastAsia="仿宋" w:cs="仿宋"/>
          <w:sz w:val="32"/>
          <w:szCs w:val="32"/>
        </w:rPr>
        <w:t>元，其中：财政拨款收入</w:t>
      </w:r>
      <w:r>
        <w:rPr>
          <w:rFonts w:hint="eastAsia" w:ascii="仿宋" w:hAnsi="仿宋" w:eastAsia="仿宋"/>
          <w:sz w:val="32"/>
          <w:szCs w:val="32"/>
          <w:lang w:val="en-US" w:eastAsia="zh-CN"/>
        </w:rPr>
        <w:t>10880003.43</w:t>
      </w:r>
      <w:r>
        <w:rPr>
          <w:rFonts w:hint="eastAsia" w:ascii="仿宋" w:hAnsi="仿宋" w:eastAsia="仿宋" w:cs="仿宋"/>
          <w:sz w:val="32"/>
          <w:szCs w:val="32"/>
        </w:rPr>
        <w:t>元，非财政补助收入</w:t>
      </w:r>
      <w:r>
        <w:rPr>
          <w:rFonts w:hint="eastAsia" w:ascii="仿宋" w:hAnsi="仿宋" w:eastAsia="仿宋"/>
          <w:sz w:val="32"/>
          <w:szCs w:val="32"/>
          <w:lang w:val="en-US" w:eastAsia="zh-CN"/>
        </w:rPr>
        <w:t>0</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全年支出为</w:t>
      </w:r>
      <w:r>
        <w:rPr>
          <w:rFonts w:hint="eastAsia" w:ascii="仿宋" w:hAnsi="仿宋" w:eastAsia="仿宋"/>
          <w:sz w:val="32"/>
          <w:szCs w:val="32"/>
          <w:lang w:val="en-US" w:eastAsia="zh-CN"/>
        </w:rPr>
        <w:t>10887117.46</w:t>
      </w:r>
      <w:r>
        <w:rPr>
          <w:rFonts w:hint="eastAsia" w:ascii="仿宋" w:hAnsi="仿宋" w:eastAsia="仿宋"/>
          <w:sz w:val="32"/>
          <w:szCs w:val="32"/>
          <w:lang w:eastAsia="zh-CN"/>
        </w:rPr>
        <w:t>元。其中：行政支出：</w:t>
      </w:r>
      <w:r>
        <w:rPr>
          <w:rFonts w:hint="eastAsia" w:ascii="仿宋" w:hAnsi="仿宋" w:eastAsia="仿宋"/>
          <w:sz w:val="32"/>
          <w:szCs w:val="32"/>
          <w:lang w:val="en-US" w:eastAsia="zh-CN"/>
        </w:rPr>
        <w:t>6135015.97</w:t>
      </w:r>
      <w:r>
        <w:rPr>
          <w:rFonts w:hint="eastAsia" w:ascii="仿宋" w:hAnsi="仿宋" w:eastAsia="仿宋"/>
          <w:sz w:val="32"/>
          <w:szCs w:val="32"/>
          <w:lang w:eastAsia="zh-CN"/>
        </w:rPr>
        <w:t>元，项目支出</w:t>
      </w:r>
      <w:r>
        <w:rPr>
          <w:rFonts w:hint="eastAsia" w:ascii="仿宋" w:hAnsi="仿宋" w:eastAsia="仿宋"/>
          <w:sz w:val="32"/>
          <w:szCs w:val="32"/>
          <w:lang w:val="en-US" w:eastAsia="zh-CN"/>
        </w:rPr>
        <w:t>4752101.49</w:t>
      </w:r>
      <w:r>
        <w:rPr>
          <w:rFonts w:hint="eastAsia" w:ascii="仿宋" w:hAnsi="仿宋" w:eastAsia="仿宋"/>
          <w:sz w:val="32"/>
          <w:szCs w:val="32"/>
          <w:lang w:eastAsia="zh-CN"/>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3、资金结存情况：财政拨款结转结余</w:t>
      </w:r>
      <w:r>
        <w:rPr>
          <w:rFonts w:hint="eastAsia" w:ascii="仿宋" w:hAnsi="仿宋" w:eastAsia="仿宋"/>
          <w:sz w:val="32"/>
          <w:szCs w:val="32"/>
          <w:lang w:val="en-US" w:eastAsia="zh-CN"/>
        </w:rPr>
        <w:t>0</w:t>
      </w:r>
      <w:r>
        <w:rPr>
          <w:rFonts w:hint="eastAsia" w:ascii="仿宋" w:hAnsi="仿宋" w:eastAsia="仿宋" w:cs="仿宋"/>
          <w:sz w:val="32"/>
          <w:szCs w:val="32"/>
        </w:rPr>
        <w:t>元，其中财政拨款结转（项目结转）</w:t>
      </w:r>
      <w:r>
        <w:rPr>
          <w:rFonts w:hint="eastAsia" w:ascii="仿宋" w:hAnsi="仿宋" w:eastAsia="仿宋"/>
          <w:sz w:val="32"/>
          <w:szCs w:val="32"/>
          <w:lang w:val="en-US" w:eastAsia="zh-CN"/>
        </w:rPr>
        <w:t>0.362</w:t>
      </w:r>
      <w:r>
        <w:rPr>
          <w:rFonts w:hint="eastAsia" w:ascii="仿宋" w:hAnsi="仿宋" w:eastAsia="仿宋" w:cs="仿宋"/>
          <w:sz w:val="32"/>
          <w:szCs w:val="32"/>
        </w:rPr>
        <w:t>元，财政结余</w:t>
      </w:r>
      <w:r>
        <w:rPr>
          <w:rFonts w:hint="eastAsia" w:ascii="仿宋" w:hAnsi="仿宋" w:eastAsia="仿宋"/>
          <w:sz w:val="32"/>
          <w:szCs w:val="32"/>
          <w:lang w:val="en-US" w:eastAsia="zh-CN"/>
        </w:rPr>
        <w:t>0</w:t>
      </w:r>
      <w:r>
        <w:rPr>
          <w:rFonts w:hint="eastAsia" w:ascii="仿宋" w:hAnsi="仿宋" w:eastAsia="仿宋" w:cs="仿宋"/>
          <w:sz w:val="32"/>
          <w:szCs w:val="32"/>
        </w:rPr>
        <w:t>元，非财政拨款收入</w:t>
      </w:r>
      <w:r>
        <w:rPr>
          <w:rFonts w:hint="eastAsia" w:ascii="仿宋" w:hAnsi="仿宋" w:eastAsia="仿宋"/>
          <w:sz w:val="32"/>
          <w:szCs w:val="32"/>
          <w:lang w:val="en-US" w:eastAsia="zh-CN"/>
        </w:rPr>
        <w:t>0</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（二）整体支出绩效目标</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黑体"/>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部门总目标：</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黑体"/>
          <w:sz w:val="32"/>
          <w:szCs w:val="32"/>
        </w:rPr>
      </w:pPr>
      <w:r>
        <w:rPr>
          <w:rFonts w:hint="eastAsia" w:ascii="仿宋" w:hAnsi="仿宋" w:eastAsia="仿宋" w:cs="黑体"/>
          <w:sz w:val="32"/>
          <w:szCs w:val="32"/>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预决算公开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按照区财政要求，根据时间要求及时在政府门户网站上进行公开。</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资产管理：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加强国有资产管理，及时在国有资产管理系统中增加新购资产，减少报废资产，做到账实相符。每月按时进行固定资产折旧，填报资产月报。</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三公经费控制情况：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严格控制三公经费的支出，坚持节约的原则，尽可能减少三公经费的支出，同时保证全年支出不超年初预算。</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内部管理制度建设：</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根据单位实际情况和内控要求不断完善内控制度，按财政要求及时上报年度内控报告。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 xml:space="preserve">项目绩效总目标完成情况：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我单位较高效率地使用了各专项资金，基本完成了各项目的预期绩效目标，圆满完成了安全生产、地震监测和信息化建设等方面的工作。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（三）部门整体支出情况分析</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_GB2312"/>
          <w:sz w:val="32"/>
          <w:szCs w:val="32"/>
          <w:lang w:val="en-US" w:eastAsia="zh-CN"/>
        </w:rPr>
      </w:pPr>
      <w:r>
        <w:rPr>
          <w:rFonts w:hint="eastAsia" w:ascii="仿宋" w:hAnsi="仿宋" w:eastAsia="仿宋" w:cs="仿宋_GB2312"/>
          <w:sz w:val="32"/>
          <w:szCs w:val="32"/>
        </w:rPr>
        <w:t>从整体情况来看</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2021年我单位资金预算执行率较高，基本与年初预算数相一致，较为合理地使用了资金。</w:t>
      </w:r>
      <w:r>
        <w:rPr>
          <w:rFonts w:hint="eastAsia" w:ascii="仿宋" w:hAnsi="仿宋" w:eastAsia="仿宋" w:cs="仿宋"/>
          <w:sz w:val="32"/>
          <w:szCs w:val="32"/>
          <w:u w:val="none"/>
          <w:lang w:eastAsia="zh-CN"/>
        </w:rPr>
        <w:t>个别的预算项目实际支出资金与预算安排有较大差距，预算执行进度较低，个别项目未开展，支出进度为</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lang w:eastAsia="zh-CN"/>
        </w:rPr>
        <w:t>。对此情况，我单位将在以后的年度预算中，以之前</w:t>
      </w:r>
      <w:r>
        <w:rPr>
          <w:rFonts w:hint="eastAsia" w:ascii="仿宋" w:hAnsi="仿宋" w:eastAsia="仿宋" w:cs="仿宋"/>
          <w:sz w:val="32"/>
          <w:szCs w:val="32"/>
          <w:u w:val="none"/>
          <w:lang w:val="en-US" w:eastAsia="zh-CN"/>
        </w:rPr>
        <w:t>年度的实际执行情况为参考，</w:t>
      </w:r>
      <w:r>
        <w:rPr>
          <w:rFonts w:hint="eastAsia" w:ascii="仿宋" w:hAnsi="仿宋" w:eastAsia="仿宋" w:cs="仿宋"/>
          <w:sz w:val="32"/>
          <w:szCs w:val="32"/>
          <w:u w:val="none"/>
          <w:lang w:eastAsia="zh-CN"/>
        </w:rPr>
        <w:t>更加严谨地制定预算资金，提高资金的利用效率。对于</w:t>
      </w:r>
      <w:r>
        <w:rPr>
          <w:rFonts w:hint="eastAsia" w:ascii="仿宋" w:hAnsi="仿宋" w:eastAsia="仿宋" w:cs="仿宋"/>
          <w:sz w:val="32"/>
          <w:szCs w:val="32"/>
          <w:lang w:val="en-US" w:eastAsia="zh-CN"/>
        </w:rPr>
        <w:t>上级统一安排的预算项目，可提前与上级进行沟通，了解项目具体情况，若上级下达项目资金，可少申请或不申请本级财政资金。</w:t>
      </w:r>
      <w:r>
        <w:rPr>
          <w:rFonts w:hint="eastAsia" w:ascii="仿宋" w:hAnsi="仿宋" w:eastAsia="仿宋" w:cs="仿宋"/>
          <w:sz w:val="32"/>
          <w:szCs w:val="32"/>
          <w:u w:val="none"/>
          <w:lang w:eastAsia="zh-CN"/>
        </w:rPr>
        <w:t>对于不确定实施的项目，可在实际需要开展相关工作时追加项目，提高财政资金的使用率。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绩效评价工作情况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（一）绩效评价目的</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贯彻落实《预算法》，严格执行省、市、区绩效管理工作有关规定，进一步规范财政资金管理，强化财政支出绩效理念，提升部门责任意识，提高资金使用效益，促进</w:t>
      </w:r>
      <w:r>
        <w:rPr>
          <w:rFonts w:hint="eastAsia" w:ascii="仿宋" w:hAnsi="仿宋" w:eastAsia="仿宋"/>
          <w:sz w:val="32"/>
          <w:szCs w:val="32"/>
          <w:lang w:eastAsia="zh-CN"/>
        </w:rPr>
        <w:t>区域经济</w:t>
      </w:r>
      <w:r>
        <w:rPr>
          <w:rFonts w:hint="eastAsia" w:ascii="仿宋" w:hAnsi="仿宋" w:eastAsia="仿宋" w:cs="仿宋_GB2312"/>
          <w:sz w:val="32"/>
          <w:szCs w:val="32"/>
        </w:rPr>
        <w:t>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（二）绩效评价的主要过程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rPr>
        <w:t>根据绩效评价的要求，成立了自评工作领导小组，对照自评方案进行研究布署，党组成员及各股室全程参与，按照自评方案的要求，对照各实施项目的内容逐条逐项自评，及时发现问题，查找原因，纠正偏差，为下一步工作夯实基础。</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主要绩效及评价结论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
          <w:sz w:val="32"/>
          <w:szCs w:val="32"/>
          <w:lang w:val="en-US" w:eastAsia="zh-CN"/>
        </w:rPr>
        <w:t>通过此次自评工作，我单位对绩效目标做了整体分析：我单位开展了安全生产隐患排查项目，通过政府采购程序聘请专家对全区各行业领域进行2轮隐患排查工作，防范生产安全事故发生，保证安全形势稳定。继续推动全区农房保险项目的开展，帮助农民住房灾后重建，提升农村农村群众住房抵御自然灾害风险的能力。组织开展第一次全国自然灾害综合风险普查，摸清全区自然灾害风险隐患和防灾减灾能力，为我区自然灾害防治和应急管理提供科学决策依据。建设应急通信调度系统，实现多种通信手段互为补充的应急通信综合指挥调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
          <w:sz w:val="32"/>
          <w:szCs w:val="32"/>
          <w:lang w:val="en-US" w:eastAsia="zh-CN"/>
        </w:rPr>
        <w:t>通过对项目预算资金的自评，我单位对资金利用较为充分，只有个别项目未开展或因上级补助资金而为达到本级资金支出进度。今后我单位将进一步加强预算管理，严把资金支出关，厉行节约，提高预算绩效效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四、存在问题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次全国自然灾害综合风险普查项目总体完成了年初绩效目标，但预算执行率较低，主要原因为通过政府采购程序，向财政申请的项目资金到位后，上级下达相关补助资金，优先支出上级资金，本级财政预算资金剩余较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五、改进措施</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
          <w:sz w:val="32"/>
          <w:szCs w:val="32"/>
          <w:lang w:val="en-US" w:eastAsia="zh-CN"/>
        </w:rPr>
        <w:t>今后上级统一安排的预算项目，可提前与上级进行沟通，了解项目具体情况，以便合理制定绩效目标和指标，若上级下达项目资金，可少申请或不申请本级财政资金，以提高资金使用效率。</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其他需要说明的问题及有关建议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B00EA"/>
    <w:multiLevelType w:val="singleLevel"/>
    <w:tmpl w:val="10EB00EA"/>
    <w:lvl w:ilvl="0" w:tentative="0">
      <w:start w:val="2"/>
      <w:numFmt w:val="decimal"/>
      <w:suff w:val="nothing"/>
      <w:lvlText w:val="%1、"/>
      <w:lvlJc w:val="left"/>
    </w:lvl>
  </w:abstractNum>
  <w:abstractNum w:abstractNumId="1">
    <w:nsid w:val="57619FAB"/>
    <w:multiLevelType w:val="singleLevel"/>
    <w:tmpl w:val="57619FAB"/>
    <w:lvl w:ilvl="0" w:tentative="0">
      <w:start w:val="3"/>
      <w:numFmt w:val="chineseCounting"/>
      <w:suff w:val="nothing"/>
      <w:lvlText w:val="%1、"/>
      <w:lvlJc w:val="left"/>
      <w:rPr>
        <w:rFonts w:hint="eastAsia"/>
      </w:rPr>
    </w:lvl>
  </w:abstractNum>
  <w:abstractNum w:abstractNumId="2">
    <w:nsid w:val="764EAC25"/>
    <w:multiLevelType w:val="singleLevel"/>
    <w:tmpl w:val="764EAC25"/>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036C09"/>
    <w:rsid w:val="081E6089"/>
    <w:rsid w:val="0F825926"/>
    <w:rsid w:val="166D153C"/>
    <w:rsid w:val="187978A5"/>
    <w:rsid w:val="19266AB6"/>
    <w:rsid w:val="194460F5"/>
    <w:rsid w:val="1CAE0268"/>
    <w:rsid w:val="22AC3903"/>
    <w:rsid w:val="23256DAA"/>
    <w:rsid w:val="26E76F65"/>
    <w:rsid w:val="27774095"/>
    <w:rsid w:val="28036C09"/>
    <w:rsid w:val="2BA01D45"/>
    <w:rsid w:val="3037083C"/>
    <w:rsid w:val="30BC27C6"/>
    <w:rsid w:val="30F8218F"/>
    <w:rsid w:val="317229DF"/>
    <w:rsid w:val="322446DF"/>
    <w:rsid w:val="355208D3"/>
    <w:rsid w:val="3663183C"/>
    <w:rsid w:val="3F045C86"/>
    <w:rsid w:val="427C68CE"/>
    <w:rsid w:val="441024C1"/>
    <w:rsid w:val="4455188C"/>
    <w:rsid w:val="44E81CBA"/>
    <w:rsid w:val="45B4185E"/>
    <w:rsid w:val="473D6B48"/>
    <w:rsid w:val="49D30ADE"/>
    <w:rsid w:val="4A5F5C24"/>
    <w:rsid w:val="4C0C3488"/>
    <w:rsid w:val="539C2AB2"/>
    <w:rsid w:val="53A97137"/>
    <w:rsid w:val="56110AFF"/>
    <w:rsid w:val="57DD222E"/>
    <w:rsid w:val="5AD97B9A"/>
    <w:rsid w:val="5DD31322"/>
    <w:rsid w:val="5F1A2A68"/>
    <w:rsid w:val="5F1A6810"/>
    <w:rsid w:val="61511E66"/>
    <w:rsid w:val="62B6106A"/>
    <w:rsid w:val="62CE57AD"/>
    <w:rsid w:val="65503446"/>
    <w:rsid w:val="668C7695"/>
    <w:rsid w:val="676B62EF"/>
    <w:rsid w:val="695C059C"/>
    <w:rsid w:val="70315121"/>
    <w:rsid w:val="711C11AF"/>
    <w:rsid w:val="72497FA7"/>
    <w:rsid w:val="78D840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1068</Words>
  <Characters>1119</Characters>
  <Lines>0</Lines>
  <Paragraphs>0</Paragraphs>
  <TotalTime>2</TotalTime>
  <ScaleCrop>false</ScaleCrop>
  <LinksUpToDate>false</LinksUpToDate>
  <CharactersWithSpaces>1236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26656</cp:lastModifiedBy>
  <dcterms:modified xsi:type="dcterms:W3CDTF">2023-06-05T01:04:46Z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FF808D66ACF94C9CACA5A8E7BD874414</vt:lpwstr>
  </property>
</Properties>
</file>