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2"/>
        <w:ind w:left="360" w:firstLine="640"/>
        <w:rPr>
          <w:sz w:val="32"/>
          <w:szCs w:val="32"/>
        </w:rPr>
      </w:pPr>
    </w:p>
    <w:p>
      <w:pPr>
        <w:pStyle w:val="22"/>
        <w:ind w:left="360" w:firstLine="880"/>
        <w:rPr>
          <w:sz w:val="44"/>
          <w:szCs w:val="44"/>
        </w:rPr>
      </w:pPr>
    </w:p>
    <w:p>
      <w:pPr>
        <w:pStyle w:val="22"/>
        <w:ind w:left="360" w:firstLine="880"/>
        <w:rPr>
          <w:sz w:val="44"/>
          <w:szCs w:val="44"/>
        </w:rPr>
      </w:pPr>
    </w:p>
    <w:p>
      <w:pPr>
        <w:pStyle w:val="22"/>
        <w:ind w:firstLine="0" w:firstLineChars="0"/>
        <w:rPr>
          <w:sz w:val="44"/>
          <w:szCs w:val="44"/>
        </w:rPr>
      </w:pPr>
    </w:p>
    <w:p>
      <w:pPr>
        <w:pStyle w:val="22"/>
        <w:ind w:firstLine="0" w:firstLineChars="0"/>
        <w:rPr>
          <w:sz w:val="72"/>
          <w:szCs w:val="72"/>
        </w:rPr>
      </w:pPr>
    </w:p>
    <w:p>
      <w:pPr>
        <w:pStyle w:val="22"/>
        <w:ind w:left="360" w:firstLine="0" w:firstLineChars="0"/>
        <w:rPr>
          <w:sz w:val="72"/>
          <w:szCs w:val="72"/>
        </w:rPr>
      </w:pPr>
    </w:p>
    <w:p>
      <w:pPr>
        <w:pStyle w:val="22"/>
        <w:ind w:left="360" w:firstLine="0" w:firstLineChars="0"/>
        <w:rPr>
          <w:b/>
          <w:sz w:val="72"/>
          <w:szCs w:val="72"/>
        </w:rPr>
      </w:pPr>
      <w:r>
        <w:rPr>
          <w:rFonts w:hint="eastAsia"/>
          <w:b/>
          <w:sz w:val="72"/>
          <w:szCs w:val="72"/>
        </w:rPr>
        <w:t>2017年度部门决算公开</w:t>
      </w:r>
    </w:p>
    <w:p>
      <w:pPr>
        <w:pStyle w:val="22"/>
        <w:ind w:left="360" w:firstLine="0" w:firstLineChars="0"/>
        <w:rPr>
          <w:b/>
          <w:sz w:val="72"/>
          <w:szCs w:val="72"/>
        </w:rPr>
      </w:pPr>
    </w:p>
    <w:p>
      <w:pPr>
        <w:pStyle w:val="22"/>
        <w:ind w:left="360" w:firstLine="0" w:firstLineChars="0"/>
        <w:rPr>
          <w:sz w:val="72"/>
          <w:szCs w:val="72"/>
        </w:rPr>
      </w:pPr>
    </w:p>
    <w:p>
      <w:pPr>
        <w:pStyle w:val="22"/>
        <w:ind w:left="360" w:firstLine="0" w:firstLineChars="0"/>
        <w:rPr>
          <w:sz w:val="72"/>
          <w:szCs w:val="72"/>
        </w:rPr>
      </w:pPr>
    </w:p>
    <w:p>
      <w:pPr>
        <w:pStyle w:val="22"/>
        <w:ind w:left="360" w:firstLine="0" w:firstLineChars="0"/>
        <w:rPr>
          <w:sz w:val="72"/>
          <w:szCs w:val="72"/>
        </w:rPr>
      </w:pPr>
    </w:p>
    <w:p>
      <w:pPr>
        <w:rPr>
          <w:sz w:val="72"/>
          <w:szCs w:val="72"/>
        </w:rPr>
      </w:pPr>
    </w:p>
    <w:p>
      <w:pPr>
        <w:rPr>
          <w:sz w:val="72"/>
          <w:szCs w:val="72"/>
        </w:rPr>
      </w:pPr>
    </w:p>
    <w:p>
      <w:pPr>
        <w:rPr>
          <w:sz w:val="72"/>
          <w:szCs w:val="72"/>
        </w:rPr>
      </w:pPr>
    </w:p>
    <w:p>
      <w:pPr>
        <w:pStyle w:val="22"/>
        <w:ind w:left="360" w:firstLine="0" w:firstLineChars="0"/>
        <w:jc w:val="center"/>
        <w:rPr>
          <w:b/>
          <w:sz w:val="44"/>
          <w:szCs w:val="44"/>
        </w:rPr>
      </w:pPr>
      <w:r>
        <w:rPr>
          <w:rFonts w:hint="eastAsia"/>
          <w:b/>
          <w:sz w:val="44"/>
          <w:szCs w:val="44"/>
        </w:rPr>
        <w:t>藁城区国土资源局</w:t>
      </w:r>
    </w:p>
    <w:p>
      <w:pPr>
        <w:pStyle w:val="22"/>
        <w:ind w:left="360" w:firstLine="0" w:firstLineChars="0"/>
        <w:jc w:val="center"/>
        <w:rPr>
          <w:b/>
          <w:sz w:val="44"/>
          <w:szCs w:val="44"/>
        </w:rPr>
      </w:pPr>
      <w:r>
        <w:rPr>
          <w:rFonts w:hint="eastAsia"/>
          <w:b/>
          <w:sz w:val="44"/>
          <w:szCs w:val="44"/>
        </w:rPr>
        <w:t>2018年10月12日</w:t>
      </w:r>
    </w:p>
    <w:p>
      <w:pPr>
        <w:widowControl/>
        <w:jc w:val="left"/>
        <w:rPr>
          <w:rFonts w:asciiTheme="minorEastAsia" w:hAnsiTheme="minorEastAsia"/>
          <w:b/>
          <w:sz w:val="52"/>
          <w:szCs w:val="52"/>
        </w:rPr>
      </w:pPr>
    </w:p>
    <w:p>
      <w:pPr>
        <w:jc w:val="center"/>
        <w:rPr>
          <w:b/>
          <w:kern w:val="44"/>
          <w:sz w:val="52"/>
          <w:szCs w:val="52"/>
        </w:rPr>
      </w:pPr>
      <w:r>
        <w:rPr>
          <w:rFonts w:hint="eastAsia" w:asciiTheme="minorEastAsia" w:hAnsiTheme="minorEastAsia"/>
          <w:b/>
          <w:sz w:val="52"/>
          <w:szCs w:val="52"/>
        </w:rPr>
        <w:t>部门决算公开目录</w:t>
      </w:r>
    </w:p>
    <w:p>
      <w:pPr>
        <w:rPr>
          <w:rFonts w:asciiTheme="minorEastAsia" w:hAnsiTheme="minorEastAsia"/>
          <w:b/>
          <w:sz w:val="36"/>
          <w:szCs w:val="36"/>
        </w:rPr>
      </w:pPr>
      <w:r>
        <w:rPr>
          <w:rFonts w:hint="eastAsia" w:asciiTheme="minorEastAsia" w:hAnsiTheme="minorEastAsia"/>
          <w:b/>
          <w:sz w:val="36"/>
          <w:szCs w:val="36"/>
        </w:rPr>
        <w:t>第一部分 部门概况</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pPr>
        <w:rPr>
          <w:rFonts w:asciiTheme="minorEastAsia" w:hAnsiTheme="minorEastAsia"/>
          <w:b/>
          <w:sz w:val="36"/>
          <w:szCs w:val="36"/>
        </w:rPr>
      </w:pPr>
      <w:r>
        <w:rPr>
          <w:rFonts w:hint="eastAsia" w:asciiTheme="minorEastAsia" w:hAnsiTheme="minorEastAsia"/>
          <w:b/>
          <w:sz w:val="36"/>
          <w:szCs w:val="36"/>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pPr>
        <w:spacing w:line="360" w:lineRule="auto"/>
        <w:ind w:firstLine="1500" w:firstLineChars="500"/>
        <w:rPr>
          <w:rFonts w:asciiTheme="minorEastAsia" w:hAnsiTheme="minorEastAsia"/>
          <w:sz w:val="30"/>
          <w:szCs w:val="30"/>
        </w:rPr>
      </w:pPr>
      <w:r>
        <w:rPr>
          <w:rFonts w:hint="eastAsia" w:asciiTheme="minorEastAsia" w:hAnsiTheme="minorEastAsia"/>
          <w:sz w:val="30"/>
          <w:szCs w:val="30"/>
        </w:rPr>
        <w:t>1、 机关运行经费情况</w:t>
      </w:r>
    </w:p>
    <w:p>
      <w:pPr>
        <w:spacing w:line="360" w:lineRule="auto"/>
        <w:ind w:firstLine="1500" w:firstLineChars="500"/>
        <w:rPr>
          <w:rFonts w:asciiTheme="minorEastAsia" w:hAnsiTheme="minorEastAsia"/>
          <w:sz w:val="30"/>
          <w:szCs w:val="30"/>
        </w:rPr>
      </w:pPr>
      <w:r>
        <w:rPr>
          <w:rFonts w:hint="eastAsia" w:asciiTheme="minorEastAsia" w:hAnsiTheme="minorEastAsia"/>
          <w:sz w:val="30"/>
          <w:szCs w:val="30"/>
        </w:rPr>
        <w:t>2、 政府采购情况</w:t>
      </w:r>
    </w:p>
    <w:p>
      <w:pPr>
        <w:spacing w:line="360" w:lineRule="auto"/>
        <w:ind w:firstLine="1500" w:firstLineChars="500"/>
        <w:rPr>
          <w:rFonts w:asciiTheme="minorEastAsia" w:hAnsiTheme="minorEastAsia"/>
          <w:sz w:val="30"/>
          <w:szCs w:val="30"/>
        </w:rPr>
      </w:pPr>
      <w:r>
        <w:rPr>
          <w:rFonts w:hint="eastAsia" w:asciiTheme="minorEastAsia" w:hAnsiTheme="minorEastAsia"/>
          <w:sz w:val="30"/>
          <w:szCs w:val="30"/>
        </w:rPr>
        <w:t>3、国有资产占用情况</w:t>
      </w:r>
    </w:p>
    <w:p>
      <w:pPr>
        <w:rPr>
          <w:rFonts w:asciiTheme="minorEastAsia" w:hAnsiTheme="minorEastAsia"/>
          <w:b/>
          <w:sz w:val="36"/>
          <w:szCs w:val="36"/>
        </w:rPr>
      </w:pPr>
      <w:r>
        <w:rPr>
          <w:rFonts w:hint="eastAsia" w:asciiTheme="minorEastAsia" w:hAnsiTheme="minorEastAsia"/>
          <w:b/>
          <w:sz w:val="36"/>
          <w:szCs w:val="36"/>
        </w:rPr>
        <w:t>第四部分 名词解释</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石家庄市藁城区国土资源局</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2017年部门决算公开信息</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第一部分 部门概况</w:t>
      </w:r>
    </w:p>
    <w:p>
      <w:pPr>
        <w:rPr>
          <w:rFonts w:asciiTheme="minorEastAsia" w:hAnsiTheme="minorEastAsia"/>
          <w:b/>
          <w:sz w:val="36"/>
          <w:szCs w:val="36"/>
        </w:rPr>
      </w:pPr>
      <w:r>
        <w:rPr>
          <w:rFonts w:hint="eastAsia" w:asciiTheme="minorEastAsia" w:hAnsiTheme="minorEastAsia"/>
          <w:b/>
          <w:sz w:val="36"/>
          <w:szCs w:val="36"/>
        </w:rPr>
        <w:t>一、 部门职责</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1、贯彻落实上级有关土地、矿产等自然资源管理及基础测绘工作的方针 、政策，执行有关法律，法规；负责全区土地资源、矿产资源等资源的管理、保护与合理开发利用工作。</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2、组织编制和实施全区国土规划、土地利用总体规划和其它专项规划；参与审核上报上级政府审批的城市总体规划；指导、审核各乡(镇)土地利用总体规划；组织矿产资源调查评价，编制矿产资源保护与合理利用规划；制定并实施基础测绘管理计划。</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3、监督检查全区土地资源、矿产资源、测绘管理等法律法规贯彻执行情况；依法保护土地、矿产资源所有者和使用者的合法权益，承办并组织调处重大权属纠纷，查处重大违法案件。</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4、实施耕地特殊保护和鼓励耕地开发政策，实施农地用途管制，组织基本农田保护，指导未利用土地开发，土地整理、土地复垦和开发耕地监督工作，确保耕地面积只能增加，不能减少。</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5、管理全市城乡地籍工作，实施地籍管理办法；组织土地资源调查、地籍调查、土地统计和动态监测；负责土地确权、土地纠纷调处、城乡地籍土地定级和登记、发证工作。负责拟定不动产登记政策并组织实施，负责土地登记、房屋登记、林地登记、水域登记。</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6、负责全区的基础测绘工作；负责测绘单位资质的管理、测绘任务登记和测绘结果的接收、搜集、整理及应用工作；依法管理全区基础地理信息数据及社会化服务工作；负责测绘市场监督管理工作和测绘专项资金监督管理工作。</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7、按规定组织实施土地使用权出让、租赁、作价出资、转让、交易和政府收购管理办法；拟定乡（镇）村用地管理办法；指导农村集体非农土地使用权流转管理。</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8、指导基准地价，标定地价评测；确认土地使用权价格；承担各级政府审批的各类用地审查报批工作。</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9、依法管理全市矿产资源探矿权、采矿权的审批登记、发证和转让审批工作；在授权范围内依法审批对外合作区块；对矿产资源开发、利用、保护实施监督管理；承担矿产资源储量管理工作，管理地质资料。</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10、依法征收有关专项收费并负责专项管理；协助上级国土资源部门和财政税务部门征缴有关税费。</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11、负责土地、矿产、测绘法律法规的宣传教育工作和国土资源信息化建设工作。</w:t>
      </w:r>
    </w:p>
    <w:p>
      <w:pPr>
        <w:ind w:firstLine="640" w:firstLineChars="200"/>
        <w:rPr>
          <w:rFonts w:cs="仿宋_GB2312" w:asciiTheme="minorEastAsia" w:hAnsiTheme="minorEastAsia"/>
          <w:bCs/>
          <w:sz w:val="32"/>
          <w:szCs w:val="32"/>
        </w:rPr>
      </w:pPr>
      <w:r>
        <w:rPr>
          <w:rFonts w:hint="eastAsia" w:cs="仿宋_GB2312" w:asciiTheme="minorEastAsia" w:hAnsiTheme="minorEastAsia"/>
          <w:bCs/>
          <w:sz w:val="32"/>
          <w:szCs w:val="32"/>
        </w:rPr>
        <w:t>12、承办区政府交办的其他工作。</w:t>
      </w:r>
    </w:p>
    <w:p>
      <w:pPr>
        <w:rPr>
          <w:rFonts w:asciiTheme="minorEastAsia" w:hAnsiTheme="minorEastAsia"/>
          <w:b/>
          <w:sz w:val="36"/>
          <w:szCs w:val="36"/>
        </w:rPr>
      </w:pPr>
      <w:r>
        <w:rPr>
          <w:rFonts w:hint="eastAsia" w:asciiTheme="minorEastAsia" w:hAnsiTheme="minorEastAsia"/>
          <w:b/>
          <w:sz w:val="36"/>
          <w:szCs w:val="36"/>
        </w:rPr>
        <w:t>二、部门决算单位构成</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单位名称</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单位性质</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单位规格</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石家庄市藁城区国土资源局(机关)</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行政</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正科级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石家庄市藁城区不动产登记中心</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副科级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石家庄市藁城区建设用地服务中心</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股级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石家庄市藁城区土地储备中心</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正科级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自收自支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藁城区土地整理中心</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股级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自收自支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石家庄市藁城区国土资源所</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股级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自收自支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藁城市矿产资源管理所</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事业</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股级</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自收自支</w:t>
            </w:r>
          </w:p>
        </w:tc>
      </w:tr>
    </w:tbl>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第二部分 2017年度部门决算报表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pPr>
        <w:rPr>
          <w:rFonts w:asciiTheme="minorEastAsia" w:hAnsiTheme="minorEastAsia"/>
          <w:sz w:val="32"/>
          <w:szCs w:val="32"/>
        </w:rPr>
      </w:pP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第三部分 2017年度部门决算情况说明</w:t>
      </w:r>
    </w:p>
    <w:p>
      <w:pPr>
        <w:rPr>
          <w:rFonts w:asciiTheme="minorEastAsia" w:hAnsiTheme="minorEastAsia"/>
          <w:b/>
          <w:sz w:val="36"/>
          <w:szCs w:val="36"/>
        </w:rPr>
      </w:pPr>
      <w:r>
        <w:rPr>
          <w:rFonts w:hint="eastAsia" w:asciiTheme="minorEastAsia" w:hAnsiTheme="minorEastAsia"/>
          <w:b/>
          <w:sz w:val="36"/>
          <w:szCs w:val="36"/>
        </w:rPr>
        <w:t>一、收入支出决算总体情况说明</w:t>
      </w:r>
    </w:p>
    <w:p>
      <w:pPr>
        <w:spacing w:line="560" w:lineRule="exact"/>
        <w:ind w:firstLine="640"/>
        <w:rPr>
          <w:rFonts w:asciiTheme="minorEastAsia" w:hAnsiTheme="minorEastAsia"/>
          <w:sz w:val="32"/>
          <w:szCs w:val="32"/>
        </w:rPr>
      </w:pPr>
      <w:r>
        <w:rPr>
          <w:rFonts w:hint="eastAsia" w:asciiTheme="minorEastAsia" w:hAnsiTheme="minorEastAsia"/>
          <w:sz w:val="32"/>
          <w:szCs w:val="32"/>
        </w:rPr>
        <w:t>2017年度年初结转和结余419.05万元，本年收入32741.47万元，本年支出 31273.33 万元，用事业基金弥补收支差额 0万元，结余分配 0 万元，年末结转和结余 1887.19万元。与 2016 年度决算相比，本年收入增加20781.21 万元，增加174 %；本年支出增加20200.79 万元，增加182 %。增加原因主要为机构合并人员经费、土地收储项目增加。</w:t>
      </w:r>
    </w:p>
    <w:p>
      <w:pPr>
        <w:spacing w:line="560" w:lineRule="exact"/>
        <w:ind w:firstLine="640"/>
        <w:rPr>
          <w:rFonts w:asciiTheme="minorEastAsia" w:hAnsiTheme="minorEastAsia"/>
          <w:b/>
          <w:sz w:val="36"/>
          <w:szCs w:val="36"/>
        </w:rPr>
      </w:pPr>
      <w:r>
        <w:rPr>
          <w:rFonts w:hint="eastAsia" w:asciiTheme="minorEastAsia" w:hAnsiTheme="minorEastAsia"/>
          <w:b/>
          <w:sz w:val="36"/>
          <w:szCs w:val="36"/>
        </w:rPr>
        <w:t>二、收入决算情况说明</w:t>
      </w:r>
    </w:p>
    <w:p>
      <w:pPr>
        <w:ind w:firstLine="640" w:firstLineChars="200"/>
        <w:rPr>
          <w:rFonts w:asciiTheme="minorEastAsia" w:hAnsiTheme="minorEastAsia"/>
          <w:sz w:val="32"/>
          <w:szCs w:val="32"/>
        </w:rPr>
      </w:pPr>
      <w:r>
        <w:rPr>
          <w:rFonts w:hint="eastAsia" w:asciiTheme="minorEastAsia" w:hAnsiTheme="minorEastAsia"/>
          <w:sz w:val="32"/>
          <w:szCs w:val="32"/>
        </w:rPr>
        <w:t>2017 年度收入合计32741.47万元， 其中： 财政拨款收入32741.47 万元，占 100%。与 2016 年度相比，收入增加20781.21 万元，其中财政拨款收入增加20781.21万元。</w:t>
      </w:r>
    </w:p>
    <w:p>
      <w:pPr>
        <w:ind w:firstLine="640" w:firstLineChars="200"/>
        <w:rPr>
          <w:rFonts w:asciiTheme="minorEastAsia" w:hAnsiTheme="minorEastAsia"/>
          <w:sz w:val="32"/>
          <w:szCs w:val="32"/>
        </w:rPr>
      </w:pPr>
      <w:r>
        <w:rPr>
          <w:rFonts w:asciiTheme="minorEastAsia" w:hAnsiTheme="minorEastAsia"/>
          <w:sz w:val="32"/>
          <w:szCs w:val="32"/>
        </w:rPr>
        <w:drawing>
          <wp:inline distT="0" distB="0" distL="0" distR="0">
            <wp:extent cx="3705225" cy="2400300"/>
            <wp:effectExtent l="19050" t="0" r="9525"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rPr>
          <w:rFonts w:asciiTheme="minorEastAsia" w:hAnsiTheme="minorEastAsia"/>
          <w:b/>
          <w:sz w:val="36"/>
          <w:szCs w:val="36"/>
        </w:rPr>
      </w:pPr>
      <w:r>
        <w:rPr>
          <w:rFonts w:hint="eastAsia" w:asciiTheme="minorEastAsia" w:hAnsiTheme="minorEastAsia"/>
          <w:b/>
          <w:sz w:val="36"/>
          <w:szCs w:val="36"/>
        </w:rPr>
        <w:t>三、支出决算情况说明</w:t>
      </w:r>
    </w:p>
    <w:p>
      <w:pPr>
        <w:ind w:firstLine="640" w:firstLineChars="200"/>
        <w:rPr>
          <w:rFonts w:asciiTheme="minorEastAsia" w:hAnsiTheme="minorEastAsia"/>
          <w:sz w:val="32"/>
          <w:szCs w:val="32"/>
        </w:rPr>
      </w:pPr>
      <w:r>
        <w:rPr>
          <w:rFonts w:hint="eastAsia" w:asciiTheme="minorEastAsia" w:hAnsiTheme="minorEastAsia"/>
          <w:sz w:val="32"/>
          <w:szCs w:val="32"/>
        </w:rPr>
        <w:t>2017 年度支出合计 31273.33万元，其中：基本支出406.65万元，占1.3%；项目支出30866.68万元，占98.7%。与 2016 年度相比，支出增加20200.79 万元，其中基本支出减少560.18 万元，项目支出增加 20760.98 万元。</w:t>
      </w:r>
    </w:p>
    <w:p>
      <w:pPr>
        <w:ind w:firstLine="640" w:firstLineChars="200"/>
        <w:rPr>
          <w:rFonts w:asciiTheme="minorEastAsia" w:hAnsiTheme="minorEastAsia"/>
          <w:sz w:val="32"/>
          <w:szCs w:val="32"/>
        </w:rPr>
      </w:pPr>
      <w:r>
        <w:rPr>
          <w:rFonts w:asciiTheme="minorEastAsia" w:hAnsiTheme="minorEastAsia"/>
          <w:sz w:val="32"/>
          <w:szCs w:val="32"/>
        </w:rPr>
        <w:drawing>
          <wp:inline distT="0" distB="0" distL="0" distR="0">
            <wp:extent cx="3762375" cy="2143125"/>
            <wp:effectExtent l="19050" t="0" r="9525"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rPr>
          <w:rFonts w:asciiTheme="minorEastAsia" w:hAnsiTheme="minorEastAsia"/>
          <w:b/>
          <w:sz w:val="36"/>
          <w:szCs w:val="36"/>
        </w:rPr>
      </w:pPr>
      <w:r>
        <w:rPr>
          <w:rFonts w:hint="eastAsia" w:asciiTheme="minorEastAsia" w:hAnsiTheme="minorEastAsia"/>
          <w:b/>
          <w:sz w:val="36"/>
          <w:szCs w:val="36"/>
        </w:rPr>
        <w:t>四、 财政拨款收入支出决算总体情况说明</w:t>
      </w:r>
    </w:p>
    <w:p>
      <w:pPr>
        <w:rPr>
          <w:rFonts w:asciiTheme="minorEastAsia" w:hAnsiTheme="minorEastAsia"/>
          <w:b/>
          <w:sz w:val="32"/>
          <w:szCs w:val="32"/>
        </w:rPr>
      </w:pPr>
      <w:r>
        <w:rPr>
          <w:rFonts w:hint="eastAsia" w:asciiTheme="minorEastAsia" w:hAnsiTheme="minorEastAsia"/>
          <w:b/>
          <w:sz w:val="32"/>
          <w:szCs w:val="32"/>
        </w:rPr>
        <w:t>（一）财政拨款收支与2016年度决算对比情况</w:t>
      </w:r>
    </w:p>
    <w:p>
      <w:pPr>
        <w:ind w:firstLine="640" w:firstLineChars="200"/>
        <w:rPr>
          <w:rFonts w:asciiTheme="minorEastAsia" w:hAnsiTheme="minorEastAsia"/>
          <w:sz w:val="32"/>
          <w:szCs w:val="32"/>
        </w:rPr>
      </w:pPr>
      <w:r>
        <w:rPr>
          <w:rFonts w:hint="eastAsia" w:asciiTheme="minorEastAsia" w:hAnsiTheme="minorEastAsia"/>
          <w:sz w:val="32"/>
          <w:szCs w:val="32"/>
        </w:rPr>
        <w:t>2017 年度财政拨款收入 32741.47万元， 其中：一般公共预算拨款 2456.43 万元，政府性基金预算财政拨款 30285.04万元。与 2016 年度决算相比，财政拨款收入增加20781.21万元，其中：一般公共预算拨款收入增加 1440 万元，政府性基金预算财政拨款增加 19341.21万元。</w:t>
      </w:r>
    </w:p>
    <w:p>
      <w:pPr>
        <w:ind w:firstLine="640" w:firstLineChars="200"/>
        <w:rPr>
          <w:rFonts w:asciiTheme="minorEastAsia" w:hAnsiTheme="minorEastAsia"/>
          <w:sz w:val="32"/>
          <w:szCs w:val="32"/>
        </w:rPr>
      </w:pPr>
      <w:r>
        <w:rPr>
          <w:rFonts w:hint="eastAsia" w:asciiTheme="minorEastAsia" w:hAnsiTheme="minorEastAsia"/>
          <w:sz w:val="32"/>
          <w:szCs w:val="32"/>
        </w:rPr>
        <w:t>2017 年度财政拨款支出 31273.33 万元， 其中：一般公共预算拨款支出 1245.68 万元，政府性基金预算财政拨款支出30027.66万元。与 2016年度决算相比，财政拨款支出增加 20200.79 万元， 其中：一般公共预算拨款支出增加 236.18万元，政府性基金预算财政拨款支出增加 19964.61 万元。</w:t>
      </w:r>
    </w:p>
    <w:p>
      <w:pPr>
        <w:ind w:firstLine="640" w:firstLineChars="200"/>
        <w:rPr>
          <w:rFonts w:asciiTheme="minorEastAsia" w:hAnsiTheme="minorEastAsia"/>
          <w:sz w:val="32"/>
          <w:szCs w:val="32"/>
        </w:rPr>
      </w:pPr>
      <w:r>
        <w:rPr>
          <w:rFonts w:hint="eastAsia" w:asciiTheme="minorEastAsia" w:hAnsiTheme="minorEastAsia"/>
          <w:sz w:val="32"/>
          <w:szCs w:val="32"/>
        </w:rPr>
        <w:t>2017 年度财政拨款收支比 2016 年大幅增加的主要原因是：机构合并人员经费增加，土地收储增加。</w:t>
      </w:r>
    </w:p>
    <w:p>
      <w:pPr>
        <w:rPr>
          <w:rFonts w:asciiTheme="minorEastAsia" w:hAnsiTheme="minorEastAsia"/>
          <w:b/>
          <w:sz w:val="32"/>
          <w:szCs w:val="32"/>
        </w:rPr>
      </w:pPr>
      <w:r>
        <w:rPr>
          <w:rFonts w:hint="eastAsia" w:asciiTheme="minorEastAsia" w:hAnsiTheme="minorEastAsia"/>
          <w:b/>
          <w:sz w:val="32"/>
          <w:szCs w:val="32"/>
        </w:rPr>
        <w:t>（二）财政拨款收支与年初预算数对比情况</w:t>
      </w:r>
    </w:p>
    <w:p>
      <w:pPr>
        <w:ind w:firstLine="640" w:firstLineChars="200"/>
        <w:rPr>
          <w:rFonts w:asciiTheme="minorEastAsia" w:hAnsiTheme="minorEastAsia"/>
          <w:sz w:val="32"/>
          <w:szCs w:val="32"/>
        </w:rPr>
      </w:pPr>
      <w:r>
        <w:rPr>
          <w:rFonts w:hint="eastAsia" w:asciiTheme="minorEastAsia" w:hAnsiTheme="minorEastAsia"/>
          <w:sz w:val="32"/>
          <w:szCs w:val="32"/>
        </w:rPr>
        <w:t>2017 年度，年初预算批复财政拨款收支2699.53万元，其中：一般公共预算拨款460.43万元， 政府性基金预算财政拨款收支 2239.1万元。与年初预算相比，财政拨款收入增加30041.94 万元，增加1112.86%，其中：一般公共预算拨款增加1996万元，政府性基金预算财政拨款增加28045.94万元。财政拨款支出增加28573.8万元，增加1058.47%，其中：一般公共预算拨款增加878.75万元， 政府性基金预算财政拨款增加27695.06万元。2017 年度财政拨款收支比年初预算增加的主要原因是机构合并人员经费、土地收储增加。</w:t>
      </w:r>
    </w:p>
    <w:p>
      <w:pPr>
        <w:rPr>
          <w:rFonts w:asciiTheme="minorEastAsia" w:hAnsiTheme="minorEastAsia"/>
          <w:b/>
          <w:sz w:val="36"/>
          <w:szCs w:val="36"/>
        </w:rPr>
      </w:pPr>
      <w:r>
        <w:rPr>
          <w:rFonts w:hint="eastAsia" w:asciiTheme="minorEastAsia" w:hAnsiTheme="minorEastAsia"/>
          <w:b/>
          <w:sz w:val="36"/>
          <w:szCs w:val="36"/>
        </w:rPr>
        <w:t>五、 “ 三公” 经费支出决算情况说明</w:t>
      </w:r>
    </w:p>
    <w:p>
      <w:pPr>
        <w:ind w:firstLine="640" w:firstLineChars="200"/>
        <w:rPr>
          <w:rFonts w:asciiTheme="minorEastAsia" w:hAnsiTheme="minorEastAsia"/>
          <w:sz w:val="32"/>
          <w:szCs w:val="32"/>
        </w:rPr>
      </w:pPr>
      <w:r>
        <w:rPr>
          <w:rFonts w:hint="eastAsia" w:asciiTheme="minorEastAsia" w:hAnsiTheme="minorEastAsia"/>
          <w:sz w:val="32"/>
          <w:szCs w:val="32"/>
        </w:rPr>
        <w:t>2017年度，我局认真落实中央八项规定精神和厉行节约要求，管理制度不断完善，“ 三公” 经费支出得到有效控制。全年“ 三公” 经费支出共计23.65万元，与2016年度比，总支出减少8.27 万元， 减少25.91 %。</w:t>
      </w:r>
    </w:p>
    <w:p>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经费支出共计23.65 万元，与2016年度对比，总支出减少8.27万元。</w:t>
      </w:r>
    </w:p>
    <w:p>
      <w:pPr>
        <w:rPr>
          <w:rFonts w:asciiTheme="minorEastAsia" w:hAnsiTheme="minorEastAsia"/>
          <w:b/>
          <w:sz w:val="32"/>
          <w:szCs w:val="32"/>
        </w:rPr>
      </w:pPr>
      <w:r>
        <w:rPr>
          <w:rFonts w:hint="eastAsia" w:asciiTheme="minorEastAsia" w:hAnsiTheme="minorEastAsia"/>
          <w:b/>
          <w:sz w:val="32"/>
          <w:szCs w:val="32"/>
        </w:rPr>
        <w:t>“ 三公” 经费支出2016年度、 2017年度对比明细表</w:t>
      </w:r>
    </w:p>
    <w:p>
      <w:pPr>
        <w:jc w:val="right"/>
        <w:rPr>
          <w:rFonts w:asciiTheme="minorEastAsia" w:hAnsiTheme="minorEastAsia"/>
          <w:sz w:val="28"/>
          <w:szCs w:val="28"/>
        </w:rPr>
      </w:pPr>
      <w:r>
        <w:rPr>
          <w:rFonts w:hint="eastAsia" w:asciiTheme="minorEastAsia" w:hAnsiTheme="minorEastAsia"/>
          <w:sz w:val="28"/>
          <w:szCs w:val="28"/>
        </w:rPr>
        <w:t>单位：万元</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2017年与2016年对比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29.92</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23.65</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31.92</w:t>
            </w:r>
          </w:p>
        </w:tc>
        <w:tc>
          <w:tcPr>
            <w:tcW w:w="2130" w:type="dxa"/>
            <w:vAlign w:val="center"/>
          </w:tcPr>
          <w:p>
            <w:pPr>
              <w:jc w:val="center"/>
              <w:rPr>
                <w:rFonts w:asciiTheme="minorEastAsia" w:hAnsiTheme="minorEastAsia"/>
                <w:sz w:val="24"/>
                <w:szCs w:val="24"/>
              </w:rPr>
            </w:pPr>
            <w:r>
              <w:rPr>
                <w:rFonts w:hint="eastAsia" w:asciiTheme="minorEastAsia" w:hAnsiTheme="minorEastAsia"/>
                <w:sz w:val="24"/>
                <w:szCs w:val="24"/>
              </w:rPr>
              <w:t>23.65</w:t>
            </w:r>
          </w:p>
        </w:tc>
        <w:tc>
          <w:tcPr>
            <w:tcW w:w="2131" w:type="dxa"/>
            <w:vAlign w:val="center"/>
          </w:tcPr>
          <w:p>
            <w:pPr>
              <w:jc w:val="center"/>
              <w:rPr>
                <w:rFonts w:asciiTheme="minorEastAsia" w:hAnsiTheme="minorEastAsia"/>
                <w:sz w:val="24"/>
                <w:szCs w:val="24"/>
              </w:rPr>
            </w:pPr>
            <w:r>
              <w:rPr>
                <w:rFonts w:hint="eastAsia" w:asciiTheme="minorEastAsia" w:hAnsiTheme="minorEastAsia"/>
                <w:sz w:val="24"/>
                <w:szCs w:val="24"/>
              </w:rPr>
              <w:t>-8.27</w:t>
            </w:r>
          </w:p>
        </w:tc>
      </w:tr>
    </w:tbl>
    <w:p>
      <w:pPr>
        <w:ind w:firstLine="643" w:firstLineChars="200"/>
        <w:rPr>
          <w:rFonts w:asciiTheme="minorEastAsia" w:hAnsiTheme="minorEastAsia"/>
          <w:sz w:val="32"/>
          <w:szCs w:val="32"/>
        </w:rPr>
      </w:pPr>
      <w:r>
        <w:rPr>
          <w:rFonts w:hint="eastAsia" w:asciiTheme="minorEastAsia" w:hAnsiTheme="minorEastAsia"/>
          <w:b/>
          <w:sz w:val="32"/>
          <w:szCs w:val="32"/>
        </w:rPr>
        <w:t>（一）公务用车运行维护费支出23.65万元。</w:t>
      </w:r>
      <w:r>
        <w:rPr>
          <w:rFonts w:hint="eastAsia" w:asciiTheme="minorEastAsia" w:hAnsiTheme="minorEastAsia"/>
        </w:rPr>
        <w:t xml:space="preserve"> </w:t>
      </w:r>
      <w:r>
        <w:rPr>
          <w:rFonts w:hint="eastAsia" w:asciiTheme="minorEastAsia" w:hAnsiTheme="minorEastAsia"/>
          <w:sz w:val="32"/>
          <w:szCs w:val="32"/>
        </w:rPr>
        <w:t>本年度我局现有用车11辆，一般执法执勤用车 5 辆，其他用车 6辆，与2016年度相比，公务用车运行维护费减少6.27万元，减少20.96%，减少的主要原因：一是加强公务用车管理，切实压缩公务用车费用支出； 二是2017年9月以后， 国一国二标准车辆限行，公务用车使用受到限制，费用也相应降低。我局2017年度没有购置公务用车，未发生公务用车购置费。</w:t>
      </w:r>
    </w:p>
    <w:p>
      <w:pPr>
        <w:ind w:firstLine="643" w:firstLineChars="200"/>
        <w:rPr>
          <w:rFonts w:asciiTheme="minorEastAsia" w:hAnsiTheme="minorEastAsia"/>
          <w:sz w:val="32"/>
          <w:szCs w:val="32"/>
        </w:rPr>
      </w:pPr>
      <w:r>
        <w:rPr>
          <w:rFonts w:hint="eastAsia" w:asciiTheme="minorEastAsia" w:hAnsiTheme="minorEastAsia"/>
          <w:b/>
          <w:sz w:val="32"/>
          <w:szCs w:val="32"/>
        </w:rPr>
        <w:t>（三）公务接待费支出0万元。</w:t>
      </w:r>
      <w:r>
        <w:rPr>
          <w:rFonts w:hint="eastAsia" w:asciiTheme="minorEastAsia" w:hAnsiTheme="minorEastAsia"/>
          <w:sz w:val="32"/>
          <w:szCs w:val="32"/>
        </w:rPr>
        <w:t>较2016年决算减少2万元，减少100%；较年初预算减少2万元，减少100%。公务接待费下降的原因主要是， 2017年公务接待批次和人次较2016年有所减少，同时从严落实公务接待有关规定，进一步压缩公务接待费用支出。</w:t>
      </w:r>
    </w:p>
    <w:p>
      <w:pPr>
        <w:rPr>
          <w:rFonts w:asciiTheme="minorEastAsia" w:hAnsiTheme="minorEastAsia"/>
          <w:b/>
          <w:sz w:val="36"/>
          <w:szCs w:val="36"/>
        </w:rPr>
      </w:pPr>
      <w:r>
        <w:rPr>
          <w:rFonts w:hint="eastAsia" w:asciiTheme="minorEastAsia" w:hAnsiTheme="minorEastAsia"/>
          <w:b/>
          <w:sz w:val="36"/>
          <w:szCs w:val="36"/>
        </w:rPr>
        <w:t>六、 绩效预算管理工作开展情况说明</w:t>
      </w:r>
    </w:p>
    <w:p>
      <w:pPr>
        <w:ind w:firstLine="640" w:firstLineChars="200"/>
        <w:rPr>
          <w:rFonts w:asciiTheme="minorEastAsia" w:hAnsiTheme="minorEastAsia"/>
          <w:sz w:val="32"/>
          <w:szCs w:val="32"/>
        </w:rPr>
      </w:pPr>
      <w:r>
        <w:rPr>
          <w:rFonts w:hint="eastAsia" w:asciiTheme="minorEastAsia" w:hAnsiTheme="minorEastAsia"/>
          <w:sz w:val="32"/>
          <w:szCs w:val="32"/>
        </w:rPr>
        <w:t>（一）绩效管理工作开展情况</w:t>
      </w:r>
    </w:p>
    <w:p>
      <w:pPr>
        <w:ind w:firstLine="640" w:firstLineChars="200"/>
        <w:rPr>
          <w:rFonts w:asciiTheme="minorEastAsia" w:hAnsiTheme="minorEastAsia"/>
          <w:sz w:val="32"/>
          <w:szCs w:val="32"/>
        </w:rPr>
      </w:pPr>
      <w:r>
        <w:rPr>
          <w:rFonts w:hint="eastAsia" w:asciiTheme="minorEastAsia" w:hAnsiTheme="minor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ind w:firstLine="640" w:firstLineChars="200"/>
        <w:rPr>
          <w:rFonts w:asciiTheme="minorEastAsia" w:hAnsiTheme="minorEastAsia"/>
          <w:sz w:val="32"/>
          <w:szCs w:val="32"/>
        </w:rPr>
      </w:pPr>
      <w:r>
        <w:rPr>
          <w:rFonts w:hint="eastAsia" w:asciiTheme="minorEastAsia" w:hAnsiTheme="minorEastAsia"/>
          <w:sz w:val="32"/>
          <w:szCs w:val="32"/>
        </w:rPr>
        <w:t>（二）预算项目绩效评价开展情况</w:t>
      </w:r>
    </w:p>
    <w:p>
      <w:pPr>
        <w:ind w:firstLine="640" w:firstLineChars="200"/>
        <w:rPr>
          <w:rFonts w:asciiTheme="minorEastAsia" w:hAnsiTheme="minorEastAsia"/>
          <w:sz w:val="32"/>
          <w:szCs w:val="32"/>
        </w:rPr>
      </w:pPr>
      <w:r>
        <w:rPr>
          <w:rFonts w:hint="eastAsia" w:asciiTheme="minorEastAsia" w:hAnsiTheme="minorEastAsia"/>
          <w:sz w:val="32"/>
          <w:szCs w:val="32"/>
        </w:rPr>
        <w:t>根据预算绩效管理要求，本单位组织对2017年度一般公共预算项目支出全面开展绩效自评，涉及耕地开发占补平衡增值收益用于美丽乡村建设资金、中央土地整治工作专项资金、新增建设用地有偿使用费返还资金预算等7个项目，涉及资金839.02万元。从评价情况看，评价结果为优秀的项目有4个，良好的项目有3个。</w:t>
      </w:r>
    </w:p>
    <w:p>
      <w:pPr>
        <w:ind w:firstLine="640" w:firstLineChars="200"/>
        <w:rPr>
          <w:rFonts w:asciiTheme="minorEastAsia" w:hAnsiTheme="minorEastAsia"/>
          <w:sz w:val="32"/>
          <w:szCs w:val="32"/>
        </w:rPr>
      </w:pPr>
      <w:r>
        <w:rPr>
          <w:rFonts w:hint="eastAsia" w:asciiTheme="minorEastAsia" w:hAnsiTheme="minorEastAsia"/>
          <w:sz w:val="32"/>
          <w:szCs w:val="32"/>
        </w:rPr>
        <w:t>（三）预算项目绩效自评选例</w:t>
      </w:r>
    </w:p>
    <w:p>
      <w:pPr>
        <w:ind w:firstLine="640" w:firstLineChars="200"/>
        <w:rPr>
          <w:rFonts w:asciiTheme="minorEastAsia" w:hAnsiTheme="minorEastAsia"/>
          <w:sz w:val="32"/>
          <w:szCs w:val="32"/>
        </w:rPr>
      </w:pPr>
      <w:r>
        <w:rPr>
          <w:rFonts w:hint="eastAsia" w:asciiTheme="minorEastAsia" w:hAnsiTheme="minorEastAsia"/>
          <w:sz w:val="32"/>
          <w:szCs w:val="32"/>
        </w:rPr>
        <w:t>本单位新增建设用地有偿使用费返还资金项目绩效自评：根据年初设定的绩效目标，新增建设用地有偿使用费返还资金项目绩效自评结果为良好。项目全年预算数为776万元，执行数为776万元，完成预算的100%。主要产出和效果是将农房等集体建设用地上建筑物、构筑物纳入到新开展的农村集体建设用地调查范围，确保“房地一体”农村宅基地和集体建设用地确权登记颁证工作顺利开展，建立省、市、县三级农村地籍信息系统，做到应发尽发。</w:t>
      </w:r>
    </w:p>
    <w:p>
      <w:pPr>
        <w:rPr>
          <w:rFonts w:asciiTheme="minorEastAsia" w:hAnsiTheme="minorEastAsia"/>
          <w:b/>
          <w:sz w:val="36"/>
          <w:szCs w:val="36"/>
        </w:rPr>
      </w:pPr>
      <w:r>
        <w:rPr>
          <w:rFonts w:hint="eastAsia" w:asciiTheme="minorEastAsia" w:hAnsiTheme="minorEastAsia"/>
          <w:b/>
          <w:sz w:val="36"/>
          <w:szCs w:val="36"/>
        </w:rPr>
        <w:t>七、 其他重要事项的说明</w:t>
      </w:r>
    </w:p>
    <w:p>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2017年本部门机关运行经费41.58万元，比2016年度减少15万元，减少26.51%。主要原因是按国家规定控制开支。</w:t>
      </w:r>
    </w:p>
    <w:p>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2017年本部门政府采购支出总额1079.36万元，其中：采购服务支出1079.36万元。</w:t>
      </w:r>
    </w:p>
    <w:p>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pPr>
        <w:ind w:firstLine="640" w:firstLineChars="200"/>
        <w:rPr>
          <w:rFonts w:asciiTheme="minorEastAsia" w:hAnsiTheme="minorEastAsia"/>
          <w:sz w:val="32"/>
          <w:szCs w:val="32"/>
        </w:rPr>
      </w:pPr>
      <w:r>
        <w:rPr>
          <w:rFonts w:hint="eastAsia" w:asciiTheme="minorEastAsia" w:hAnsiTheme="minorEastAsia"/>
          <w:sz w:val="32"/>
          <w:szCs w:val="32"/>
        </w:rPr>
        <w:t>截至 2017年 12 月 31日，本部门共有车辆 11 辆，其中，一般执法执勤用车 5 辆，其他用车 6辆。</w:t>
      </w:r>
    </w:p>
    <w:p>
      <w:pPr>
        <w:spacing w:beforeLines="100" w:afterLines="100" w:line="360" w:lineRule="auto"/>
        <w:jc w:val="center"/>
        <w:rPr>
          <w:rFonts w:asciiTheme="minorEastAsia" w:hAnsiTheme="minorEastAsia"/>
          <w:b/>
          <w:sz w:val="44"/>
          <w:szCs w:val="44"/>
        </w:rPr>
      </w:pPr>
      <w:r>
        <w:rPr>
          <w:rFonts w:hint="eastAsia" w:asciiTheme="minorEastAsia" w:hAnsiTheme="minorEastAsia"/>
          <w:b/>
          <w:sz w:val="44"/>
          <w:szCs w:val="44"/>
        </w:rPr>
        <w:t>第四部分 名词解释</w:t>
      </w:r>
    </w:p>
    <w:p>
      <w:pPr>
        <w:rPr>
          <w:rFonts w:asciiTheme="minorEastAsia" w:hAnsiTheme="minorEastAsia"/>
          <w:b/>
          <w:sz w:val="36"/>
          <w:szCs w:val="36"/>
        </w:rPr>
      </w:pPr>
      <w:r>
        <w:rPr>
          <w:rFonts w:hint="eastAsia" w:asciiTheme="minorEastAsia" w:hAnsiTheme="minorEastAsia"/>
          <w:b/>
          <w:sz w:val="36"/>
          <w:szCs w:val="36"/>
        </w:rPr>
        <w:t>一、 财政拨款收入</w:t>
      </w:r>
    </w:p>
    <w:p>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pPr>
        <w:rPr>
          <w:rFonts w:asciiTheme="minorEastAsia" w:hAnsiTheme="minorEastAsia"/>
          <w:b/>
          <w:sz w:val="36"/>
          <w:szCs w:val="36"/>
        </w:rPr>
      </w:pPr>
      <w:r>
        <w:rPr>
          <w:rFonts w:hint="eastAsia" w:asciiTheme="minorEastAsia" w:hAnsiTheme="minorEastAsia"/>
          <w:b/>
          <w:sz w:val="36"/>
          <w:szCs w:val="36"/>
        </w:rPr>
        <w:t>二、 事业收入</w:t>
      </w:r>
    </w:p>
    <w:p>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pPr>
        <w:rPr>
          <w:rFonts w:asciiTheme="minorEastAsia" w:hAnsiTheme="minorEastAsia"/>
          <w:b/>
          <w:sz w:val="36"/>
          <w:szCs w:val="36"/>
        </w:rPr>
      </w:pPr>
      <w:r>
        <w:rPr>
          <w:rFonts w:hint="eastAsia" w:asciiTheme="minorEastAsia" w:hAnsiTheme="minorEastAsia"/>
          <w:b/>
          <w:sz w:val="36"/>
          <w:szCs w:val="36"/>
        </w:rPr>
        <w:t>三、 其他收入</w:t>
      </w:r>
    </w:p>
    <w:p>
      <w:pPr>
        <w:ind w:firstLine="640" w:firstLineChars="200"/>
        <w:rPr>
          <w:rFonts w:asciiTheme="minorEastAsia" w:hAnsiTheme="minorEastAsia"/>
          <w:sz w:val="32"/>
          <w:szCs w:val="32"/>
        </w:rPr>
      </w:pPr>
      <w:r>
        <w:rPr>
          <w:rFonts w:hint="eastAsia" w:asciiTheme="minorEastAsia" w:hAnsiTheme="minorEastAsia"/>
          <w:sz w:val="32"/>
          <w:szCs w:val="32"/>
        </w:rPr>
        <w:t>指除上述“财政拨款收入” 、 “事业收入” 、 “ 经营收入” 等以外的收入。</w:t>
      </w:r>
      <w:bookmarkStart w:id="0" w:name="_GoBack"/>
      <w:bookmarkEnd w:id="0"/>
    </w:p>
    <w:p>
      <w:pPr>
        <w:rPr>
          <w:rFonts w:asciiTheme="minorEastAsia" w:hAnsiTheme="minorEastAsia"/>
          <w:b/>
          <w:sz w:val="36"/>
          <w:szCs w:val="36"/>
        </w:rPr>
      </w:pPr>
      <w:r>
        <w:rPr>
          <w:rFonts w:hint="eastAsia" w:asciiTheme="minorEastAsia" w:hAnsiTheme="minorEastAsia"/>
          <w:b/>
          <w:sz w:val="36"/>
          <w:szCs w:val="36"/>
        </w:rPr>
        <w:t>四、 用事业基金弥补收支差额</w:t>
      </w:r>
    </w:p>
    <w:p>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pPr>
        <w:rPr>
          <w:rFonts w:asciiTheme="minorEastAsia" w:hAnsiTheme="minorEastAsia"/>
          <w:b/>
          <w:sz w:val="36"/>
          <w:szCs w:val="36"/>
        </w:rPr>
      </w:pPr>
      <w:r>
        <w:rPr>
          <w:rFonts w:hint="eastAsia" w:asciiTheme="minorEastAsia" w:hAnsiTheme="minorEastAsia"/>
          <w:b/>
          <w:sz w:val="36"/>
          <w:szCs w:val="36"/>
        </w:rPr>
        <w:t>五、 年初结转和结余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pPr>
        <w:rPr>
          <w:rFonts w:asciiTheme="minorEastAsia" w:hAnsiTheme="minorEastAsia"/>
          <w:b/>
          <w:sz w:val="36"/>
          <w:szCs w:val="36"/>
        </w:rPr>
      </w:pPr>
      <w:r>
        <w:rPr>
          <w:rFonts w:hint="eastAsia" w:asciiTheme="minorEastAsia" w:hAnsiTheme="minorEastAsia"/>
          <w:b/>
          <w:sz w:val="36"/>
          <w:szCs w:val="36"/>
        </w:rPr>
        <w:t>六、 结余分配</w:t>
      </w:r>
    </w:p>
    <w:p>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pPr>
        <w:rPr>
          <w:rFonts w:asciiTheme="minorEastAsia" w:hAnsiTheme="minorEastAsia"/>
          <w:b/>
          <w:sz w:val="36"/>
          <w:szCs w:val="36"/>
        </w:rPr>
      </w:pPr>
      <w:r>
        <w:rPr>
          <w:rFonts w:hint="eastAsia" w:asciiTheme="minorEastAsia" w:hAnsiTheme="minorEastAsia"/>
          <w:b/>
          <w:sz w:val="36"/>
          <w:szCs w:val="36"/>
        </w:rPr>
        <w:t>七、 年末结转和结余</w:t>
      </w:r>
    </w:p>
    <w:p>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pPr>
        <w:rPr>
          <w:rFonts w:asciiTheme="minorEastAsia" w:hAnsiTheme="minorEastAsia"/>
          <w:b/>
          <w:sz w:val="36"/>
          <w:szCs w:val="36"/>
        </w:rPr>
      </w:pPr>
      <w:r>
        <w:rPr>
          <w:rFonts w:hint="eastAsia" w:asciiTheme="minorEastAsia" w:hAnsiTheme="minorEastAsia"/>
          <w:b/>
          <w:sz w:val="36"/>
          <w:szCs w:val="36"/>
        </w:rPr>
        <w:t>八、 基本支出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pPr>
        <w:rPr>
          <w:rFonts w:asciiTheme="minorEastAsia" w:hAnsiTheme="minorEastAsia"/>
          <w:b/>
          <w:sz w:val="36"/>
          <w:szCs w:val="36"/>
        </w:rPr>
      </w:pPr>
      <w:r>
        <w:rPr>
          <w:rFonts w:hint="eastAsia" w:asciiTheme="minorEastAsia" w:hAnsiTheme="minorEastAsia"/>
          <w:b/>
          <w:sz w:val="36"/>
          <w:szCs w:val="36"/>
        </w:rPr>
        <w:t>九、 项目支出</w:t>
      </w:r>
    </w:p>
    <w:p>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pPr>
        <w:rPr>
          <w:rFonts w:asciiTheme="minorEastAsia" w:hAnsiTheme="minorEastAsia"/>
          <w:b/>
          <w:sz w:val="36"/>
          <w:szCs w:val="36"/>
        </w:rPr>
      </w:pPr>
      <w:r>
        <w:rPr>
          <w:rFonts w:hint="eastAsia" w:asciiTheme="minorEastAsia" w:hAnsiTheme="minorEastAsia"/>
          <w:b/>
          <w:sz w:val="36"/>
          <w:szCs w:val="36"/>
        </w:rPr>
        <w:t>十、 基本建设支出</w:t>
      </w:r>
    </w:p>
    <w:p>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rPr>
          <w:rFonts w:asciiTheme="minorEastAsia" w:hAnsiTheme="minorEastAsia"/>
          <w:b/>
          <w:sz w:val="36"/>
          <w:szCs w:val="36"/>
        </w:rPr>
      </w:pPr>
      <w:r>
        <w:rPr>
          <w:rFonts w:hint="eastAsia" w:asciiTheme="minorEastAsia" w:hAnsiTheme="minorEastAsia"/>
          <w:b/>
          <w:sz w:val="36"/>
          <w:szCs w:val="36"/>
        </w:rPr>
        <w:t>十一、 其他资本性支出</w:t>
      </w:r>
    </w:p>
    <w:p>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pPr>
        <w:rPr>
          <w:rFonts w:asciiTheme="minorEastAsia" w:hAnsiTheme="minorEastAsia"/>
          <w:b/>
          <w:sz w:val="36"/>
          <w:szCs w:val="36"/>
        </w:rPr>
      </w:pPr>
      <w:r>
        <w:rPr>
          <w:rFonts w:hint="eastAsia" w:asciiTheme="minorEastAsia" w:hAnsiTheme="minorEastAsia"/>
          <w:b/>
          <w:sz w:val="36"/>
          <w:szCs w:val="36"/>
        </w:rPr>
        <w:t>十二、 “ 三公” 经费</w:t>
      </w:r>
    </w:p>
    <w:p>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rPr>
          <w:rFonts w:asciiTheme="minorEastAsia" w:hAnsiTheme="minorEastAsia"/>
          <w:b/>
          <w:sz w:val="36"/>
          <w:szCs w:val="36"/>
        </w:rPr>
      </w:pPr>
      <w:r>
        <w:rPr>
          <w:rFonts w:hint="eastAsia" w:asciiTheme="minorEastAsia" w:hAnsiTheme="minorEastAsia"/>
          <w:b/>
          <w:sz w:val="36"/>
          <w:szCs w:val="36"/>
        </w:rPr>
        <w:t>十三、 其他交通费用</w:t>
      </w:r>
    </w:p>
    <w:p>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pPr>
        <w:rPr>
          <w:rFonts w:asciiTheme="minorEastAsia" w:hAnsiTheme="minorEastAsia"/>
          <w:b/>
          <w:sz w:val="36"/>
          <w:szCs w:val="36"/>
        </w:rPr>
      </w:pPr>
      <w:r>
        <w:rPr>
          <w:rFonts w:hint="eastAsia" w:asciiTheme="minorEastAsia" w:hAnsiTheme="minorEastAsia"/>
          <w:b/>
          <w:sz w:val="36"/>
          <w:szCs w:val="36"/>
        </w:rPr>
        <w:t>十四、 公务用车购置</w:t>
      </w:r>
    </w:p>
    <w:p>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pPr>
        <w:rPr>
          <w:rFonts w:asciiTheme="minorEastAsia" w:hAnsiTheme="minorEastAsia"/>
          <w:b/>
          <w:sz w:val="36"/>
          <w:szCs w:val="36"/>
        </w:rPr>
      </w:pPr>
      <w:r>
        <w:rPr>
          <w:rFonts w:hint="eastAsia" w:asciiTheme="minorEastAsia" w:hAnsiTheme="minorEastAsia"/>
          <w:b/>
          <w:sz w:val="36"/>
          <w:szCs w:val="36"/>
        </w:rPr>
        <w:t>十五、 其他交通工具购置</w:t>
      </w:r>
    </w:p>
    <w:p>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pPr>
        <w:rPr>
          <w:rFonts w:asciiTheme="minorEastAsia" w:hAnsiTheme="minorEastAsia"/>
          <w:b/>
          <w:sz w:val="36"/>
          <w:szCs w:val="36"/>
        </w:rPr>
      </w:pPr>
      <w:r>
        <w:rPr>
          <w:rFonts w:hint="eastAsia" w:asciiTheme="minorEastAsia" w:hAnsiTheme="minorEastAsia"/>
          <w:b/>
          <w:sz w:val="36"/>
          <w:szCs w:val="36"/>
        </w:rPr>
        <w:t>十六、 机关运行经费</w:t>
      </w:r>
    </w:p>
    <w:p>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firstLineChars="200"/>
        <w:rPr>
          <w:rFonts w:asciiTheme="minorEastAsia" w:hAnsiTheme="minor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B63"/>
    <w:rsid w:val="00005D8D"/>
    <w:rsid w:val="0002780C"/>
    <w:rsid w:val="00046283"/>
    <w:rsid w:val="000A23AF"/>
    <w:rsid w:val="000C1629"/>
    <w:rsid w:val="000F6B63"/>
    <w:rsid w:val="00112233"/>
    <w:rsid w:val="00172F4B"/>
    <w:rsid w:val="00183D65"/>
    <w:rsid w:val="001C2AA1"/>
    <w:rsid w:val="002101CA"/>
    <w:rsid w:val="002154B6"/>
    <w:rsid w:val="00225112"/>
    <w:rsid w:val="0024537A"/>
    <w:rsid w:val="00285963"/>
    <w:rsid w:val="0029221F"/>
    <w:rsid w:val="002A5F06"/>
    <w:rsid w:val="002D286D"/>
    <w:rsid w:val="003015AB"/>
    <w:rsid w:val="00304F9E"/>
    <w:rsid w:val="00311791"/>
    <w:rsid w:val="003226EA"/>
    <w:rsid w:val="00323B9E"/>
    <w:rsid w:val="00341128"/>
    <w:rsid w:val="0034433F"/>
    <w:rsid w:val="0038164D"/>
    <w:rsid w:val="00396F4E"/>
    <w:rsid w:val="003C5072"/>
    <w:rsid w:val="00404AC8"/>
    <w:rsid w:val="00417ED6"/>
    <w:rsid w:val="00460185"/>
    <w:rsid w:val="004A3070"/>
    <w:rsid w:val="004A4BC8"/>
    <w:rsid w:val="004B4123"/>
    <w:rsid w:val="004D2C24"/>
    <w:rsid w:val="004F7DDB"/>
    <w:rsid w:val="005651CC"/>
    <w:rsid w:val="00567817"/>
    <w:rsid w:val="005B11C9"/>
    <w:rsid w:val="005B640A"/>
    <w:rsid w:val="005D0936"/>
    <w:rsid w:val="006116C3"/>
    <w:rsid w:val="0061264A"/>
    <w:rsid w:val="00643FE4"/>
    <w:rsid w:val="006549FB"/>
    <w:rsid w:val="006631FD"/>
    <w:rsid w:val="006A3EBC"/>
    <w:rsid w:val="006B4314"/>
    <w:rsid w:val="006C6BEA"/>
    <w:rsid w:val="0073228C"/>
    <w:rsid w:val="007366E2"/>
    <w:rsid w:val="00740959"/>
    <w:rsid w:val="00762698"/>
    <w:rsid w:val="007747F2"/>
    <w:rsid w:val="00783297"/>
    <w:rsid w:val="007A3167"/>
    <w:rsid w:val="007B56FC"/>
    <w:rsid w:val="007B7088"/>
    <w:rsid w:val="007C013B"/>
    <w:rsid w:val="007D25CA"/>
    <w:rsid w:val="00882374"/>
    <w:rsid w:val="008E5ADD"/>
    <w:rsid w:val="008F1271"/>
    <w:rsid w:val="008F4C87"/>
    <w:rsid w:val="00942E17"/>
    <w:rsid w:val="00966E2C"/>
    <w:rsid w:val="009946BC"/>
    <w:rsid w:val="009C16A1"/>
    <w:rsid w:val="009D7A07"/>
    <w:rsid w:val="009E4322"/>
    <w:rsid w:val="009F56F8"/>
    <w:rsid w:val="00A06C89"/>
    <w:rsid w:val="00A47FE7"/>
    <w:rsid w:val="00A711B9"/>
    <w:rsid w:val="00A72965"/>
    <w:rsid w:val="00AA30B9"/>
    <w:rsid w:val="00B75291"/>
    <w:rsid w:val="00BA11AB"/>
    <w:rsid w:val="00BB6B54"/>
    <w:rsid w:val="00BF2F5C"/>
    <w:rsid w:val="00C15A1F"/>
    <w:rsid w:val="00C20FBF"/>
    <w:rsid w:val="00C54347"/>
    <w:rsid w:val="00C81AC4"/>
    <w:rsid w:val="00CB5B48"/>
    <w:rsid w:val="00CD5E33"/>
    <w:rsid w:val="00D00C2C"/>
    <w:rsid w:val="00D44974"/>
    <w:rsid w:val="00D55B00"/>
    <w:rsid w:val="00D92311"/>
    <w:rsid w:val="00DC7962"/>
    <w:rsid w:val="00E0096B"/>
    <w:rsid w:val="00E25DB5"/>
    <w:rsid w:val="00E26680"/>
    <w:rsid w:val="00E316CA"/>
    <w:rsid w:val="00E34291"/>
    <w:rsid w:val="00E829C2"/>
    <w:rsid w:val="00E94051"/>
    <w:rsid w:val="00EA2F1C"/>
    <w:rsid w:val="00EA73A9"/>
    <w:rsid w:val="00EB7C0D"/>
    <w:rsid w:val="00EC21C0"/>
    <w:rsid w:val="00ED6BE4"/>
    <w:rsid w:val="00F11319"/>
    <w:rsid w:val="00F435DB"/>
    <w:rsid w:val="00F62831"/>
    <w:rsid w:val="00F801A7"/>
    <w:rsid w:val="00F9131F"/>
    <w:rsid w:val="00FD214C"/>
    <w:rsid w:val="00FE5519"/>
    <w:rsid w:val="00FE6700"/>
    <w:rsid w:val="00FF56B4"/>
    <w:rsid w:val="07A87045"/>
    <w:rsid w:val="0B9667B0"/>
    <w:rsid w:val="55E163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23"/>
    <w:semiHidden/>
    <w:unhideWhenUsed/>
    <w:uiPriority w:val="99"/>
    <w:rPr>
      <w:sz w:val="18"/>
      <w:szCs w:val="18"/>
    </w:rPr>
  </w:style>
  <w:style w:type="paragraph" w:styleId="7">
    <w:name w:val="footer"/>
    <w:basedOn w:val="1"/>
    <w:link w:val="15"/>
    <w:semiHidden/>
    <w:unhideWhenUsed/>
    <w:uiPriority w:val="99"/>
    <w:pPr>
      <w:tabs>
        <w:tab w:val="center" w:pos="4153"/>
        <w:tab w:val="right" w:pos="8306"/>
      </w:tabs>
      <w:snapToGrid w:val="0"/>
      <w:jc w:val="left"/>
    </w:pPr>
    <w:rPr>
      <w:sz w:val="18"/>
      <w:szCs w:val="18"/>
    </w:rPr>
  </w:style>
  <w:style w:type="paragraph" w:styleId="8">
    <w:name w:val="header"/>
    <w:basedOn w:val="1"/>
    <w:link w:val="14"/>
    <w:semiHidden/>
    <w:unhideWhenUsed/>
    <w:uiPriority w:val="99"/>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0"/>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10">
    <w:name w:val="Title"/>
    <w:basedOn w:val="1"/>
    <w:next w:val="1"/>
    <w:link w:val="18"/>
    <w:qFormat/>
    <w:uiPriority w:val="10"/>
    <w:pPr>
      <w:spacing w:before="240" w:after="60"/>
      <w:jc w:val="center"/>
      <w:outlineLvl w:val="0"/>
    </w:pPr>
    <w:rPr>
      <w:rFonts w:eastAsia="宋体" w:asciiTheme="majorHAnsi" w:hAnsiTheme="majorHAnsi" w:cstheme="majorBidi"/>
      <w:b/>
      <w:bCs/>
      <w:sz w:val="32"/>
      <w:szCs w:val="32"/>
    </w:rPr>
  </w:style>
  <w:style w:type="table" w:styleId="12">
    <w:name w:val="Table Grid"/>
    <w:basedOn w:val="11"/>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4">
    <w:name w:val="页眉 Char"/>
    <w:basedOn w:val="13"/>
    <w:link w:val="8"/>
    <w:semiHidden/>
    <w:uiPriority w:val="99"/>
    <w:rPr>
      <w:sz w:val="18"/>
      <w:szCs w:val="18"/>
    </w:rPr>
  </w:style>
  <w:style w:type="character" w:customStyle="1" w:styleId="15">
    <w:name w:val="页脚 Char"/>
    <w:basedOn w:val="13"/>
    <w:link w:val="7"/>
    <w:semiHidden/>
    <w:uiPriority w:val="99"/>
    <w:rPr>
      <w:sz w:val="18"/>
      <w:szCs w:val="18"/>
    </w:rPr>
  </w:style>
  <w:style w:type="character" w:customStyle="1" w:styleId="16">
    <w:name w:val="标题 1 Char"/>
    <w:basedOn w:val="13"/>
    <w:link w:val="2"/>
    <w:uiPriority w:val="9"/>
    <w:rPr>
      <w:b/>
      <w:bCs/>
      <w:kern w:val="44"/>
      <w:sz w:val="44"/>
      <w:szCs w:val="44"/>
    </w:rPr>
  </w:style>
  <w:style w:type="character" w:customStyle="1" w:styleId="17">
    <w:name w:val="标题 2 Char"/>
    <w:basedOn w:val="13"/>
    <w:link w:val="3"/>
    <w:uiPriority w:val="9"/>
    <w:rPr>
      <w:rFonts w:asciiTheme="majorHAnsi" w:hAnsiTheme="majorHAnsi" w:eastAsiaTheme="majorEastAsia" w:cstheme="majorBidi"/>
      <w:b/>
      <w:bCs/>
      <w:sz w:val="32"/>
      <w:szCs w:val="32"/>
    </w:rPr>
  </w:style>
  <w:style w:type="character" w:customStyle="1" w:styleId="18">
    <w:name w:val="标题 Char"/>
    <w:basedOn w:val="13"/>
    <w:link w:val="10"/>
    <w:uiPriority w:val="10"/>
    <w:rPr>
      <w:rFonts w:eastAsia="宋体" w:asciiTheme="majorHAnsi" w:hAnsiTheme="majorHAnsi" w:cstheme="majorBidi"/>
      <w:b/>
      <w:bCs/>
      <w:sz w:val="32"/>
      <w:szCs w:val="32"/>
    </w:rPr>
  </w:style>
  <w:style w:type="character" w:customStyle="1" w:styleId="19">
    <w:name w:val="标题 3 Char"/>
    <w:basedOn w:val="13"/>
    <w:link w:val="4"/>
    <w:uiPriority w:val="9"/>
    <w:rPr>
      <w:b/>
      <w:bCs/>
      <w:sz w:val="32"/>
      <w:szCs w:val="32"/>
    </w:rPr>
  </w:style>
  <w:style w:type="character" w:customStyle="1" w:styleId="20">
    <w:name w:val="副标题 Char"/>
    <w:basedOn w:val="13"/>
    <w:link w:val="9"/>
    <w:uiPriority w:val="11"/>
    <w:rPr>
      <w:rFonts w:eastAsia="宋体" w:asciiTheme="majorHAnsi" w:hAnsiTheme="majorHAnsi" w:cstheme="majorBidi"/>
      <w:b/>
      <w:bCs/>
      <w:kern w:val="28"/>
      <w:sz w:val="32"/>
      <w:szCs w:val="32"/>
    </w:rPr>
  </w:style>
  <w:style w:type="character" w:customStyle="1" w:styleId="21">
    <w:name w:val="标题 4 Char"/>
    <w:basedOn w:val="13"/>
    <w:link w:val="5"/>
    <w:uiPriority w:val="9"/>
    <w:rPr>
      <w:rFonts w:asciiTheme="majorHAnsi" w:hAnsiTheme="majorHAnsi" w:eastAsiaTheme="majorEastAsia" w:cstheme="majorBidi"/>
      <w:b/>
      <w:bCs/>
      <w:sz w:val="28"/>
      <w:szCs w:val="28"/>
    </w:rPr>
  </w:style>
  <w:style w:type="paragraph" w:styleId="22">
    <w:name w:val="List Paragraph"/>
    <w:basedOn w:val="1"/>
    <w:qFormat/>
    <w:uiPriority w:val="34"/>
    <w:pPr>
      <w:ind w:firstLine="420" w:firstLineChars="200"/>
    </w:pPr>
  </w:style>
  <w:style w:type="character" w:customStyle="1" w:styleId="23">
    <w:name w:val="批注框文本 Char"/>
    <w:basedOn w:val="13"/>
    <w:link w:val="6"/>
    <w:semiHidden/>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决算收入</c:v>
                </c:pt>
              </c:strCache>
            </c:strRef>
          </c:tx>
          <c:explosion val="0"/>
          <c:dPt>
            <c:idx val="0"/>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32741.47</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金额</c:v>
                </c:pt>
              </c:strCache>
            </c:strRef>
          </c:cat>
          <c:val>
            <c:numRef>
              <c:f>Sheet1!$B$2</c:f>
              <c:numCache>
                <c:formatCode>0%</c:formatCode>
                <c:ptCount val="1"/>
                <c:pt idx="0">
                  <c:v>327.4147</c:v>
                </c:pt>
              </c:numCache>
            </c:numRef>
          </c:val>
        </c:ser>
        <c:dLbls>
          <c:showLegendKey val="0"/>
          <c:showVal val="0"/>
          <c:showCatName val="0"/>
          <c:showSerName val="0"/>
          <c:showPercent val="1"/>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支出决算</c:v>
                </c:pt>
              </c:strCache>
            </c:strRef>
          </c:tx>
          <c:explosion val="0"/>
          <c:dPt>
            <c:idx val="0"/>
            <c:bubble3D val="0"/>
          </c:dPt>
          <c:dPt>
            <c:idx val="1"/>
            <c:bubble3D val="0"/>
            <c:explosion val="2"/>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406.65</c:v>
                </c:pt>
                <c:pt idx="1">
                  <c:v>30866.68</c:v>
                </c:pt>
              </c:numCache>
            </c:numRef>
          </c:val>
        </c:ser>
        <c:dLbls>
          <c:showLegendKey val="0"/>
          <c:showVal val="0"/>
          <c:showCatName val="0"/>
          <c:showSerName val="0"/>
          <c:showPercent val="1"/>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06A5F1-BC65-4C80-B74A-9DA87E12B22D}">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876</Words>
  <Characters>4996</Characters>
  <Lines>41</Lines>
  <Paragraphs>11</Paragraphs>
  <TotalTime>744</TotalTime>
  <ScaleCrop>false</ScaleCrop>
  <LinksUpToDate>false</LinksUpToDate>
  <CharactersWithSpaces>5861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1</cp:lastModifiedBy>
  <cp:lastPrinted>2019-01-23T08:30:00Z</cp:lastPrinted>
  <dcterms:modified xsi:type="dcterms:W3CDTF">2023-06-05T00:53:37Z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