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中国共产党石家庄市藁城区委员会组织部</w:t>
      </w:r>
    </w:p>
    <w:p>
      <w:pPr>
        <w:widowControl/>
        <w:spacing w:line="600" w:lineRule="exact"/>
        <w:jc w:val="center"/>
        <w:rPr>
          <w:rFonts w:ascii="黑体" w:hAnsi="黑体" w:eastAsia="黑体" w:cs="黑体"/>
          <w:bCs/>
          <w:sz w:val="32"/>
          <w:szCs w:val="32"/>
          <w:highlight w:val="yellow"/>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5"/>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1、根据党的路线、方针、政策和上级的指示、决议，研究制定具体实施意见，并抓好落实。</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2、检查督促区直部门党组（党委）和乡镇党委贯彻执行民主集中制，坚持集体领导和民主生活会制度情况，加强领导班子的思想作风建设，总结推广经验，提出改进意见。</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3、贯彻执行党的干部路线和干部政策，按照改革的要求，搞好全区干部队伍的宏观管理、教育、培训、规划，抓好具体落实，提高干部队伍素质。</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4、按照“四化”标准和德才兼备的原则，搞好乡局级领导班子和领导干部的调配、任免、管理和监督工作。搞好后备干部的选拔、培养和管理。</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5、负责全区乡局级领导班子及成员的考核工作。</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6、负责党的基层组织建设和党员队伍建设，搞好全区党员发展和教育管理，以及党费收缴、管理和使用工作。</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7、认真做好全区人才管理工作，充分调动他们的积极性。</w:t>
      </w:r>
    </w:p>
    <w:p>
      <w:pPr>
        <w:adjustRightInd w:val="0"/>
        <w:snapToGrid w:val="0"/>
        <w:spacing w:line="60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8、负责组织史征编工作。</w:t>
      </w:r>
    </w:p>
    <w:p>
      <w:pPr>
        <w:adjustRightInd w:val="0"/>
        <w:snapToGrid w:val="0"/>
        <w:spacing w:line="600" w:lineRule="exact"/>
        <w:ind w:firstLine="640" w:firstLineChars="200"/>
        <w:rPr>
          <w:rFonts w:ascii="仿宋_GB2312" w:hAnsi="Calibri" w:eastAsia="仿宋_GB2312" w:cs="ArialUnicodeMS"/>
          <w:kern w:val="0"/>
          <w:sz w:val="32"/>
          <w:szCs w:val="32"/>
        </w:rPr>
      </w:pPr>
    </w:p>
    <w:p>
      <w:pPr>
        <w:adjustRightInd w:val="0"/>
        <w:snapToGrid w:val="0"/>
        <w:spacing w:line="600" w:lineRule="exact"/>
        <w:ind w:firstLine="640" w:firstLineChars="200"/>
        <w:rPr>
          <w:rFonts w:ascii="仿宋_GB2312" w:hAnsi="Calibri" w:eastAsia="仿宋_GB2312" w:cs="ArialUnicodeMS"/>
          <w:kern w:val="0"/>
          <w:sz w:val="32"/>
          <w:szCs w:val="32"/>
        </w:rPr>
      </w:pPr>
    </w:p>
    <w:p>
      <w:pPr>
        <w:adjustRightInd w:val="0"/>
        <w:snapToGrid w:val="0"/>
        <w:spacing w:line="600" w:lineRule="exact"/>
        <w:ind w:firstLine="640" w:firstLineChars="200"/>
        <w:rPr>
          <w:rFonts w:ascii="仿宋_GB2312" w:hAnsi="Calibri"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32"/>
                <w:szCs w:val="32"/>
              </w:rPr>
              <w:t>中国共产党石家庄市藁城区委员会组织部</w:t>
            </w:r>
          </w:p>
        </w:tc>
        <w:tc>
          <w:tcPr>
            <w:tcW w:w="244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行政单位</w:t>
            </w:r>
          </w:p>
        </w:tc>
        <w:tc>
          <w:tcPr>
            <w:tcW w:w="266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2" w:type="first"/>
          <w:headerReference r:id="rId10"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5"/>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本部门2019年度收支总计（含结转和结余）4712.67万元。与2018年度决算相比，收支各增3594.41万元，增长321.43%，主要原因是上级对村民委员会和村党支部的补助投入资金加大。</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本部门2019年度本年收入合计4709.94万元，其中：财政拨款收入4709.94万元，占100%。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column">
              <wp:posOffset>1164590</wp:posOffset>
            </wp:positionH>
            <wp:positionV relativeFrom="paragraph">
              <wp:posOffset>827405</wp:posOffset>
            </wp:positionV>
            <wp:extent cx="3479165" cy="2588260"/>
            <wp:effectExtent l="0" t="0" r="0" b="0"/>
            <wp:wrapSquare wrapText="bothSides"/>
            <wp:docPr id="30"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2"/>
                    <pic:cNvPicPr>
                      <a:picLocks noChangeAspect="1" noChangeArrowheads="1"/>
                    </pic:cNvPicPr>
                  </pic:nvPicPr>
                  <pic:blipFill>
                    <a:blip r:embed="rId26" cstate="print"/>
                    <a:srcRect/>
                    <a:stretch>
                      <a:fillRect/>
                    </a:stretch>
                  </pic:blipFill>
                  <pic:spPr>
                    <a:xfrm>
                      <a:off x="0" y="0"/>
                      <a:ext cx="3479165" cy="2588260"/>
                    </a:xfrm>
                    <a:prstGeom prst="rect">
                      <a:avLst/>
                    </a:prstGeom>
                    <a:noFill/>
                  </pic:spPr>
                </pic:pic>
              </a:graphicData>
            </a:graphic>
          </wp:anchor>
        </w:drawing>
      </w:r>
      <w:r>
        <w:rPr>
          <w:rFonts w:hint="eastAsia" w:ascii="仿宋_GB2312" w:hAnsi="Times New Roman" w:eastAsia="仿宋_GB2312" w:cs="DengXian-Regular"/>
          <w:sz w:val="32"/>
          <w:szCs w:val="32"/>
        </w:rPr>
        <w:t>本部门2019年度本年支出合计4088.44万元，其中：基本支出700.07万元，占17.12%；项目支出3388.36万元，占82.88%。如图所示：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4709.94万元,比2018年度增加3676.68万元，增长355.83%，主要是上级对村民委员会和村党支部的补助投入资金加大；本年支出4088.44万元，增加2970.18万元，增长265.61%，主要是本级对村民委员会和村党支部的支出加大。</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423545</wp:posOffset>
            </wp:positionH>
            <wp:positionV relativeFrom="paragraph">
              <wp:posOffset>210185</wp:posOffset>
            </wp:positionV>
            <wp:extent cx="4835525" cy="2980690"/>
            <wp:effectExtent l="0" t="0" r="3175" b="10160"/>
            <wp:wrapSquare wrapText="bothSides"/>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noChangeArrowheads="1"/>
                    </pic:cNvPicPr>
                  </pic:nvPicPr>
                  <pic:blipFill>
                    <a:blip r:embed="rId27" cstate="print"/>
                    <a:srcRect/>
                    <a:stretch>
                      <a:fillRect/>
                    </a:stretch>
                  </pic:blipFill>
                  <pic:spPr>
                    <a:xfrm>
                      <a:off x="0" y="0"/>
                      <a:ext cx="4835525" cy="2980690"/>
                    </a:xfrm>
                    <a:prstGeom prst="rect">
                      <a:avLst/>
                    </a:prstGeom>
                    <a:noFill/>
                  </pic:spPr>
                </pic:pic>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4709.94万元，完成年初预算的97.47%（如图3）,比年初预算减少122.38万元，决算数小于预算数主要原因是进一步压减开支；本年支出4088.44万元，完成年初预算的84.61%,比年初预算减少743.88万元，决算数小于预算数主要原因是进一步压减开支。</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95104" behindDoc="0" locked="0" layoutInCell="1" allowOverlap="1">
            <wp:simplePos x="0" y="0"/>
            <wp:positionH relativeFrom="column">
              <wp:posOffset>233680</wp:posOffset>
            </wp:positionH>
            <wp:positionV relativeFrom="paragraph">
              <wp:posOffset>57150</wp:posOffset>
            </wp:positionV>
            <wp:extent cx="4835525" cy="2980690"/>
            <wp:effectExtent l="0" t="0" r="3175" b="10160"/>
            <wp:wrapSquare wrapText="bothSides"/>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noChangeArrowheads="1"/>
                    </pic:cNvPicPr>
                  </pic:nvPicPr>
                  <pic:blipFill>
                    <a:blip r:embed="rId28" cstate="print"/>
                    <a:srcRect/>
                    <a:stretch>
                      <a:fillRect/>
                    </a:stretch>
                  </pic:blipFill>
                  <pic:spPr>
                    <a:xfrm>
                      <a:off x="0" y="0"/>
                      <a:ext cx="4835525" cy="2980690"/>
                    </a:xfrm>
                    <a:prstGeom prst="rect">
                      <a:avLst/>
                    </a:prstGeom>
                    <a:noFill/>
                  </pic:spPr>
                </pic:pic>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年度财政拨款支出4088万元，主要用于以下方面：一般公共服务（类）支出1199.85万元，占29.35%，；教育（类）支出28.41万元，占0.69%；社会保障和就业（类）支出38.03万元，占0.93%；农林水（类）支出2822.15万元，占 69.03%。</w:t>
      </w:r>
    </w:p>
    <w:p>
      <w:pPr>
        <w:adjustRightInd w:val="0"/>
        <w:snapToGrid w:val="0"/>
        <w:spacing w:line="580" w:lineRule="exact"/>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251696128" behindDoc="0" locked="0" layoutInCell="1" allowOverlap="1">
            <wp:simplePos x="0" y="0"/>
            <wp:positionH relativeFrom="column">
              <wp:posOffset>867410</wp:posOffset>
            </wp:positionH>
            <wp:positionV relativeFrom="paragraph">
              <wp:posOffset>149860</wp:posOffset>
            </wp:positionV>
            <wp:extent cx="3479165" cy="2588260"/>
            <wp:effectExtent l="0" t="0" r="0" b="0"/>
            <wp:wrapSquare wrapText="bothSides"/>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noChangeArrowheads="1"/>
                    </pic:cNvPicPr>
                  </pic:nvPicPr>
                  <pic:blipFill>
                    <a:blip r:embed="rId29" cstate="print"/>
                    <a:srcRect/>
                    <a:stretch>
                      <a:fillRect/>
                    </a:stretch>
                  </pic:blipFill>
                  <pic:spPr>
                    <a:xfrm>
                      <a:off x="0" y="0"/>
                      <a:ext cx="3479165" cy="2588260"/>
                    </a:xfrm>
                    <a:prstGeom prst="rect">
                      <a:avLst/>
                    </a:prstGeom>
                    <a:noFill/>
                  </pic:spPr>
                </pic:pic>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年度财政拨款基本支出700.07万元，其中：人员经费 633.57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66.5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本部门2019年度“三公”经费支出共计0.81万元，完成预算的36.82%,较预算减少1.39万元，降低63.18%，主要是</w:t>
      </w:r>
      <w:r>
        <w:rPr>
          <w:rFonts w:hint="eastAsia" w:ascii="仿宋_GB2312" w:eastAsia="仿宋_GB2312" w:cs="DengXian-Regular"/>
          <w:sz w:val="32"/>
          <w:szCs w:val="32"/>
        </w:rPr>
        <w:t>认真</w:t>
      </w:r>
      <w:bookmarkStart w:id="0" w:name="_GoBack"/>
      <w:bookmarkEnd w:id="0"/>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w:t>
      </w:r>
      <w:r>
        <w:rPr>
          <w:rFonts w:hint="eastAsia" w:ascii="仿宋_GB2312" w:hAnsi="仿宋_GB2312" w:eastAsia="仿宋_GB2312" w:cs="仿宋_GB2312"/>
          <w:sz w:val="32"/>
          <w:szCs w:val="32"/>
        </w:rPr>
        <w:t>管理制度不断完善</w:t>
      </w:r>
      <w:r>
        <w:rPr>
          <w:rFonts w:hint="eastAsia" w:ascii="宋体" w:hAnsi="宋体"/>
          <w:sz w:val="32"/>
          <w:szCs w:val="32"/>
        </w:rPr>
        <w:t>，</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；较2018年度增加0.81万元，增长100%，主要是因机构改革并入区委老干部局，增加原属老干部局的离退休干部用车一辆。具体情况如下：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本部门2019年度因公出国（境）团组0个、共0人/参加其他单位组织的因公出国（境）团组0个、共0人/无本单位组织的出国（境）团组。因公出国（境）费支出较预算增加0万元，增长0%,；较上年增加0万元，增长0%。</w:t>
      </w:r>
      <w:r>
        <w:rPr>
          <w:rFonts w:hint="eastAsia" w:ascii="仿宋_GB2312" w:eastAsia="仿宋_GB2312" w:cs="DengXian-Regular"/>
          <w:sz w:val="32"/>
          <w:szCs w:val="32"/>
        </w:rPr>
        <w:t>无本单位组织的出国（境）团组。与年初预算0持平。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（二）公务用车购置及运行维护费支出0.81万元。</w:t>
      </w:r>
      <w:r>
        <w:rPr>
          <w:rFonts w:hint="eastAsia" w:ascii="仿宋_GB2312" w:hAnsi="Times New Roman" w:eastAsia="仿宋_GB2312" w:cs="DengXian-Regular"/>
          <w:sz w:val="32"/>
          <w:szCs w:val="32"/>
        </w:rPr>
        <w:t>本部门2019年度公务用车购置及运行维护费较预算减少1.39万元，降低63.18%,主要是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w:t>
      </w:r>
      <w:r>
        <w:rPr>
          <w:rFonts w:hint="eastAsia" w:ascii="仿宋_GB2312" w:hAnsi="仿宋_GB2312" w:eastAsia="仿宋_GB2312" w:cs="仿宋_GB2312"/>
          <w:sz w:val="32"/>
          <w:szCs w:val="32"/>
        </w:rPr>
        <w:t>管理制度不断完善</w:t>
      </w:r>
      <w:r>
        <w:rPr>
          <w:rFonts w:hint="eastAsia" w:ascii="宋体" w:hAnsi="宋体"/>
          <w:sz w:val="32"/>
          <w:szCs w:val="32"/>
        </w:rPr>
        <w:t>，</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；较上年增加0.81万元，增长100%，主要是因机构改革并入区委老干部局，增加原属老干部局的离退休干部用车一辆。</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本部门2019年度公务用车购置量0辆，未发生“公务用车购置”经费支出。公务用车购置费支出与年初预算0万元持平；与2018年度决算支出0万元持平。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本部门2019年度单位公务用车保有量1辆。公车运行维护费支出较预算减少1.39万元，降低63.18%,主要是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w:t>
      </w:r>
      <w:r>
        <w:rPr>
          <w:rFonts w:hint="eastAsia" w:ascii="仿宋_GB2312" w:hAnsi="仿宋_GB2312" w:eastAsia="仿宋_GB2312" w:cs="仿宋_GB2312"/>
          <w:sz w:val="32"/>
          <w:szCs w:val="32"/>
        </w:rPr>
        <w:t>管理制度不断完善</w:t>
      </w:r>
      <w:r>
        <w:rPr>
          <w:rFonts w:hint="eastAsia" w:ascii="宋体" w:hAnsi="宋体"/>
          <w:sz w:val="32"/>
          <w:szCs w:val="32"/>
        </w:rPr>
        <w:t>，</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；较上年增加0.81万元，增长100%，主要是因机构改革并入区委老干部局，增加原属老干部局的离退休干部用车一辆。</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本部门2019年度公务接待共0批次、0人次。公务接待费支出0万元与年初预算0万元持平；与2018年度决算支出0万元持平。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二级项目33个，共涉及资金1785.39万元，占一般公共预算项目支出总额的52.69%。组织对“人才绿卡住房补贴及运行费”、“党员干部远程教育基层站点运行费”等33个项目开展了部门评价，涉及一般公共预算支出1785.39万元，从评价情况来看，</w:t>
      </w:r>
      <w:r>
        <w:rPr>
          <w:rFonts w:hint="eastAsia" w:ascii="仿宋_GB2312" w:hAnsi="Times New Roman" w:eastAsia="仿宋_GB2312" w:cs="DengXian-Regular"/>
          <w:sz w:val="32"/>
          <w:szCs w:val="32"/>
        </w:rPr>
        <w:t>2019年通过加强预算收支管理，不断梳理内部管理流程，建立健全内部管理制度，部门整体支出管理水平得到提升，其中单个项目绩效自评得分在90 分以上的有33个，占所有参加绩效自评项目总数的100%。从整体看，我部各部门项目工作开展情况良好。保障了我部各项工作的正常开展。很好地完成了年初设定的工作目标。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本部门在今年部门决算公开中反映人才绿卡住房补贴及运行费、党员干部远程教育基层站点运行费等2个项目绩效自评结果。</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人才绿卡住房补贴及运行费项目自评综述：绩效指标权重根据本项目实际情况确定，总分设定为100分，根据年初设定的绩效目标，人才绿卡住房补贴及运行费项目绩效自评得分为99分。全年预算数为48万元，执行数为48万元，完成预算的100%。项目绩效目标完成情况：一是领取人才绿卡住房补贴人数占应领取补贴人数比率≥95%，得分20分、二是人才绿卡住房补贴上卡发放成功率100%，得分20分；三是按时完成预算指标率100%，得分10分；四是领取人才绿卡住房补贴人才住房改善率≥95%，得分39分；五是服务对象满意度≥95%，得分9分。共计得分98分。发现的主要问题及原因：一是在使用过程中绿卡申请网页偶尔有登陆响应慢情况；二是持卡人申请房补需要本人在工作日亲自带申请表前往申批，不够方便。下一步改进措施：一是积极与服务器维护人员沟通，加强设备维护及巡视；二是积极推广网上审批，方便持卡人申请房补。</w:t>
      </w:r>
    </w:p>
    <w:tbl>
      <w:tblPr>
        <w:tblStyle w:val="6"/>
        <w:tblW w:w="9247" w:type="dxa"/>
        <w:tblInd w:w="93" w:type="dxa"/>
        <w:shd w:val="clear" w:color="auto" w:fill="auto"/>
        <w:tblLayout w:type="fixed"/>
        <w:tblCellMar>
          <w:top w:w="0" w:type="dxa"/>
          <w:left w:w="108" w:type="dxa"/>
          <w:bottom w:w="0" w:type="dxa"/>
          <w:right w:w="108" w:type="dxa"/>
        </w:tblCellMar>
      </w:tblPr>
      <w:tblGrid>
        <w:gridCol w:w="1177"/>
        <w:gridCol w:w="1470"/>
        <w:gridCol w:w="1260"/>
        <w:gridCol w:w="1245"/>
        <w:gridCol w:w="1080"/>
        <w:gridCol w:w="1185"/>
        <w:gridCol w:w="840"/>
        <w:gridCol w:w="990"/>
      </w:tblGrid>
      <w:tr>
        <w:tblPrEx>
          <w:shd w:val="clear" w:color="auto" w:fill="auto"/>
          <w:tblCellMar>
            <w:top w:w="0" w:type="dxa"/>
            <w:left w:w="108" w:type="dxa"/>
            <w:bottom w:w="0" w:type="dxa"/>
            <w:right w:w="108" w:type="dxa"/>
          </w:tblCellMar>
        </w:tblPrEx>
        <w:trPr>
          <w:trHeight w:val="270" w:hRule="atLeast"/>
        </w:trPr>
        <w:tc>
          <w:tcPr>
            <w:tcW w:w="9247"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shd w:val="clear" w:color="auto" w:fill="auto"/>
          <w:tblCellMar>
            <w:top w:w="0" w:type="dxa"/>
            <w:left w:w="108" w:type="dxa"/>
            <w:bottom w:w="0" w:type="dxa"/>
            <w:right w:w="108" w:type="dxa"/>
          </w:tblCellMar>
        </w:tblPrEx>
        <w:trPr>
          <w:trHeight w:val="270" w:hRule="atLeast"/>
        </w:trPr>
        <w:tc>
          <w:tcPr>
            <w:tcW w:w="9247"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shd w:val="clear" w:color="auto" w:fill="auto"/>
          <w:tblCellMar>
            <w:top w:w="0" w:type="dxa"/>
            <w:left w:w="108" w:type="dxa"/>
            <w:bottom w:w="0" w:type="dxa"/>
            <w:right w:w="108" w:type="dxa"/>
          </w:tblCellMar>
        </w:tblPrEx>
        <w:trPr>
          <w:trHeight w:val="402" w:hRule="atLeast"/>
        </w:trPr>
        <w:tc>
          <w:tcPr>
            <w:tcW w:w="9247"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w:t>
            </w:r>
          </w:p>
        </w:tc>
      </w:tr>
      <w:tr>
        <w:tblPrEx>
          <w:shd w:val="clear" w:color="auto" w:fill="auto"/>
          <w:tblCellMar>
            <w:top w:w="0" w:type="dxa"/>
            <w:left w:w="108" w:type="dxa"/>
            <w:bottom w:w="0" w:type="dxa"/>
            <w:right w:w="108" w:type="dxa"/>
          </w:tblCellMar>
        </w:tblPrEx>
        <w:trPr>
          <w:trHeight w:val="270" w:hRule="atLeast"/>
        </w:trPr>
        <w:tc>
          <w:tcPr>
            <w:tcW w:w="3907"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填报单位：藁城区委组织部</w:t>
            </w:r>
          </w:p>
        </w:tc>
        <w:tc>
          <w:tcPr>
            <w:tcW w:w="124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8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830"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shd w:val="clear" w:color="auto" w:fill="auto"/>
          <w:tblCellMar>
            <w:top w:w="0" w:type="dxa"/>
            <w:left w:w="108" w:type="dxa"/>
            <w:bottom w:w="0" w:type="dxa"/>
            <w:right w:w="108" w:type="dxa"/>
          </w:tblCellMar>
        </w:tblPrEx>
        <w:trPr>
          <w:trHeight w:val="540" w:hRule="atLeast"/>
        </w:trPr>
        <w:tc>
          <w:tcPr>
            <w:tcW w:w="11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人才绿卡住房补贴及运行费（其他工资福利支出）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0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藁城区委组织部</w:t>
            </w:r>
          </w:p>
        </w:tc>
      </w:tr>
      <w:tr>
        <w:tblPrEx>
          <w:shd w:val="clear" w:color="auto" w:fill="auto"/>
          <w:tblCellMar>
            <w:top w:w="0" w:type="dxa"/>
            <w:left w:w="108" w:type="dxa"/>
            <w:bottom w:w="0" w:type="dxa"/>
            <w:right w:w="108" w:type="dxa"/>
          </w:tblCellMar>
        </w:tblPrEx>
        <w:trPr>
          <w:trHeight w:val="462" w:hRule="atLeast"/>
        </w:trPr>
        <w:tc>
          <w:tcPr>
            <w:tcW w:w="11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7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shd w:val="clear" w:color="auto" w:fill="auto"/>
          <w:tblCellMar>
            <w:top w:w="0" w:type="dxa"/>
            <w:left w:w="108" w:type="dxa"/>
            <w:bottom w:w="0" w:type="dxa"/>
            <w:right w:w="108" w:type="dxa"/>
          </w:tblCellMar>
        </w:tblPrEx>
        <w:trPr>
          <w:trHeight w:val="378"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54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36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62" w:hRule="atLeast"/>
        </w:trPr>
        <w:tc>
          <w:tcPr>
            <w:tcW w:w="11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97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31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shd w:val="clear" w:color="auto" w:fill="auto"/>
          <w:tblCellMar>
            <w:top w:w="0" w:type="dxa"/>
            <w:left w:w="108" w:type="dxa"/>
            <w:bottom w:w="0" w:type="dxa"/>
            <w:right w:w="108" w:type="dxa"/>
          </w:tblCellMar>
        </w:tblPrEx>
        <w:trPr>
          <w:trHeight w:val="1218"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按照上级文件要求，保证人才绿卡服务管理，落实发放房租补贴。</w:t>
            </w:r>
          </w:p>
        </w:tc>
        <w:tc>
          <w:tcPr>
            <w:tcW w:w="31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全部按时完成</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375" w:hRule="atLeast"/>
        </w:trPr>
        <w:tc>
          <w:tcPr>
            <w:tcW w:w="11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shd w:val="clear" w:color="auto" w:fill="auto"/>
          <w:tblCellMar>
            <w:top w:w="0" w:type="dxa"/>
            <w:left w:w="108" w:type="dxa"/>
            <w:bottom w:w="0" w:type="dxa"/>
            <w:right w:w="108" w:type="dxa"/>
          </w:tblCellMar>
        </w:tblPrEx>
        <w:trPr>
          <w:trHeight w:val="84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发放人数占区绿卡持卡人才比率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66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足额发放率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678"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6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72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按时完成预算指标</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54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0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生态效益指标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6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吸引更多人才到我区干事创业</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tblPrEx>
          <w:shd w:val="clear" w:color="auto" w:fill="auto"/>
          <w:tblCellMar>
            <w:top w:w="0" w:type="dxa"/>
            <w:left w:w="108" w:type="dxa"/>
            <w:bottom w:w="0" w:type="dxa"/>
            <w:right w:w="108" w:type="dxa"/>
          </w:tblCellMar>
        </w:tblPrEx>
        <w:trPr>
          <w:trHeight w:val="618"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shd w:val="clear" w:color="auto" w:fill="auto"/>
          <w:tblCellMar>
            <w:top w:w="0" w:type="dxa"/>
            <w:left w:w="108" w:type="dxa"/>
            <w:bottom w:w="0" w:type="dxa"/>
            <w:right w:w="108" w:type="dxa"/>
          </w:tblCellMar>
        </w:tblPrEx>
        <w:trPr>
          <w:trHeight w:val="600" w:hRule="atLeast"/>
        </w:trPr>
        <w:tc>
          <w:tcPr>
            <w:tcW w:w="11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8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shd w:val="clear" w:color="auto" w:fill="auto"/>
          <w:tblCellMar>
            <w:top w:w="0" w:type="dxa"/>
            <w:left w:w="108" w:type="dxa"/>
            <w:bottom w:w="0" w:type="dxa"/>
            <w:right w:w="108" w:type="dxa"/>
          </w:tblCellMar>
        </w:tblPrEx>
        <w:trPr>
          <w:trHeight w:val="1005" w:hRule="atLeast"/>
        </w:trPr>
        <w:tc>
          <w:tcPr>
            <w:tcW w:w="11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80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问题：预算的计划性，科学性不强，下步措施：1、严格预算管理标准，提高预算绩效指标。2、认真做好前期预算执行准备工作，加强项目跟踪及项目支出执行管理，提高预算资金使用效率。</w:t>
            </w:r>
          </w:p>
        </w:tc>
      </w:tr>
      <w:tr>
        <w:tblPrEx>
          <w:tblCellMar>
            <w:top w:w="0" w:type="dxa"/>
            <w:left w:w="108" w:type="dxa"/>
            <w:bottom w:w="0" w:type="dxa"/>
            <w:right w:w="108" w:type="dxa"/>
          </w:tblCellMar>
        </w:tblPrEx>
        <w:trPr>
          <w:trHeight w:val="600" w:hRule="atLeast"/>
        </w:trPr>
        <w:tc>
          <w:tcPr>
            <w:tcW w:w="2647"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填报人：贾玉梅</w:t>
            </w:r>
          </w:p>
        </w:tc>
        <w:tc>
          <w:tcPr>
            <w:tcW w:w="126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24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26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联系电话：88042622</w:t>
            </w:r>
          </w:p>
        </w:tc>
        <w:tc>
          <w:tcPr>
            <w:tcW w:w="84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99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党员干部远程教育基层站点运行费项目绩效自评综述：绩效指标权重根据本项目实际情况确定，总分设定为100分，根据年初设定的绩效目标，党员干部远程教育基层站点运行费项目绩效自评得分为98分。全年预算数为9.96万元，执行数为9.96万元，完成预算的100%。项目绩效目标完成情况：一是每月利用远教站点学习培训≥2次，得分20分、二是实际参加远程学习站点占远程教育站点总数的比率≥95%，得分20分；三是按时完成预算指标率100%，得分10分；四是参加学习农村党员干部理论水平和致富能力比学习前提高的比率≥90%，得分39分；五是服务对象满意度≥95%，得分9分。共计得分98分。发现的主要问题及原因：一是在使用过程中偶尔有少量掉线情况；二是资源能力上（含计算、存储、服务等）存在不足，数据共享能力不足。下一步改进措施：一是今后积极与市委组织部对接，进行资源提升；二是及时督促联通公司根据实际情况尽快修复，以保障业务的正常运行。</w:t>
      </w:r>
    </w:p>
    <w:tbl>
      <w:tblPr>
        <w:tblStyle w:val="6"/>
        <w:tblW w:w="9268" w:type="dxa"/>
        <w:tblInd w:w="93" w:type="dxa"/>
        <w:shd w:val="clear" w:color="auto" w:fill="auto"/>
        <w:tblLayout w:type="fixed"/>
        <w:tblCellMar>
          <w:top w:w="0" w:type="dxa"/>
          <w:left w:w="108" w:type="dxa"/>
          <w:bottom w:w="0" w:type="dxa"/>
          <w:right w:w="108" w:type="dxa"/>
        </w:tblCellMar>
      </w:tblPr>
      <w:tblGrid>
        <w:gridCol w:w="1153"/>
        <w:gridCol w:w="1485"/>
        <w:gridCol w:w="1320"/>
        <w:gridCol w:w="1691"/>
        <w:gridCol w:w="1003"/>
        <w:gridCol w:w="771"/>
        <w:gridCol w:w="870"/>
        <w:gridCol w:w="975"/>
      </w:tblGrid>
      <w:tr>
        <w:tblPrEx>
          <w:shd w:val="clear" w:color="auto" w:fill="auto"/>
          <w:tblCellMar>
            <w:top w:w="0" w:type="dxa"/>
            <w:left w:w="108" w:type="dxa"/>
            <w:bottom w:w="0" w:type="dxa"/>
            <w:right w:w="108" w:type="dxa"/>
          </w:tblCellMar>
        </w:tblPrEx>
        <w:trPr>
          <w:trHeight w:val="270" w:hRule="atLeast"/>
        </w:trPr>
        <w:tc>
          <w:tcPr>
            <w:tcW w:w="9268" w:type="dxa"/>
            <w:gridSpan w:val="8"/>
            <w:vMerge w:val="restar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tblPrEx>
          <w:shd w:val="clear" w:color="auto" w:fill="auto"/>
          <w:tblCellMar>
            <w:top w:w="0" w:type="dxa"/>
            <w:left w:w="108" w:type="dxa"/>
            <w:bottom w:w="0" w:type="dxa"/>
            <w:right w:w="108" w:type="dxa"/>
          </w:tblCellMar>
        </w:tblPrEx>
        <w:trPr>
          <w:trHeight w:val="270" w:hRule="atLeast"/>
        </w:trPr>
        <w:tc>
          <w:tcPr>
            <w:tcW w:w="9268" w:type="dxa"/>
            <w:gridSpan w:val="8"/>
            <w:vMerge w:val="continue"/>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36"/>
                <w:szCs w:val="36"/>
                <w:u w:val="none"/>
              </w:rPr>
            </w:pPr>
          </w:p>
        </w:tc>
      </w:tr>
      <w:tr>
        <w:tblPrEx>
          <w:shd w:val="clear" w:color="auto" w:fill="auto"/>
          <w:tblCellMar>
            <w:top w:w="0" w:type="dxa"/>
            <w:left w:w="108" w:type="dxa"/>
            <w:bottom w:w="0" w:type="dxa"/>
            <w:right w:w="108" w:type="dxa"/>
          </w:tblCellMar>
        </w:tblPrEx>
        <w:trPr>
          <w:trHeight w:val="402" w:hRule="atLeast"/>
        </w:trPr>
        <w:tc>
          <w:tcPr>
            <w:tcW w:w="9268"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w:t>
            </w:r>
          </w:p>
        </w:tc>
      </w:tr>
      <w:tr>
        <w:tblPrEx>
          <w:shd w:val="clear" w:color="auto" w:fill="auto"/>
          <w:tblCellMar>
            <w:top w:w="0" w:type="dxa"/>
            <w:left w:w="108" w:type="dxa"/>
            <w:bottom w:w="0" w:type="dxa"/>
            <w:right w:w="108" w:type="dxa"/>
          </w:tblCellMar>
        </w:tblPrEx>
        <w:trPr>
          <w:trHeight w:val="270" w:hRule="atLeast"/>
        </w:trPr>
        <w:tc>
          <w:tcPr>
            <w:tcW w:w="3958"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填报单位：藁城区委组织部</w:t>
            </w:r>
          </w:p>
        </w:tc>
        <w:tc>
          <w:tcPr>
            <w:tcW w:w="1691"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03"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845" w:type="dxa"/>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tblPrEx>
          <w:shd w:val="clear" w:color="auto" w:fill="auto"/>
          <w:tblCellMar>
            <w:top w:w="0" w:type="dxa"/>
            <w:left w:w="108" w:type="dxa"/>
            <w:bottom w:w="0" w:type="dxa"/>
            <w:right w:w="108" w:type="dxa"/>
          </w:tblCellMar>
        </w:tblPrEx>
        <w:trPr>
          <w:trHeight w:val="540" w:hRule="atLeast"/>
        </w:trPr>
        <w:tc>
          <w:tcPr>
            <w:tcW w:w="11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30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党员干部远程教育基层站点运行费</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藁城区委组织部</w:t>
            </w:r>
          </w:p>
        </w:tc>
      </w:tr>
      <w:tr>
        <w:tblPrEx>
          <w:shd w:val="clear" w:color="auto" w:fill="auto"/>
          <w:tblCellMar>
            <w:top w:w="0" w:type="dxa"/>
            <w:left w:w="108" w:type="dxa"/>
            <w:bottom w:w="0" w:type="dxa"/>
            <w:right w:w="108" w:type="dxa"/>
          </w:tblCellMar>
        </w:tblPrEx>
        <w:trPr>
          <w:trHeight w:val="462" w:hRule="atLeast"/>
        </w:trPr>
        <w:tc>
          <w:tcPr>
            <w:tcW w:w="11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tblPrEx>
          <w:shd w:val="clear" w:color="auto" w:fill="auto"/>
          <w:tblCellMar>
            <w:top w:w="0" w:type="dxa"/>
            <w:left w:w="108" w:type="dxa"/>
            <w:bottom w:w="0" w:type="dxa"/>
            <w:right w:w="108" w:type="dxa"/>
          </w:tblCellMar>
        </w:tblPrEx>
        <w:trPr>
          <w:trHeight w:val="378"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16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54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16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36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16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0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462" w:hRule="atLeast"/>
        </w:trPr>
        <w:tc>
          <w:tcPr>
            <w:tcW w:w="11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449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264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tblPrEx>
          <w:shd w:val="clear" w:color="auto" w:fill="auto"/>
          <w:tblCellMar>
            <w:top w:w="0" w:type="dxa"/>
            <w:left w:w="108" w:type="dxa"/>
            <w:bottom w:w="0" w:type="dxa"/>
            <w:right w:w="108" w:type="dxa"/>
          </w:tblCellMar>
        </w:tblPrEx>
        <w:trPr>
          <w:trHeight w:val="1218"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4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按照上级文件要求，做好远程教育站点的维护管理。提高农村党员干部的理论水平和致富能力。</w:t>
            </w:r>
          </w:p>
        </w:tc>
        <w:tc>
          <w:tcPr>
            <w:tcW w:w="264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全部按时完成</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shd w:val="clear" w:color="auto" w:fill="auto"/>
          <w:tblCellMar>
            <w:top w:w="0" w:type="dxa"/>
            <w:left w:w="108" w:type="dxa"/>
            <w:bottom w:w="0" w:type="dxa"/>
            <w:right w:w="108" w:type="dxa"/>
          </w:tblCellMar>
        </w:tblPrEx>
        <w:trPr>
          <w:trHeight w:val="375" w:hRule="atLeast"/>
        </w:trPr>
        <w:tc>
          <w:tcPr>
            <w:tcW w:w="11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tblPrEx>
          <w:shd w:val="clear" w:color="auto" w:fill="auto"/>
          <w:tblCellMar>
            <w:top w:w="0" w:type="dxa"/>
            <w:left w:w="108" w:type="dxa"/>
            <w:bottom w:w="0" w:type="dxa"/>
            <w:right w:w="108" w:type="dxa"/>
          </w:tblCellMar>
        </w:tblPrEx>
        <w:trPr>
          <w:trHeight w:val="84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全年利用远教站点进行学习培训的次数</w:t>
            </w:r>
          </w:p>
        </w:tc>
        <w:tc>
          <w:tcPr>
            <w:tcW w:w="7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r>
              <w:rPr>
                <w:rStyle w:val="12"/>
                <w:lang w:val="en-US" w:eastAsia="zh-CN" w:bidi="ar"/>
              </w:rPr>
              <w:t>0次</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r>
              <w:rPr>
                <w:rStyle w:val="12"/>
                <w:lang w:val="en-US" w:eastAsia="zh-CN" w:bidi="ar"/>
              </w:rPr>
              <w:t>4次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66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远程教育站点的利用率</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tblPrEx>
          <w:shd w:val="clear" w:color="auto" w:fill="auto"/>
          <w:tblCellMar>
            <w:top w:w="0" w:type="dxa"/>
            <w:left w:w="108" w:type="dxa"/>
            <w:bottom w:w="0" w:type="dxa"/>
            <w:right w:w="108" w:type="dxa"/>
          </w:tblCellMar>
        </w:tblPrEx>
        <w:trPr>
          <w:trHeight w:val="678"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6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72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按时完成预算指标</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shd w:val="clear" w:color="auto" w:fill="auto"/>
          <w:tblCellMar>
            <w:top w:w="0" w:type="dxa"/>
            <w:left w:w="108" w:type="dxa"/>
            <w:bottom w:w="0" w:type="dxa"/>
            <w:right w:w="108" w:type="dxa"/>
          </w:tblCellMar>
        </w:tblPrEx>
        <w:trPr>
          <w:trHeight w:val="54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54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0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生态效益指标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shd w:val="clear" w:color="auto" w:fill="auto"/>
          <w:tblCellMar>
            <w:top w:w="0" w:type="dxa"/>
            <w:left w:w="108" w:type="dxa"/>
            <w:bottom w:w="0" w:type="dxa"/>
            <w:right w:w="108" w:type="dxa"/>
          </w:tblCellMar>
        </w:tblPrEx>
        <w:trPr>
          <w:trHeight w:val="66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提高党员素质教育水平</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tblPrEx>
          <w:shd w:val="clear" w:color="auto" w:fill="auto"/>
          <w:tblCellMar>
            <w:top w:w="0" w:type="dxa"/>
            <w:left w:w="108" w:type="dxa"/>
            <w:bottom w:w="0" w:type="dxa"/>
            <w:right w:w="108" w:type="dxa"/>
          </w:tblCellMar>
        </w:tblPrEx>
        <w:trPr>
          <w:trHeight w:val="618"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69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shd w:val="clear" w:color="auto" w:fill="auto"/>
          <w:tblCellMar>
            <w:top w:w="0" w:type="dxa"/>
            <w:left w:w="108" w:type="dxa"/>
            <w:bottom w:w="0" w:type="dxa"/>
            <w:right w:w="108" w:type="dxa"/>
          </w:tblCellMar>
        </w:tblPrEx>
        <w:trPr>
          <w:trHeight w:val="600" w:hRule="atLeast"/>
        </w:trPr>
        <w:tc>
          <w:tcPr>
            <w:tcW w:w="11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14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shd w:val="clear" w:color="auto" w:fill="auto"/>
          <w:tblCellMar>
            <w:top w:w="0" w:type="dxa"/>
            <w:left w:w="108" w:type="dxa"/>
            <w:bottom w:w="0" w:type="dxa"/>
            <w:right w:w="108" w:type="dxa"/>
          </w:tblCellMar>
        </w:tblPrEx>
        <w:trPr>
          <w:trHeight w:val="1005" w:hRule="atLeast"/>
        </w:trPr>
        <w:tc>
          <w:tcPr>
            <w:tcW w:w="11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811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问题：预算的计划性，科学性不强，下步措施：1、严格预算管理标准，提高预算绩效指标。2、认真做好前期预算执行准备工作，加强项目跟踪及项目支出执行管理，提高预算资金使用效率。</w:t>
            </w:r>
          </w:p>
        </w:tc>
      </w:tr>
      <w:tr>
        <w:tblPrEx>
          <w:shd w:val="clear" w:color="auto" w:fill="auto"/>
          <w:tblCellMar>
            <w:top w:w="0" w:type="dxa"/>
            <w:left w:w="108" w:type="dxa"/>
            <w:bottom w:w="0" w:type="dxa"/>
            <w:right w:w="108" w:type="dxa"/>
          </w:tblCellMar>
        </w:tblPrEx>
        <w:trPr>
          <w:trHeight w:val="600" w:hRule="atLeast"/>
        </w:trPr>
        <w:tc>
          <w:tcPr>
            <w:tcW w:w="2638"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填报人：贾玉梅</w:t>
            </w:r>
          </w:p>
        </w:tc>
        <w:tc>
          <w:tcPr>
            <w:tcW w:w="132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691"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2644" w:type="dxa"/>
            <w:gridSpan w:val="3"/>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联系电话：88042622</w:t>
            </w:r>
          </w:p>
        </w:tc>
        <w:tc>
          <w:tcPr>
            <w:tcW w:w="9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keepNext/>
        <w:keepLines/>
        <w:numPr>
          <w:ilvl w:val="0"/>
          <w:numId w:val="2"/>
        </w:numPr>
        <w:snapToGrid w:val="0"/>
        <w:spacing w:line="580" w:lineRule="exact"/>
        <w:ind w:left="840"/>
        <w:jc w:val="lef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jc w:val="left"/>
        <w:outlineLvl w:val="1"/>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 本部门无财政评价项目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本部门2019年度机关运行经费支出66.5万元，比2018年度增加33.49万元，增加101.45%。主要原因是2019年我单位机构改革并入区委老干部局人员变动大。</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宋体" w:eastAsia="仿宋_GB2312" w:cs="Times New Roman"/>
          <w:color w:val="000000"/>
          <w:kern w:val="0"/>
          <w:sz w:val="32"/>
          <w:szCs w:val="32"/>
        </w:rPr>
        <w:t>本部门2019年度政府采购支出总额0万元，从采购类型来看，政府采购货物支出0 万元、政府采购工程支出0万元、政府采购服务支出 0万元。授予中小企业合同金0万元，占政府采购支出总额的0%，其中授予小微企业合同金额0万元，占政</w:t>
      </w:r>
      <w:r>
        <w:rPr>
          <w:rFonts w:ascii="仿宋_GB2312" w:hAnsi="仿宋_GB2312" w:eastAsia="仿宋_GB2312" w:cs="仿宋_GB2312"/>
          <w:color w:val="000000"/>
          <w:kern w:val="0"/>
          <w:sz w:val="32"/>
          <w:szCs w:val="32"/>
        </w:rPr>
        <w:t xml:space="preserve">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增加1辆。其中，副部（省）级及以上领导用车0辆，主要领导干部用车0辆，机要通信用车0辆，应急保障用车0辆，执法执勤用车0辆，特种专业技术用车0辆，离退休干部用车1辆，其他用车0辆；</w:t>
      </w:r>
    </w:p>
    <w:p>
      <w:pPr>
        <w:widowControl/>
        <w:spacing w:line="560" w:lineRule="exact"/>
        <w:ind w:firstLine="640" w:firstLineChars="200"/>
        <w:rPr>
          <w:rFonts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w:t>
      </w:r>
      <w:r>
        <w:rPr>
          <w:rFonts w:hint="eastAsia" w:ascii="仿宋_GB2312" w:hAnsi="宋体" w:eastAsia="仿宋_GB2312" w:cs="Times New Roman"/>
          <w:color w:val="000000"/>
          <w:kern w:val="0"/>
          <w:sz w:val="32"/>
          <w:szCs w:val="32"/>
        </w:rPr>
        <w:t>与上年0套持平。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w:t>
      </w:r>
      <w:r>
        <w:rPr>
          <w:rFonts w:hint="eastAsia" w:ascii="仿宋_GB2312" w:hAnsi="宋体" w:eastAsia="仿宋_GB2312" w:cs="Times New Roman"/>
          <w:color w:val="000000"/>
          <w:kern w:val="0"/>
          <w:sz w:val="32"/>
          <w:szCs w:val="32"/>
        </w:rPr>
        <w:t>与上年0套持平。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 xml:space="preserve">1. </w:t>
      </w:r>
      <w:r>
        <w:rPr>
          <w:rFonts w:hint="eastAsia" w:ascii="仿宋_GB2312" w:hAnsi="宋体" w:eastAsia="仿宋_GB2312" w:cs="Times New Roman"/>
          <w:color w:val="000000"/>
          <w:kern w:val="0"/>
          <w:sz w:val="32"/>
          <w:szCs w:val="32"/>
        </w:rPr>
        <w:t>本部门2019年度政府性基金预算财政拨款收入支出无收支及结转结余情况，故政府性基金预算财政拨款收入支出决算表以空表列示。本部门2019年度国有资本经营预算财政拨款支出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sectPr>
          <w:type w:val="continuous"/>
          <w:pgSz w:w="11906" w:h="16838"/>
          <w:pgMar w:top="2098" w:right="1474" w:bottom="1984" w:left="1588" w:header="851" w:footer="992" w:gutter="0"/>
          <w:pgNumType w:fmt="numberInDash"/>
          <w:cols w:space="0" w:num="1"/>
          <w:docGrid w:type="lines" w:linePitch="312" w:charSpace="0"/>
        </w:sect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rPr>
          <w:rFonts w:ascii="黑体" w:hAnsi="黑体" w:eastAsia="黑体" w:cs="黑体"/>
          <w:sz w:val="56"/>
          <w:szCs w:val="72"/>
        </w:rPr>
        <w:sectPr>
          <w:headerReference r:id="rId15" w:type="first"/>
          <w:footerReference r:id="rId17" w:type="first"/>
          <w:headerReference r:id="rId14" w:type="default"/>
          <w:foot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5"/>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Pr>
        <w:tabs>
          <w:tab w:val="left" w:pos="886"/>
        </w:tabs>
        <w:jc w:val="left"/>
        <w:sectPr>
          <w:headerReference r:id="rId1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1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5"/>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18"/>
                <w:szCs w:val="18"/>
              </w:rPr>
              <w:t>4709.94</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1199.85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28.41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38.03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2822.15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4709.94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4088.44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624.23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18"/>
                <w:szCs w:val="18"/>
              </w:rPr>
              <w:t>4712.67</w:t>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4712.67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4,709.94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4,709.94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6"/>
                <w:szCs w:val="16"/>
              </w:rPr>
            </w:pPr>
            <w:r>
              <w:rPr>
                <w:rFonts w:hint="eastAsia" w:ascii="宋体" w:hAnsi="宋体" w:eastAsia="宋体" w:cs="宋体"/>
                <w:color w:val="000000"/>
                <w:sz w:val="16"/>
                <w:szCs w:val="16"/>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1,207.57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1,207.57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组织事务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1,201.50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1,201.50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779.30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779.30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2013203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机关服务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2013204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公务员事务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29.67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29.67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2013250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77.26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77.26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2013299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22"/>
              </w:rPr>
              <w:t xml:space="preserve">  </w:t>
            </w:r>
            <w:r>
              <w:rPr>
                <w:rFonts w:hint="eastAsia" w:ascii="宋体" w:hAnsi="宋体" w:eastAsia="宋体" w:cs="宋体"/>
                <w:color w:val="000000"/>
                <w:sz w:val="15"/>
                <w:szCs w:val="15"/>
              </w:rPr>
              <w:t>其他组织事务支出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309.46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其他共产党事务支出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2013650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教育支出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20508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进修及培训</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2050802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干部教育</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2"/>
              </w:rPr>
              <w:t xml:space="preserve"> </w:t>
            </w:r>
            <w:r>
              <w:rPr>
                <w:rFonts w:hint="eastAsia" w:ascii="宋体" w:hAnsi="宋体" w:eastAsia="宋体" w:cs="宋体"/>
                <w:color w:val="000000"/>
                <w:sz w:val="20"/>
                <w:szCs w:val="20"/>
              </w:rPr>
              <w:t xml:space="preserve"> 其他优抚支出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39.54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农林水支出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3,434.42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3,434.42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农业</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194.85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194.85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80"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2130152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22"/>
              </w:rPr>
              <w:t xml:space="preserve"> </w:t>
            </w:r>
            <w:r>
              <w:rPr>
                <w:rFonts w:hint="eastAsia" w:ascii="宋体" w:hAnsi="宋体" w:eastAsia="宋体" w:cs="宋体"/>
                <w:color w:val="000000"/>
                <w:sz w:val="15"/>
                <w:szCs w:val="15"/>
              </w:rPr>
              <w:t>对高校毕业生到基层任职补助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194.85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194.85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21307</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农村综合改革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3,239.57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3,239.57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83"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2130705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6"/>
                <w:szCs w:val="16"/>
              </w:rPr>
            </w:pPr>
            <w:r>
              <w:rPr>
                <w:rFonts w:hint="eastAsia" w:ascii="宋体" w:hAnsi="宋体" w:eastAsia="宋体" w:cs="宋体"/>
                <w:color w:val="000000"/>
                <w:sz w:val="22"/>
              </w:rPr>
              <w:t xml:space="preserve"> </w:t>
            </w:r>
            <w:r>
              <w:rPr>
                <w:rFonts w:hint="eastAsia" w:ascii="宋体" w:hAnsi="宋体" w:eastAsia="宋体" w:cs="宋体"/>
                <w:color w:val="000000"/>
                <w:sz w:val="16"/>
                <w:szCs w:val="16"/>
              </w:rPr>
              <w:t>对村民委员会和村党支部的补助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3,239.57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3,239.57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680" w:type="dxa"/>
            <w:gridSpan w:val="10"/>
            <w:tcBorders>
              <w:top w:val="nil"/>
              <w:left w:val="nil"/>
              <w:bottom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1,199.85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700.07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499.77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组织事务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1,193.78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700.07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493.70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776.39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700.07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76.32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机关服务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5.81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5.81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公务员事务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2013250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事业运行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77.26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77.26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13"/>
                <w:szCs w:val="13"/>
              </w:rPr>
            </w:pPr>
            <w:r>
              <w:rPr>
                <w:rFonts w:hint="eastAsia" w:ascii="宋体" w:hAnsi="宋体" w:eastAsia="宋体" w:cs="Arial"/>
                <w:color w:val="000000"/>
                <w:kern w:val="0"/>
                <w:sz w:val="22"/>
              </w:rPr>
              <w:t xml:space="preserve">  </w:t>
            </w:r>
            <w:r>
              <w:rPr>
                <w:rFonts w:hint="eastAsia" w:ascii="宋体" w:hAnsi="宋体" w:eastAsia="宋体" w:cs="Arial"/>
                <w:color w:val="000000"/>
                <w:kern w:val="0"/>
                <w:sz w:val="13"/>
                <w:szCs w:val="13"/>
              </w:rPr>
              <w:t>其他组织事务支出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304.65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304.65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13"/>
                <w:szCs w:val="13"/>
              </w:rPr>
            </w:pPr>
            <w:r>
              <w:rPr>
                <w:rFonts w:hint="eastAsia" w:ascii="宋体" w:hAnsi="宋体" w:eastAsia="宋体" w:cs="Arial"/>
                <w:color w:val="000000"/>
                <w:kern w:val="0"/>
                <w:sz w:val="13"/>
                <w:szCs w:val="13"/>
              </w:rPr>
              <w:t>其他共产党事务支出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2013650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事业运行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进修及培训</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2050802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干部教育</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13"/>
                <w:szCs w:val="13"/>
              </w:rPr>
            </w:pPr>
            <w:r>
              <w:rPr>
                <w:rFonts w:hint="eastAsia" w:ascii="宋体" w:hAnsi="宋体" w:eastAsia="宋体" w:cs="Arial"/>
                <w:color w:val="000000"/>
                <w:kern w:val="0"/>
                <w:sz w:val="13"/>
                <w:szCs w:val="13"/>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抚恤</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18"/>
                <w:szCs w:val="18"/>
              </w:rPr>
            </w:pPr>
            <w:r>
              <w:rPr>
                <w:rFonts w:hint="eastAsia" w:ascii="宋体" w:hAnsi="宋体" w:eastAsia="宋体" w:cs="Arial"/>
                <w:color w:val="000000"/>
                <w:kern w:val="0"/>
                <w:sz w:val="22"/>
              </w:rPr>
              <w:t xml:space="preserve"> </w:t>
            </w:r>
            <w:r>
              <w:rPr>
                <w:rFonts w:hint="eastAsia" w:ascii="宋体" w:hAnsi="宋体" w:eastAsia="宋体" w:cs="Arial"/>
                <w:color w:val="000000"/>
                <w:kern w:val="0"/>
                <w:sz w:val="18"/>
                <w:szCs w:val="18"/>
              </w:rPr>
              <w:t xml:space="preserve"> 其他优抚支出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2,822.15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2,822.15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农业</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2130152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对高校毕业生到基层任职补助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农村综合改革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对村民委员会和村党支部的补助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470.94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r>
              <w:rPr>
                <w:rFonts w:hint="eastAsia" w:ascii="宋体" w:hAnsi="宋体" w:eastAsia="宋体" w:cs="宋体"/>
                <w:color w:val="000000"/>
                <w:sz w:val="10"/>
                <w:szCs w:val="10"/>
              </w:rPr>
              <w:t>1199.85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1199.85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r>
              <w:rPr>
                <w:rFonts w:hint="eastAsia" w:ascii="宋体" w:hAnsi="宋体" w:eastAsia="宋体" w:cs="宋体"/>
                <w:color w:val="000000"/>
                <w:sz w:val="10"/>
                <w:szCs w:val="10"/>
              </w:rPr>
              <w:t>28.41</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28.41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r>
              <w:rPr>
                <w:rFonts w:hint="eastAsia" w:ascii="宋体" w:hAnsi="宋体" w:eastAsia="宋体" w:cs="宋体"/>
                <w:color w:val="000000"/>
                <w:sz w:val="10"/>
                <w:szCs w:val="10"/>
              </w:rPr>
              <w:t>38.03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38.03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r>
              <w:rPr>
                <w:rFonts w:hint="eastAsia" w:ascii="宋体" w:hAnsi="宋体" w:eastAsia="宋体" w:cs="宋体"/>
                <w:color w:val="000000"/>
                <w:sz w:val="10"/>
                <w:szCs w:val="10"/>
              </w:rPr>
              <w:t>2822.15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2822.15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4709.94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r>
              <w:rPr>
                <w:rFonts w:hint="eastAsia" w:ascii="宋体" w:hAnsi="宋体" w:eastAsia="宋体" w:cs="宋体"/>
                <w:color w:val="000000"/>
                <w:sz w:val="10"/>
                <w:szCs w:val="10"/>
              </w:rPr>
              <w:t>4088.44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4088.44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2.72</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0"/>
                <w:szCs w:val="10"/>
              </w:rPr>
            </w:pPr>
            <w:r>
              <w:rPr>
                <w:rFonts w:hint="eastAsia" w:ascii="宋体" w:hAnsi="宋体" w:eastAsia="宋体" w:cs="宋体"/>
                <w:color w:val="000000"/>
                <w:sz w:val="10"/>
                <w:szCs w:val="10"/>
              </w:rPr>
              <w:t>624.23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624.23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2.72</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4712.67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10"/>
                <w:szCs w:val="10"/>
              </w:rPr>
              <w:t>4712.67</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4712.67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bottom"/>
          </w:tcPr>
          <w:p>
            <w:pPr>
              <w:widowControl/>
              <w:ind w:right="400"/>
              <w:jc w:val="center"/>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4,088.44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700.07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b/>
                <w:bCs/>
                <w:color w:val="000000"/>
                <w:kern w:val="0"/>
                <w:sz w:val="22"/>
              </w:rPr>
            </w:pPr>
            <w:r>
              <w:rPr>
                <w:rFonts w:hint="eastAsia" w:ascii="宋体" w:hAnsi="宋体" w:eastAsia="宋体" w:cs="Arial"/>
                <w:b/>
                <w:bCs/>
                <w:color w:val="000000"/>
                <w:kern w:val="0"/>
                <w:sz w:val="22"/>
              </w:rPr>
              <w:t>3,388.36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1,199.85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700.07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499.77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组织事务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1,193.78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700.07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493.70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776.39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700.07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76.32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机关服务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5.81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5.81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2013204</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公务员事务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29.67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2013250</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事业运行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77.26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77.26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2013299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其他组织事务支出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304.65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304.65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其他共产党事务支出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2013650</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事业运行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6.07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教育支出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进修及培训</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2050802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干部教育</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28.41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抚恤</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2080899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其他优抚支出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38.03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农林水支出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2,822.15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2,822.15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农业</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2130152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对高校毕业生到基层任职补助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182.85</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农村综合改革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2130705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rPr>
                <w:rFonts w:ascii="宋体" w:hAnsi="宋体" w:eastAsia="宋体" w:cs="Arial"/>
                <w:color w:val="000000"/>
                <w:kern w:val="0"/>
                <w:sz w:val="22"/>
              </w:rPr>
            </w:pPr>
            <w:r>
              <w:rPr>
                <w:rFonts w:hint="eastAsia" w:ascii="宋体" w:hAnsi="宋体" w:eastAsia="宋体" w:cs="Arial"/>
                <w:color w:val="000000"/>
                <w:kern w:val="0"/>
                <w:sz w:val="22"/>
              </w:rPr>
              <w:t xml:space="preserve">  对村民委员会和村党支部的补助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rPr>
                <w:rFonts w:ascii="宋体" w:hAnsi="宋体" w:eastAsia="宋体" w:cs="Arial"/>
                <w:color w:val="000000"/>
                <w:kern w:val="0"/>
                <w:sz w:val="22"/>
              </w:rPr>
            </w:pPr>
            <w:r>
              <w:rPr>
                <w:rFonts w:hint="eastAsia" w:ascii="宋体" w:hAnsi="宋体" w:eastAsia="宋体" w:cs="Arial"/>
                <w:color w:val="000000"/>
                <w:kern w:val="0"/>
                <w:sz w:val="22"/>
              </w:rPr>
              <w:t>2,639.30</w:t>
            </w:r>
          </w:p>
        </w:tc>
      </w:tr>
    </w:tbl>
    <w:p>
      <w:r>
        <w:rPr>
          <w:rFonts w:hint="eastAsia" w:ascii="宋体" w:hAnsi="宋体" w:eastAsia="宋体" w:cs="宋体"/>
          <w:color w:val="000000"/>
          <w:kern w:val="0"/>
          <w:sz w:val="22"/>
        </w:rPr>
        <w:t>注：本表反映部门本年度一般公共预算财政拨款支出情况。</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10000" w:type="dxa"/>
            <w:gridSpan w:val="9"/>
            <w:tcBorders>
              <w:top w:val="nil"/>
              <w:left w:val="nil"/>
              <w:bottom w:val="nil"/>
              <w:right w:val="nil"/>
            </w:tcBorders>
            <w:shd w:val="clear" w:color="auto" w:fill="auto"/>
            <w:noWrap/>
            <w:tcMar>
              <w:top w:w="15" w:type="dxa"/>
              <w:left w:w="15" w:type="dxa"/>
              <w:right w:w="15" w:type="dxa"/>
            </w:tcMar>
            <w:vAlign w:val="bottom"/>
          </w:tcPr>
          <w:p>
            <w:pPr>
              <w:widowControl/>
              <w:ind w:right="400"/>
              <w:jc w:val="center"/>
              <w:textAlignment w:val="bottom"/>
              <w:rPr>
                <w:rFonts w:ascii="宋体" w:hAnsi="宋体" w:eastAsia="宋体" w:cs="宋体"/>
                <w:color w:val="000000"/>
                <w:sz w:val="18"/>
                <w:szCs w:val="18"/>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632.48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rPr>
              <w:t>66.5</w:t>
            </w:r>
            <w:r>
              <w:rPr>
                <w:rFonts w:hint="eastAsia" w:ascii="宋体" w:hAnsi="宋体" w:eastAsia="宋体" w:cs="宋体"/>
                <w:color w:val="000000"/>
                <w:sz w:val="20"/>
                <w:szCs w:val="20"/>
                <w:lang w:val="en-US" w:eastAsia="zh-CN"/>
              </w:rPr>
              <w:t>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168.95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7.38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137.85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12.47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25.79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55.72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34.08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5.68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17.04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38.92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140.21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rPr>
              <w:t>1.1</w:t>
            </w: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0.92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21.54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633.58</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66.50</w:t>
            </w:r>
          </w:p>
        </w:tc>
      </w:tr>
    </w:tbl>
    <w:p>
      <w:r>
        <w:rPr>
          <w:rFonts w:hint="eastAsia" w:ascii="宋体" w:hAnsi="宋体" w:eastAsia="宋体" w:cs="宋体"/>
          <w:color w:val="000000"/>
          <w:kern w:val="0"/>
          <w:sz w:val="22"/>
        </w:rPr>
        <w:t>注：本表反映部门本年度一般公共预算财政拨款基本支出明细情况。</w:t>
      </w:r>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rPr>
              <w:t>2.2</w:t>
            </w:r>
            <w:r>
              <w:rPr>
                <w:rFonts w:hint="eastAsia" w:ascii="宋体" w:hAnsi="宋体" w:eastAsia="宋体" w:cs="宋体"/>
                <w:color w:val="000000"/>
                <w:sz w:val="22"/>
                <w:lang w:val="en-US" w:eastAsia="zh-CN"/>
              </w:rPr>
              <w:t>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rPr>
              <w:t>2.2</w:t>
            </w: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rPr>
              <w:t>2.2</w:t>
            </w:r>
            <w:r>
              <w:rPr>
                <w:rFonts w:hint="eastAsia" w:ascii="宋体" w:hAnsi="宋体" w:eastAsia="宋体" w:cs="宋体"/>
                <w:color w:val="000000"/>
                <w:sz w:val="22"/>
                <w:lang w:val="en-US" w:eastAsia="zh-CN"/>
              </w:rPr>
              <w:t>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0.81</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0.81</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0.81</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部门：中国共产党石家庄市藁城区委员会组织部                                     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tabs>
          <w:tab w:val="left" w:pos="886"/>
        </w:tabs>
        <w:jc w:val="left"/>
        <w:rPr>
          <w:rFonts w:hint="eastAsia" w:ascii="宋体" w:hAnsi="宋体" w:eastAsia="宋体" w:cs="宋体"/>
        </w:rPr>
      </w:pPr>
      <w:r>
        <w:rPr>
          <w:rFonts w:hint="eastAsia" w:ascii="宋体" w:hAnsi="宋体" w:eastAsia="宋体" w:cs="宋体"/>
        </w:rPr>
        <w:t>注：本表反映部门本年度政府性基金预算财政拨款收入、支出及结转和结余情况。本部门本年度无收支及结转结余情况，按要求以空表列示。</w:t>
      </w: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p>
      <w:pPr>
        <w:tabs>
          <w:tab w:val="left" w:pos="886"/>
        </w:tabs>
        <w:jc w:val="left"/>
        <w:rPr>
          <w:rFonts w:hint="eastAsia" w:ascii="宋体" w:hAnsi="宋体" w:eastAsia="宋体" w:cs="宋体"/>
        </w:rPr>
      </w:pP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rPr>
              <w:t xml:space="preserve">中国共产党石家庄市藁城区委员会组织部 </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tabs>
          <w:tab w:val="left" w:pos="886"/>
        </w:tabs>
        <w:jc w:val="left"/>
        <w:rPr>
          <w:rFonts w:hint="eastAsia" w:ascii="宋体" w:hAnsi="宋体" w:eastAsia="宋体" w:cs="宋体"/>
        </w:rPr>
      </w:pPr>
      <w:r>
        <w:rPr>
          <w:rFonts w:hint="eastAsia" w:ascii="宋体" w:hAnsi="宋体" w:eastAsia="宋体" w:cs="宋体"/>
        </w:rPr>
        <w:t>注：本表反映部门本年度国有资本经营预算财政拨款支出情况。本部门本年度无相关支出情况，按要求以空表列示。</w:t>
      </w:r>
      <w:r>
        <w:rPr>
          <w:rFonts w:hint="eastAsia" w:ascii="宋体" w:hAnsi="宋体" w:eastAsia="宋体" w:cs="宋体"/>
        </w:rP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2" w:type="first"/>
      <w:headerReference r:id="rId21" w:type="default"/>
      <w:footerReference r:id="rId2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6D96B4A8"/>
    <w:multiLevelType w:val="singleLevel"/>
    <w:tmpl w:val="6D96B4A8"/>
    <w:lvl w:ilvl="0" w:tentative="0">
      <w:start w:val="3"/>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yZGY2MTg4YWI4OTBlMDc4MTk2YThjZjMxZDFkMWU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D530B7"/>
    <w:rsid w:val="05B00A30"/>
    <w:rsid w:val="0B011416"/>
    <w:rsid w:val="1F70076C"/>
    <w:rsid w:val="31C2036A"/>
    <w:rsid w:val="320D02A5"/>
    <w:rsid w:val="32EB6AEC"/>
    <w:rsid w:val="348E566F"/>
    <w:rsid w:val="3A226944"/>
    <w:rsid w:val="3AEE6A48"/>
    <w:rsid w:val="3C1620AA"/>
    <w:rsid w:val="3D8F080F"/>
    <w:rsid w:val="42D93B8B"/>
    <w:rsid w:val="44CE1FA4"/>
    <w:rsid w:val="487F73ED"/>
    <w:rsid w:val="4A347EAE"/>
    <w:rsid w:val="52600405"/>
    <w:rsid w:val="529B4319"/>
    <w:rsid w:val="57773DD6"/>
    <w:rsid w:val="578B79AB"/>
    <w:rsid w:val="599E2684"/>
    <w:rsid w:val="5CCD3FD5"/>
    <w:rsid w:val="61FA5F9D"/>
    <w:rsid w:val="64672B6B"/>
    <w:rsid w:val="64CD6910"/>
    <w:rsid w:val="6789158D"/>
    <w:rsid w:val="67D81BA4"/>
    <w:rsid w:val="6AAF1C96"/>
    <w:rsid w:val="75681757"/>
    <w:rsid w:val="75A346A8"/>
    <w:rsid w:val="77EA3660"/>
    <w:rsid w:val="79B9382C"/>
    <w:rsid w:val="79FB668E"/>
    <w:rsid w:val="7B043B76"/>
    <w:rsid w:val="7C041A6A"/>
    <w:rsid w:val="7E327570"/>
    <w:rsid w:val="7E4516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3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bmp"/><Relationship Id="rId24" Type="http://schemas.openxmlformats.org/officeDocument/2006/relationships/theme" Target="theme/theme1.xml"/><Relationship Id="rId23" Type="http://schemas.openxmlformats.org/officeDocument/2006/relationships/footer" Target="footer8.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0.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34</Pages>
  <Words>9610</Words>
  <Characters>11746</Characters>
  <Lines>78</Lines>
  <Paragraphs>22</Paragraphs>
  <TotalTime>13</TotalTime>
  <ScaleCrop>false</ScaleCrop>
  <LinksUpToDate>false</LinksUpToDate>
  <CharactersWithSpaces>12441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WPS_1601504811</cp:lastModifiedBy>
  <cp:lastPrinted>2020-07-30T02:37:00Z</cp:lastPrinted>
  <dcterms:modified xsi:type="dcterms:W3CDTF">2023-06-05T00:05:14Z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4FC84D74C8374D87B691C313D6FF6A51</vt:lpwstr>
  </property>
</Properties>
</file>