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1"/>
        <w:ind w:left="360" w:firstLine="0" w:firstLineChars="0"/>
        <w:jc w:val="center"/>
        <w:rPr>
          <w:rFonts w:hint="eastAsia"/>
          <w:b/>
          <w:sz w:val="72"/>
          <w:szCs w:val="72"/>
        </w:rPr>
      </w:pPr>
    </w:p>
    <w:p>
      <w:pPr>
        <w:pStyle w:val="21"/>
        <w:ind w:left="360" w:firstLine="0" w:firstLineChars="0"/>
        <w:jc w:val="center"/>
        <w:rPr>
          <w:rFonts w:hint="eastAsia"/>
          <w:b/>
          <w:sz w:val="72"/>
          <w:szCs w:val="72"/>
        </w:rPr>
      </w:pPr>
    </w:p>
    <w:p>
      <w:pPr>
        <w:pStyle w:val="21"/>
        <w:ind w:left="360" w:firstLine="0" w:firstLineChars="0"/>
        <w:jc w:val="center"/>
        <w:rPr>
          <w:rFonts w:hint="eastAsia"/>
          <w:b/>
          <w:sz w:val="72"/>
          <w:szCs w:val="72"/>
        </w:rPr>
      </w:pPr>
    </w:p>
    <w:p>
      <w:pPr>
        <w:pStyle w:val="21"/>
        <w:ind w:left="360" w:firstLine="0" w:firstLineChars="0"/>
        <w:jc w:val="center"/>
        <w:rPr>
          <w:rFonts w:hint="eastAsia"/>
          <w:b/>
          <w:sz w:val="72"/>
          <w:szCs w:val="72"/>
        </w:rPr>
      </w:pPr>
    </w:p>
    <w:p>
      <w:pPr>
        <w:pStyle w:val="21"/>
        <w:ind w:left="360" w:firstLine="0" w:firstLineChars="0"/>
        <w:jc w:val="center"/>
        <w:rPr>
          <w:rFonts w:hint="eastAsia"/>
          <w:b/>
          <w:sz w:val="72"/>
          <w:szCs w:val="72"/>
        </w:rPr>
      </w:pPr>
    </w:p>
    <w:p>
      <w:pPr>
        <w:pStyle w:val="21"/>
        <w:ind w:left="360" w:firstLine="0" w:firstLineChars="0"/>
        <w:jc w:val="center"/>
        <w:rPr>
          <w:rFonts w:hint="eastAsia"/>
          <w:b/>
          <w:sz w:val="72"/>
          <w:szCs w:val="72"/>
        </w:rPr>
      </w:pPr>
      <w:r>
        <w:rPr>
          <w:rFonts w:hint="eastAsia"/>
          <w:b/>
          <w:sz w:val="72"/>
          <w:szCs w:val="72"/>
        </w:rPr>
        <w:t>2017年度部门决算公开</w:t>
      </w:r>
    </w:p>
    <w:p>
      <w:pPr>
        <w:pStyle w:val="21"/>
        <w:ind w:left="360" w:firstLine="0" w:firstLineChars="0"/>
        <w:rPr>
          <w:rFonts w:hint="eastAsia"/>
          <w:b/>
          <w:sz w:val="72"/>
          <w:szCs w:val="72"/>
        </w:rPr>
      </w:pPr>
    </w:p>
    <w:p>
      <w:pPr>
        <w:pStyle w:val="2"/>
        <w:jc w:val="center"/>
        <w:rPr>
          <w:rFonts w:hint="eastAsia"/>
          <w:lang w:eastAsia="zh-CN"/>
        </w:rPr>
      </w:pPr>
    </w:p>
    <w:p>
      <w:pPr>
        <w:pStyle w:val="21"/>
        <w:ind w:firstLine="2650" w:firstLineChars="600"/>
        <w:jc w:val="both"/>
        <w:rPr>
          <w:rFonts w:hint="eastAsia" w:eastAsiaTheme="minorEastAsia"/>
          <w:b/>
          <w:sz w:val="44"/>
          <w:szCs w:val="44"/>
          <w:lang w:eastAsia="zh-CN"/>
        </w:rPr>
      </w:pPr>
      <w:r>
        <w:rPr>
          <w:rFonts w:hint="eastAsia"/>
          <w:b/>
          <w:sz w:val="44"/>
          <w:szCs w:val="44"/>
        </w:rPr>
        <w:t>藁城区</w:t>
      </w:r>
      <w:r>
        <w:rPr>
          <w:rFonts w:hint="eastAsia"/>
          <w:b/>
          <w:sz w:val="44"/>
          <w:szCs w:val="44"/>
          <w:lang w:eastAsia="zh-CN"/>
        </w:rPr>
        <w:t>质量技术监督检验所</w:t>
      </w:r>
    </w:p>
    <w:p>
      <w:pPr>
        <w:pStyle w:val="21"/>
        <w:jc w:val="center"/>
        <w:rPr>
          <w:rFonts w:hint="eastAsia"/>
          <w:sz w:val="28"/>
          <w:szCs w:val="28"/>
          <w:lang w:eastAsia="zh-CN"/>
        </w:rPr>
      </w:pPr>
      <w:r>
        <w:rPr>
          <w:rFonts w:hint="eastAsia"/>
          <w:b/>
          <w:sz w:val="44"/>
          <w:szCs w:val="44"/>
          <w:lang w:val="en-US" w:eastAsia="zh-CN"/>
        </w:rPr>
        <w:t xml:space="preserve">     </w:t>
      </w:r>
      <w:r>
        <w:rPr>
          <w:rFonts w:hint="eastAsia"/>
          <w:b/>
          <w:sz w:val="44"/>
          <w:szCs w:val="44"/>
        </w:rPr>
        <w:t>2018年10月</w:t>
      </w:r>
      <w:r>
        <w:rPr>
          <w:rFonts w:hint="eastAsia"/>
          <w:b/>
          <w:sz w:val="44"/>
          <w:szCs w:val="44"/>
          <w:lang w:val="en-US" w:eastAsia="zh-CN"/>
        </w:rPr>
        <w:t>12</w:t>
      </w:r>
      <w:r>
        <w:rPr>
          <w:rFonts w:hint="eastAsia"/>
          <w:b/>
          <w:sz w:val="44"/>
          <w:szCs w:val="44"/>
        </w:rPr>
        <w:t>日</w:t>
      </w:r>
    </w:p>
    <w:p>
      <w:pPr>
        <w:pStyle w:val="2"/>
        <w:ind w:firstLine="2208" w:firstLineChars="500"/>
        <w:jc w:val="both"/>
        <w:rPr>
          <w:rFonts w:hint="eastAsia"/>
          <w:lang w:eastAsia="zh-CN"/>
        </w:rPr>
      </w:pPr>
    </w:p>
    <w:p>
      <w:pPr>
        <w:pStyle w:val="2"/>
        <w:ind w:firstLine="2208" w:firstLineChars="500"/>
        <w:jc w:val="both"/>
        <w:rPr>
          <w:rFonts w:hint="eastAsia"/>
          <w:lang w:eastAsia="zh-CN"/>
        </w:rPr>
      </w:pPr>
    </w:p>
    <w:p>
      <w:pPr>
        <w:pStyle w:val="2"/>
        <w:ind w:firstLine="2208" w:firstLineChars="500"/>
        <w:jc w:val="both"/>
        <w:rPr>
          <w:rFonts w:hint="eastAsia"/>
          <w:lang w:eastAsia="zh-CN"/>
        </w:rPr>
      </w:pPr>
    </w:p>
    <w:p>
      <w:pPr>
        <w:pStyle w:val="2"/>
        <w:ind w:firstLine="2650" w:firstLineChars="600"/>
        <w:jc w:val="both"/>
        <w:rPr>
          <w:rFonts w:hint="eastAsia"/>
          <w:lang w:eastAsia="zh-CN"/>
        </w:rPr>
      </w:pPr>
    </w:p>
    <w:p>
      <w:pPr>
        <w:pStyle w:val="2"/>
        <w:ind w:firstLine="2650" w:firstLineChars="600"/>
        <w:jc w:val="both"/>
      </w:pPr>
      <w:r>
        <w:rPr>
          <w:rFonts w:hint="eastAsia"/>
          <w:lang w:eastAsia="zh-CN"/>
        </w:rPr>
        <w:t>部门</w:t>
      </w:r>
      <w:r>
        <w:rPr>
          <w:rFonts w:hint="eastAsia"/>
        </w:rPr>
        <w:t>决算公开目录</w:t>
      </w:r>
    </w:p>
    <w:p>
      <w:pPr>
        <w:rPr>
          <w:rFonts w:asciiTheme="minorEastAsia" w:hAnsiTheme="minorEastAsia"/>
          <w:b/>
          <w:sz w:val="36"/>
          <w:szCs w:val="36"/>
        </w:rPr>
      </w:pPr>
      <w:r>
        <w:rPr>
          <w:rFonts w:hint="eastAsia" w:asciiTheme="minorEastAsia" w:hAnsiTheme="minorEastAsia"/>
          <w:b/>
          <w:sz w:val="36"/>
          <w:szCs w:val="36"/>
        </w:rPr>
        <w:t>第一部分 部门概况</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pPr>
        <w:rPr>
          <w:rFonts w:asciiTheme="minorEastAsia" w:hAnsiTheme="minorEastAsia"/>
          <w:b/>
          <w:sz w:val="36"/>
          <w:szCs w:val="36"/>
        </w:rPr>
      </w:pPr>
      <w:r>
        <w:rPr>
          <w:rFonts w:hint="eastAsia" w:asciiTheme="minorEastAsia" w:hAnsiTheme="minorEastAsia"/>
          <w:b/>
          <w:sz w:val="36"/>
          <w:szCs w:val="36"/>
        </w:rPr>
        <w:t>第二部分 2017年度部门决算报表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pPr>
        <w:spacing w:line="360" w:lineRule="auto"/>
        <w:ind w:firstLine="1500" w:firstLineChars="500"/>
        <w:rPr>
          <w:sz w:val="30"/>
          <w:szCs w:val="30"/>
        </w:rPr>
      </w:pPr>
      <w:r>
        <w:rPr>
          <w:rFonts w:hint="eastAsia"/>
          <w:sz w:val="30"/>
          <w:szCs w:val="30"/>
        </w:rPr>
        <w:t>1、 机关运行经费情况</w:t>
      </w:r>
    </w:p>
    <w:p>
      <w:pPr>
        <w:spacing w:line="360" w:lineRule="auto"/>
        <w:ind w:firstLine="1500" w:firstLineChars="500"/>
        <w:rPr>
          <w:sz w:val="30"/>
          <w:szCs w:val="30"/>
        </w:rPr>
      </w:pPr>
      <w:r>
        <w:rPr>
          <w:rFonts w:hint="eastAsia"/>
          <w:sz w:val="30"/>
          <w:szCs w:val="30"/>
        </w:rPr>
        <w:t>2、 政府采购情况</w:t>
      </w:r>
    </w:p>
    <w:p>
      <w:pPr>
        <w:spacing w:line="360" w:lineRule="auto"/>
        <w:ind w:firstLine="1500" w:firstLineChars="500"/>
        <w:rPr>
          <w:sz w:val="30"/>
          <w:szCs w:val="30"/>
        </w:rPr>
      </w:pPr>
      <w:r>
        <w:rPr>
          <w:rFonts w:hint="eastAsia"/>
          <w:sz w:val="30"/>
          <w:szCs w:val="30"/>
        </w:rPr>
        <w:t>3、国有资产占用情况</w:t>
      </w:r>
    </w:p>
    <w:p>
      <w:pPr>
        <w:rPr>
          <w:rFonts w:asciiTheme="minorEastAsia" w:hAnsiTheme="minorEastAsia"/>
          <w:b/>
          <w:sz w:val="36"/>
          <w:szCs w:val="36"/>
        </w:rPr>
      </w:pPr>
      <w:r>
        <w:rPr>
          <w:rFonts w:hint="eastAsia" w:asciiTheme="minorEastAsia" w:hAnsiTheme="minorEastAsia"/>
          <w:b/>
          <w:sz w:val="36"/>
          <w:szCs w:val="36"/>
        </w:rPr>
        <w:t>第四部分 名词解释</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pPr>
        <w:spacing w:beforeLines="100" w:afterLines="100" w:line="360" w:lineRule="auto"/>
        <w:jc w:val="center"/>
        <w:rPr>
          <w:rFonts w:hint="eastAsia" w:ascii="宋体" w:hAnsi="宋体" w:eastAsia="宋体"/>
          <w:b/>
          <w:sz w:val="44"/>
          <w:szCs w:val="44"/>
          <w:lang w:eastAsia="zh-CN"/>
        </w:rPr>
      </w:pPr>
      <w:r>
        <w:rPr>
          <w:rFonts w:hint="eastAsia" w:ascii="宋体" w:hAnsi="宋体" w:eastAsia="宋体"/>
          <w:b/>
          <w:sz w:val="44"/>
          <w:szCs w:val="44"/>
          <w:lang w:eastAsia="zh-CN"/>
        </w:rPr>
        <w:t>石家庄市藁城区质量技术监督检验所</w:t>
      </w:r>
    </w:p>
    <w:p>
      <w:pPr>
        <w:spacing w:beforeLines="100" w:afterLines="100" w:line="360" w:lineRule="auto"/>
        <w:jc w:val="center"/>
        <w:rPr>
          <w:rFonts w:hint="eastAsia" w:ascii="宋体" w:hAnsi="宋体" w:eastAsia="宋体"/>
          <w:b/>
          <w:sz w:val="44"/>
          <w:szCs w:val="44"/>
          <w:lang w:val="en-US" w:eastAsia="zh-CN"/>
        </w:rPr>
      </w:pPr>
      <w:r>
        <w:rPr>
          <w:rFonts w:hint="eastAsia" w:ascii="宋体" w:hAnsi="宋体" w:eastAsia="宋体"/>
          <w:b/>
          <w:sz w:val="44"/>
          <w:szCs w:val="44"/>
          <w:lang w:val="en-US" w:eastAsia="zh-CN"/>
        </w:rPr>
        <w:t>2017年部门决算公开信息</w:t>
      </w:r>
    </w:p>
    <w:p>
      <w:pPr>
        <w:spacing w:beforeLines="100" w:afterLines="100" w:line="360" w:lineRule="auto"/>
        <w:ind w:firstLine="2208" w:firstLineChars="500"/>
        <w:jc w:val="both"/>
        <w:rPr>
          <w:rFonts w:ascii="宋体" w:hAnsi="宋体" w:eastAsia="宋体"/>
          <w:b/>
          <w:sz w:val="44"/>
          <w:szCs w:val="44"/>
        </w:rPr>
      </w:pPr>
      <w:r>
        <w:rPr>
          <w:rFonts w:hint="eastAsia" w:ascii="宋体" w:hAnsi="宋体" w:eastAsia="宋体"/>
          <w:b/>
          <w:sz w:val="44"/>
          <w:szCs w:val="44"/>
        </w:rPr>
        <w:t>第一部分 部门概况</w:t>
      </w:r>
    </w:p>
    <w:p>
      <w:pPr>
        <w:rPr>
          <w:b/>
          <w:sz w:val="36"/>
          <w:szCs w:val="36"/>
        </w:rPr>
      </w:pPr>
      <w:r>
        <w:rPr>
          <w:rFonts w:hint="eastAsia"/>
          <w:b/>
          <w:sz w:val="36"/>
          <w:szCs w:val="36"/>
        </w:rPr>
        <w:t>一、 部门职责</w:t>
      </w:r>
    </w:p>
    <w:p>
      <w:pPr>
        <w:ind w:firstLine="0" w:firstLineChars="0"/>
        <w:jc w:val="center"/>
        <w:rPr>
          <w:rFonts w:hint="eastAsia" w:ascii="仿宋_GB2312" w:hAnsi="仿宋_GB2312" w:eastAsia="仿宋_GB2312" w:cs="仿宋_GB2312"/>
          <w:b/>
          <w:bCs w:val="0"/>
          <w:sz w:val="32"/>
          <w:szCs w:val="32"/>
        </w:rPr>
      </w:pPr>
      <w:r>
        <w:rPr>
          <w:rFonts w:hint="eastAsia" w:ascii="仿宋_GB2312" w:hAnsi="宋体"/>
          <w:b/>
          <w:szCs w:val="32"/>
        </w:rPr>
        <w:t>一、</w:t>
      </w:r>
      <w:r>
        <w:rPr>
          <w:rFonts w:hint="eastAsia" w:ascii="仿宋_GB2312" w:hAnsi="仿宋_GB2312" w:eastAsia="仿宋_GB2312" w:cs="仿宋_GB2312"/>
          <w:b/>
          <w:bCs w:val="0"/>
          <w:sz w:val="32"/>
          <w:szCs w:val="32"/>
        </w:rPr>
        <w:t>石家庄市藁城区</w:t>
      </w:r>
      <w:r>
        <w:rPr>
          <w:rFonts w:hint="eastAsia" w:ascii="仿宋_GB2312" w:hAnsi="仿宋_GB2312" w:eastAsia="仿宋_GB2312" w:cs="仿宋_GB2312"/>
          <w:b/>
          <w:bCs w:val="0"/>
          <w:sz w:val="32"/>
          <w:szCs w:val="32"/>
          <w:lang w:eastAsia="zh-CN"/>
        </w:rPr>
        <w:t>质量技术监督检验所</w:t>
      </w:r>
      <w:r>
        <w:rPr>
          <w:rFonts w:hint="eastAsia" w:ascii="仿宋_GB2312" w:hAnsi="仿宋_GB2312" w:eastAsia="仿宋_GB2312" w:cs="仿宋_GB2312"/>
          <w:b/>
          <w:bCs w:val="0"/>
          <w:sz w:val="32"/>
          <w:szCs w:val="32"/>
        </w:rPr>
        <w:t>主要职责</w:t>
      </w:r>
    </w:p>
    <w:p>
      <w:pPr>
        <w:numPr>
          <w:ilvl w:val="0"/>
          <w:numId w:val="0"/>
        </w:numPr>
        <w:rPr>
          <w:rFonts w:hint="eastAsia" w:ascii="仿宋_GB2312" w:hAnsi="仿宋_GB2312" w:eastAsia="仿宋_GB2312" w:cs="仿宋_GB2312"/>
          <w:b w:val="0"/>
          <w:bCs w:val="0"/>
          <w:color w:val="000000"/>
          <w:sz w:val="32"/>
          <w:szCs w:val="32"/>
        </w:rPr>
      </w:pPr>
      <w:r>
        <w:rPr>
          <w:rFonts w:hint="eastAsia" w:ascii="仿宋_GB2312" w:hAnsi="仿宋_GB2312" w:cs="仿宋_GB2312"/>
          <w:b w:val="0"/>
          <w:bCs w:val="0"/>
          <w:color w:val="000000"/>
          <w:sz w:val="32"/>
          <w:szCs w:val="32"/>
          <w:lang w:val="en-US" w:eastAsia="zh-CN"/>
        </w:rPr>
        <w:t xml:space="preserve">   </w:t>
      </w:r>
      <w:r>
        <w:rPr>
          <w:rFonts w:hint="eastAsia" w:ascii="仿宋_GB2312" w:hAnsi="仿宋_GB2312" w:eastAsia="仿宋_GB2312" w:cs="仿宋_GB2312"/>
          <w:b w:val="0"/>
          <w:bCs w:val="0"/>
          <w:color w:val="000000"/>
          <w:sz w:val="32"/>
          <w:szCs w:val="32"/>
          <w:lang w:eastAsia="zh-CN"/>
        </w:rPr>
        <w:t>负责建立本行政区域内计量工作标准和社会公用计量标准，进行量值传递和溯源；负责本行政区域内计量器具的检定与校准工作；为计量管理和行政执法提供技术保障；开展计量科学、检测技术的研究；开展计量器具的校准、测试、咨询服务工作。承担本行政区域内产品质量监督检验、强制性检验、监督抽查检验工作；承担产品标准、检验细则、检验方法的制定、修订技术工作；开展检验技术、检验方法的研究；开展质量仲裁鉴定检验、产品质量委托检验等工作；开展产品质量检验检测技术咨询服务工作。</w:t>
      </w:r>
    </w:p>
    <w:p>
      <w:pPr>
        <w:adjustRightInd w:val="0"/>
        <w:snapToGrid w:val="0"/>
        <w:spacing w:line="560" w:lineRule="exact"/>
        <w:ind w:firstLine="643"/>
        <w:jc w:val="left"/>
        <w:rPr>
          <w:rFonts w:hint="eastAsia" w:ascii="仿宋_GB2312" w:hAnsi="宋体"/>
          <w:b/>
          <w:szCs w:val="32"/>
        </w:rPr>
      </w:pPr>
    </w:p>
    <w:p>
      <w:pPr>
        <w:rPr>
          <w:b/>
          <w:sz w:val="36"/>
          <w:szCs w:val="36"/>
        </w:rPr>
      </w:pPr>
      <w:r>
        <w:rPr>
          <w:rFonts w:hint="eastAsia"/>
          <w:b/>
          <w:sz w:val="36"/>
          <w:szCs w:val="36"/>
        </w:rPr>
        <w:t>二、部门决算单位构成</w:t>
      </w:r>
    </w:p>
    <w:tbl>
      <w:tblPr>
        <w:tblStyle w:val="10"/>
        <w:tblW w:w="105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4309"/>
        <w:gridCol w:w="1077"/>
        <w:gridCol w:w="1077"/>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1361" w:type="dxa"/>
            <w:vAlign w:val="center"/>
          </w:tcPr>
          <w:p>
            <w:pPr>
              <w:spacing w:line="240" w:lineRule="auto"/>
              <w:ind w:firstLine="361" w:firstLineChars="0"/>
              <w:jc w:val="center"/>
              <w:rPr>
                <w:rFonts w:ascii="黑体" w:hAnsi="黑体" w:eastAsia="黑体"/>
                <w:b/>
                <w:sz w:val="21"/>
                <w:szCs w:val="21"/>
              </w:rPr>
            </w:pPr>
            <w:r>
              <w:rPr>
                <w:rFonts w:hint="eastAsia" w:ascii="黑体" w:hAnsi="黑体" w:eastAsia="黑体"/>
                <w:b/>
                <w:sz w:val="21"/>
                <w:szCs w:val="21"/>
              </w:rPr>
              <w:t>单位编码</w:t>
            </w:r>
          </w:p>
        </w:tc>
        <w:tc>
          <w:tcPr>
            <w:tcW w:w="4309" w:type="dxa"/>
            <w:vAlign w:val="center"/>
          </w:tcPr>
          <w:p>
            <w:pPr>
              <w:spacing w:line="240" w:lineRule="auto"/>
              <w:ind w:firstLine="361" w:firstLineChars="0"/>
              <w:jc w:val="center"/>
              <w:rPr>
                <w:rFonts w:ascii="黑体" w:hAnsi="黑体" w:eastAsia="黑体"/>
                <w:b/>
                <w:sz w:val="21"/>
                <w:szCs w:val="21"/>
              </w:rPr>
            </w:pPr>
            <w:r>
              <w:rPr>
                <w:rFonts w:hint="eastAsia" w:ascii="黑体" w:hAnsi="黑体" w:eastAsia="黑体"/>
                <w:b/>
                <w:sz w:val="21"/>
                <w:szCs w:val="21"/>
              </w:rPr>
              <w:t>单位名称</w:t>
            </w:r>
          </w:p>
        </w:tc>
        <w:tc>
          <w:tcPr>
            <w:tcW w:w="1077" w:type="dxa"/>
            <w:vAlign w:val="top"/>
          </w:tcPr>
          <w:p>
            <w:pPr>
              <w:spacing w:line="240" w:lineRule="auto"/>
              <w:ind w:firstLine="105" w:firstLineChars="50"/>
              <w:rPr>
                <w:rFonts w:hint="eastAsia" w:ascii="黑体" w:hAnsi="黑体" w:eastAsia="黑体"/>
                <w:b/>
                <w:sz w:val="21"/>
                <w:szCs w:val="21"/>
              </w:rPr>
            </w:pPr>
          </w:p>
          <w:p>
            <w:pPr>
              <w:spacing w:line="240" w:lineRule="auto"/>
              <w:ind w:firstLine="105" w:firstLineChars="50"/>
              <w:rPr>
                <w:rFonts w:hint="eastAsia" w:ascii="黑体" w:hAnsi="黑体" w:eastAsia="黑体"/>
                <w:b/>
                <w:sz w:val="21"/>
                <w:szCs w:val="21"/>
              </w:rPr>
            </w:pPr>
            <w:r>
              <w:rPr>
                <w:rFonts w:hint="eastAsia" w:ascii="黑体" w:hAnsi="黑体" w:eastAsia="黑体"/>
                <w:b/>
                <w:sz w:val="21"/>
                <w:szCs w:val="21"/>
              </w:rPr>
              <w:t>单位规格</w:t>
            </w:r>
          </w:p>
        </w:tc>
        <w:tc>
          <w:tcPr>
            <w:tcW w:w="1077" w:type="dxa"/>
            <w:vAlign w:val="center"/>
          </w:tcPr>
          <w:p>
            <w:pPr>
              <w:spacing w:line="240" w:lineRule="auto"/>
              <w:ind w:firstLine="0" w:firstLineChars="0"/>
              <w:rPr>
                <w:rFonts w:ascii="黑体" w:hAnsi="黑体" w:eastAsia="黑体"/>
                <w:b/>
                <w:sz w:val="21"/>
                <w:szCs w:val="21"/>
              </w:rPr>
            </w:pPr>
            <w:r>
              <w:rPr>
                <w:rFonts w:hint="eastAsia" w:ascii="黑体" w:hAnsi="黑体" w:eastAsia="黑体"/>
                <w:b/>
                <w:sz w:val="21"/>
                <w:szCs w:val="21"/>
              </w:rPr>
              <w:t>单位性质</w:t>
            </w:r>
          </w:p>
        </w:tc>
        <w:tc>
          <w:tcPr>
            <w:tcW w:w="2721" w:type="dxa"/>
            <w:vAlign w:val="center"/>
          </w:tcPr>
          <w:p>
            <w:pPr>
              <w:spacing w:line="240" w:lineRule="auto"/>
              <w:ind w:firstLine="361" w:firstLineChars="0"/>
              <w:jc w:val="center"/>
              <w:rPr>
                <w:rFonts w:ascii="黑体" w:hAnsi="黑体" w:eastAsia="黑体"/>
                <w:b/>
                <w:sz w:val="21"/>
                <w:szCs w:val="21"/>
              </w:rPr>
            </w:pPr>
            <w:r>
              <w:rPr>
                <w:rFonts w:hint="eastAsia" w:ascii="黑体" w:hAnsi="黑体" w:eastAsia="黑体"/>
                <w:b/>
                <w:sz w:val="21"/>
                <w:szCs w:val="21"/>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361" w:type="dxa"/>
            <w:vAlign w:val="top"/>
          </w:tcPr>
          <w:p>
            <w:pPr>
              <w:spacing w:line="240" w:lineRule="auto"/>
              <w:ind w:firstLine="0" w:firstLineChars="0"/>
              <w:jc w:val="left"/>
              <w:rPr>
                <w:rFonts w:hint="eastAsia" w:ascii="仿宋" w:hAnsi="仿宋" w:eastAsia="仿宋"/>
                <w:sz w:val="21"/>
                <w:szCs w:val="21"/>
                <w:lang w:val="en-US" w:eastAsia="zh-CN"/>
              </w:rPr>
            </w:pPr>
            <w:r>
              <w:rPr>
                <w:rFonts w:hint="eastAsia" w:ascii="仿宋" w:hAnsi="仿宋" w:eastAsia="仿宋"/>
                <w:sz w:val="21"/>
                <w:szCs w:val="21"/>
                <w:lang w:val="en-US" w:eastAsia="zh-CN"/>
              </w:rPr>
              <w:t>422003</w:t>
            </w:r>
          </w:p>
        </w:tc>
        <w:tc>
          <w:tcPr>
            <w:tcW w:w="4309" w:type="dxa"/>
            <w:vAlign w:val="top"/>
          </w:tcPr>
          <w:p>
            <w:pPr>
              <w:spacing w:line="240" w:lineRule="auto"/>
              <w:ind w:left="0" w:leftChars="0" w:firstLine="0" w:firstLineChars="0"/>
              <w:jc w:val="left"/>
              <w:rPr>
                <w:rFonts w:hint="eastAsia" w:ascii="仿宋" w:hAnsi="仿宋" w:eastAsia="仿宋"/>
                <w:sz w:val="21"/>
                <w:szCs w:val="21"/>
              </w:rPr>
            </w:pPr>
            <w:r>
              <w:rPr>
                <w:rFonts w:hint="eastAsia" w:ascii="仿宋" w:hAnsi="仿宋" w:eastAsia="仿宋"/>
                <w:sz w:val="21"/>
                <w:szCs w:val="21"/>
              </w:rPr>
              <w:t>石家庄市藁城</w:t>
            </w:r>
            <w:r>
              <w:rPr>
                <w:rFonts w:hint="eastAsia" w:ascii="仿宋" w:hAnsi="仿宋" w:eastAsia="仿宋"/>
                <w:sz w:val="21"/>
                <w:szCs w:val="21"/>
                <w:lang w:eastAsia="zh-CN"/>
              </w:rPr>
              <w:t>区质量技术监督检验所</w:t>
            </w:r>
          </w:p>
        </w:tc>
        <w:tc>
          <w:tcPr>
            <w:tcW w:w="1077" w:type="dxa"/>
            <w:vAlign w:val="top"/>
          </w:tcPr>
          <w:p>
            <w:pPr>
              <w:spacing w:line="240" w:lineRule="auto"/>
              <w:ind w:firstLine="0" w:firstLineChars="0"/>
              <w:jc w:val="center"/>
              <w:rPr>
                <w:rFonts w:hint="eastAsia" w:ascii="仿宋" w:hAnsi="仿宋" w:eastAsia="仿宋"/>
                <w:sz w:val="21"/>
                <w:szCs w:val="21"/>
              </w:rPr>
            </w:pPr>
            <w:r>
              <w:rPr>
                <w:rFonts w:hint="eastAsia" w:ascii="仿宋" w:hAnsi="仿宋" w:eastAsia="仿宋"/>
                <w:sz w:val="21"/>
                <w:szCs w:val="21"/>
              </w:rPr>
              <w:t>正</w:t>
            </w:r>
            <w:r>
              <w:rPr>
                <w:rFonts w:hint="eastAsia" w:ascii="仿宋" w:hAnsi="仿宋" w:eastAsia="仿宋"/>
                <w:sz w:val="21"/>
                <w:szCs w:val="21"/>
                <w:lang w:eastAsia="zh-CN"/>
              </w:rPr>
              <w:t>股</w:t>
            </w:r>
            <w:r>
              <w:rPr>
                <w:rFonts w:hint="eastAsia" w:ascii="仿宋" w:hAnsi="仿宋" w:eastAsia="仿宋"/>
                <w:sz w:val="21"/>
                <w:szCs w:val="21"/>
              </w:rPr>
              <w:t>级</w:t>
            </w:r>
          </w:p>
        </w:tc>
        <w:tc>
          <w:tcPr>
            <w:tcW w:w="1077" w:type="dxa"/>
            <w:vAlign w:val="top"/>
          </w:tcPr>
          <w:p>
            <w:pPr>
              <w:spacing w:line="240" w:lineRule="auto"/>
              <w:ind w:firstLine="0" w:firstLineChars="0"/>
              <w:jc w:val="center"/>
              <w:rPr>
                <w:rFonts w:hint="eastAsia" w:ascii="仿宋" w:hAnsi="仿宋" w:eastAsia="仿宋"/>
                <w:sz w:val="21"/>
                <w:szCs w:val="21"/>
                <w:lang w:eastAsia="zh-CN"/>
              </w:rPr>
            </w:pPr>
            <w:r>
              <w:rPr>
                <w:rFonts w:hint="eastAsia" w:ascii="仿宋" w:hAnsi="仿宋" w:eastAsia="仿宋"/>
                <w:sz w:val="21"/>
                <w:szCs w:val="21"/>
                <w:lang w:eastAsia="zh-CN"/>
              </w:rPr>
              <w:t>全额事业</w:t>
            </w:r>
          </w:p>
        </w:tc>
        <w:tc>
          <w:tcPr>
            <w:tcW w:w="2721" w:type="dxa"/>
            <w:vAlign w:val="top"/>
          </w:tcPr>
          <w:p>
            <w:pPr>
              <w:spacing w:line="240" w:lineRule="auto"/>
              <w:ind w:firstLine="480" w:firstLineChars="0"/>
              <w:jc w:val="left"/>
              <w:rPr>
                <w:rFonts w:ascii="仿宋" w:hAnsi="仿宋" w:eastAsia="仿宋"/>
                <w:sz w:val="21"/>
                <w:szCs w:val="21"/>
              </w:rPr>
            </w:pPr>
            <w:r>
              <w:rPr>
                <w:rFonts w:hint="eastAsia" w:ascii="仿宋" w:hAnsi="仿宋" w:eastAsia="仿宋"/>
                <w:sz w:val="21"/>
                <w:szCs w:val="21"/>
              </w:rPr>
              <w:t>财政拨款</w:t>
            </w:r>
          </w:p>
        </w:tc>
      </w:tr>
    </w:tbl>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ind w:firstLine="441" w:firstLineChars="100"/>
        <w:jc w:val="both"/>
        <w:rPr>
          <w:rFonts w:ascii="宋体" w:hAnsi="宋体" w:eastAsia="宋体"/>
          <w:b/>
          <w:sz w:val="44"/>
          <w:szCs w:val="44"/>
        </w:rPr>
      </w:pPr>
      <w:r>
        <w:rPr>
          <w:rFonts w:hint="eastAsia" w:ascii="宋体" w:hAnsi="宋体" w:eastAsia="宋体"/>
          <w:b/>
          <w:sz w:val="44"/>
          <w:szCs w:val="44"/>
        </w:rPr>
        <w:t>第二部分 2017年度部门决算报表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pPr>
        <w:rPr>
          <w:color w:val="FF0000"/>
          <w:sz w:val="32"/>
          <w:szCs w:val="32"/>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both"/>
        <w:rPr>
          <w:rFonts w:hint="eastAsia" w:ascii="宋体" w:hAnsi="宋体" w:eastAsia="宋体"/>
          <w:b/>
          <w:sz w:val="44"/>
          <w:szCs w:val="44"/>
        </w:rPr>
      </w:pPr>
    </w:p>
    <w:p>
      <w:pPr>
        <w:spacing w:beforeLines="100" w:afterLines="100" w:line="360" w:lineRule="auto"/>
        <w:jc w:val="both"/>
        <w:rPr>
          <w:rFonts w:hint="eastAsia" w:ascii="宋体" w:hAnsi="宋体" w:eastAsia="宋体"/>
          <w:b/>
          <w:sz w:val="44"/>
          <w:szCs w:val="44"/>
        </w:rPr>
      </w:pPr>
    </w:p>
    <w:p>
      <w:pPr>
        <w:spacing w:beforeLines="100" w:afterLines="100" w:line="360" w:lineRule="auto"/>
        <w:jc w:val="both"/>
        <w:rPr>
          <w:rFonts w:hint="eastAsia" w:ascii="宋体" w:hAnsi="宋体" w:eastAsia="宋体"/>
          <w:b/>
          <w:sz w:val="44"/>
          <w:szCs w:val="44"/>
        </w:rPr>
      </w:pPr>
    </w:p>
    <w:p>
      <w:pPr>
        <w:spacing w:beforeLines="100" w:afterLines="100" w:line="360" w:lineRule="auto"/>
        <w:jc w:val="both"/>
        <w:rPr>
          <w:rFonts w:hint="eastAsia" w:ascii="宋体" w:hAnsi="宋体" w:eastAsia="宋体"/>
          <w:b/>
          <w:sz w:val="44"/>
          <w:szCs w:val="44"/>
        </w:rPr>
      </w:pPr>
    </w:p>
    <w:p>
      <w:pPr>
        <w:spacing w:beforeLines="100" w:afterLines="100" w:line="360" w:lineRule="auto"/>
        <w:jc w:val="both"/>
        <w:rPr>
          <w:rFonts w:hint="eastAsia" w:ascii="宋体" w:hAnsi="宋体" w:eastAsia="宋体"/>
          <w:b/>
          <w:sz w:val="44"/>
          <w:szCs w:val="44"/>
        </w:rPr>
      </w:pPr>
    </w:p>
    <w:p>
      <w:pPr>
        <w:spacing w:beforeLines="100" w:afterLines="100" w:line="360" w:lineRule="auto"/>
        <w:jc w:val="both"/>
        <w:rPr>
          <w:rFonts w:ascii="宋体" w:hAnsi="宋体" w:eastAsia="宋体"/>
          <w:b/>
          <w:sz w:val="44"/>
          <w:szCs w:val="44"/>
        </w:rPr>
      </w:pPr>
      <w:r>
        <w:rPr>
          <w:rFonts w:hint="eastAsia" w:ascii="宋体" w:hAnsi="宋体" w:eastAsia="宋体"/>
          <w:b/>
          <w:sz w:val="44"/>
          <w:szCs w:val="44"/>
        </w:rPr>
        <w:t>第三部分 2017年度部门决算情况说明</w:t>
      </w:r>
    </w:p>
    <w:p>
      <w:pPr>
        <w:rPr>
          <w:b/>
          <w:sz w:val="36"/>
          <w:szCs w:val="36"/>
        </w:rPr>
      </w:pPr>
      <w:r>
        <w:rPr>
          <w:rFonts w:hint="eastAsia"/>
          <w:b/>
          <w:sz w:val="36"/>
          <w:szCs w:val="36"/>
        </w:rPr>
        <w:t>一、收入支出决算总体情况说明</w:t>
      </w:r>
    </w:p>
    <w:p>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2017年度年初结转和结余</w:t>
      </w:r>
      <w:r>
        <w:rPr>
          <w:rFonts w:hint="eastAsia" w:asciiTheme="minorEastAsia" w:hAnsiTheme="minorEastAsia"/>
          <w:sz w:val="32"/>
          <w:szCs w:val="32"/>
          <w:lang w:val="en-US" w:eastAsia="zh-CN"/>
        </w:rPr>
        <w:t>0</w:t>
      </w:r>
      <w:r>
        <w:rPr>
          <w:rFonts w:hint="eastAsia" w:asciiTheme="minorEastAsia" w:hAnsiTheme="minorEastAsia"/>
          <w:sz w:val="32"/>
          <w:szCs w:val="32"/>
        </w:rPr>
        <w:t>万元，本年收入</w:t>
      </w:r>
      <w:r>
        <w:rPr>
          <w:rFonts w:hint="eastAsia" w:asciiTheme="minorEastAsia" w:hAnsiTheme="minorEastAsia"/>
          <w:sz w:val="32"/>
          <w:szCs w:val="32"/>
          <w:lang w:val="en-US" w:eastAsia="zh-CN"/>
        </w:rPr>
        <w:t>767.46</w:t>
      </w:r>
      <w:r>
        <w:rPr>
          <w:rFonts w:hint="eastAsia" w:asciiTheme="minorEastAsia" w:hAnsiTheme="minorEastAsia"/>
          <w:sz w:val="32"/>
          <w:szCs w:val="32"/>
        </w:rPr>
        <w:t xml:space="preserve">万元，本年支出 </w:t>
      </w:r>
      <w:r>
        <w:rPr>
          <w:rFonts w:hint="eastAsia" w:asciiTheme="minorEastAsia" w:hAnsiTheme="minorEastAsia"/>
          <w:sz w:val="32"/>
          <w:szCs w:val="32"/>
          <w:lang w:val="en-US" w:eastAsia="zh-CN"/>
        </w:rPr>
        <w:t>761.72</w:t>
      </w:r>
      <w:r>
        <w:rPr>
          <w:rFonts w:hint="eastAsia" w:asciiTheme="minorEastAsia" w:hAnsiTheme="minorEastAsia"/>
          <w:sz w:val="32"/>
          <w:szCs w:val="32"/>
        </w:rPr>
        <w:t>万元，用事业基金弥补收支差额</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万元，结余分配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万元，年末结转和结余 </w:t>
      </w:r>
      <w:r>
        <w:rPr>
          <w:rFonts w:hint="eastAsia" w:asciiTheme="minorEastAsia" w:hAnsiTheme="minorEastAsia"/>
          <w:sz w:val="32"/>
          <w:szCs w:val="32"/>
          <w:lang w:val="en-US" w:eastAsia="zh-CN"/>
        </w:rPr>
        <w:t>5.74</w:t>
      </w:r>
      <w:r>
        <w:rPr>
          <w:rFonts w:hint="eastAsia" w:asciiTheme="minorEastAsia" w:hAnsiTheme="minorEastAsia"/>
          <w:sz w:val="32"/>
          <w:szCs w:val="32"/>
        </w:rPr>
        <w:t xml:space="preserve">万元。与 2016 年度决算相比，本年收入减少 </w:t>
      </w:r>
      <w:r>
        <w:rPr>
          <w:rFonts w:hint="eastAsia" w:asciiTheme="minorEastAsia" w:hAnsiTheme="minorEastAsia"/>
          <w:sz w:val="32"/>
          <w:szCs w:val="32"/>
          <w:lang w:val="en-US" w:eastAsia="zh-CN"/>
        </w:rPr>
        <w:t>187.49</w:t>
      </w:r>
      <w:r>
        <w:rPr>
          <w:rFonts w:hint="eastAsia" w:asciiTheme="minorEastAsia" w:hAnsiTheme="minorEastAsia"/>
          <w:sz w:val="32"/>
          <w:szCs w:val="32"/>
        </w:rPr>
        <w:t xml:space="preserve"> 万元， 减少 </w:t>
      </w:r>
      <w:r>
        <w:rPr>
          <w:rFonts w:hint="eastAsia" w:asciiTheme="minorEastAsia" w:hAnsiTheme="minorEastAsia"/>
          <w:sz w:val="32"/>
          <w:szCs w:val="32"/>
          <w:lang w:val="en-US" w:eastAsia="zh-CN"/>
        </w:rPr>
        <w:t>24.43</w:t>
      </w:r>
      <w:r>
        <w:rPr>
          <w:rFonts w:hint="eastAsia" w:asciiTheme="minorEastAsia" w:hAnsiTheme="minorEastAsia"/>
          <w:sz w:val="32"/>
          <w:szCs w:val="32"/>
        </w:rPr>
        <w:t xml:space="preserve">%；本年支出少 </w:t>
      </w:r>
      <w:r>
        <w:rPr>
          <w:rFonts w:hint="eastAsia" w:asciiTheme="minorEastAsia" w:hAnsiTheme="minorEastAsia"/>
          <w:sz w:val="32"/>
          <w:szCs w:val="32"/>
          <w:lang w:val="en-US" w:eastAsia="zh-CN"/>
        </w:rPr>
        <w:t>193.23</w:t>
      </w:r>
      <w:r>
        <w:rPr>
          <w:rFonts w:hint="eastAsia" w:asciiTheme="minorEastAsia" w:hAnsiTheme="minorEastAsia"/>
          <w:sz w:val="32"/>
          <w:szCs w:val="32"/>
        </w:rPr>
        <w:t xml:space="preserve"> 万元，减少 </w:t>
      </w:r>
      <w:r>
        <w:rPr>
          <w:rFonts w:hint="eastAsia" w:asciiTheme="minorEastAsia" w:hAnsiTheme="minorEastAsia"/>
          <w:sz w:val="32"/>
          <w:szCs w:val="32"/>
          <w:lang w:val="en-US" w:eastAsia="zh-CN"/>
        </w:rPr>
        <w:t>25.37%。</w:t>
      </w:r>
      <w:r>
        <w:rPr>
          <w:rFonts w:hint="eastAsia" w:asciiTheme="minorEastAsia" w:hAnsiTheme="minorEastAsia"/>
          <w:sz w:val="32"/>
          <w:szCs w:val="32"/>
        </w:rPr>
        <w:t xml:space="preserve"> </w:t>
      </w:r>
      <w:r>
        <w:rPr>
          <w:rFonts w:hint="eastAsia" w:asciiTheme="minorEastAsia" w:hAnsiTheme="minorEastAsia"/>
          <w:sz w:val="32"/>
          <w:szCs w:val="32"/>
          <w:lang w:eastAsia="zh-CN"/>
        </w:rPr>
        <w:t>主要原因是</w:t>
      </w:r>
      <w:r>
        <w:rPr>
          <w:rFonts w:hint="eastAsia" w:asciiTheme="minorEastAsia" w:hAnsiTheme="minorEastAsia"/>
          <w:color w:val="auto"/>
          <w:sz w:val="32"/>
          <w:szCs w:val="32"/>
          <w:lang w:eastAsia="zh-CN"/>
        </w:rPr>
        <w:t>我单位基建工程处于收尾阶段，</w:t>
      </w:r>
      <w:r>
        <w:rPr>
          <w:rFonts w:hint="eastAsia" w:asciiTheme="minorEastAsia" w:hAnsiTheme="minorEastAsia"/>
          <w:color w:val="auto"/>
          <w:sz w:val="32"/>
          <w:szCs w:val="32"/>
        </w:rPr>
        <w:t>201</w:t>
      </w:r>
      <w:r>
        <w:rPr>
          <w:rFonts w:hint="eastAsia" w:asciiTheme="minorEastAsia" w:hAnsiTheme="minorEastAsia"/>
          <w:color w:val="auto"/>
          <w:sz w:val="32"/>
          <w:szCs w:val="32"/>
          <w:lang w:val="en-US" w:eastAsia="zh-CN"/>
        </w:rPr>
        <w:t>7</w:t>
      </w:r>
      <w:r>
        <w:rPr>
          <w:rFonts w:hint="eastAsia" w:asciiTheme="minorEastAsia" w:hAnsiTheme="minorEastAsia"/>
          <w:color w:val="auto"/>
          <w:sz w:val="32"/>
          <w:szCs w:val="32"/>
        </w:rPr>
        <w:t xml:space="preserve"> 年度财政拨款安排专项资金</w:t>
      </w:r>
      <w:r>
        <w:rPr>
          <w:rFonts w:hint="eastAsia" w:asciiTheme="minorEastAsia" w:hAnsiTheme="minorEastAsia"/>
          <w:color w:val="auto"/>
          <w:sz w:val="32"/>
          <w:szCs w:val="32"/>
          <w:lang w:eastAsia="zh-CN"/>
        </w:rPr>
        <w:t>相较于</w:t>
      </w:r>
      <w:r>
        <w:rPr>
          <w:rFonts w:hint="eastAsia" w:asciiTheme="minorEastAsia" w:hAnsiTheme="minorEastAsia"/>
          <w:color w:val="auto"/>
          <w:sz w:val="32"/>
          <w:szCs w:val="32"/>
          <w:lang w:val="en-US" w:eastAsia="zh-CN"/>
        </w:rPr>
        <w:t>2016年有所减少</w:t>
      </w:r>
      <w:r>
        <w:rPr>
          <w:rFonts w:hint="eastAsia" w:asciiTheme="minorEastAsia" w:hAnsiTheme="minorEastAsia"/>
          <w:sz w:val="32"/>
          <w:szCs w:val="32"/>
          <w:lang w:eastAsia="zh-CN"/>
        </w:rPr>
        <w:t>。</w:t>
      </w:r>
    </w:p>
    <w:p>
      <w:pPr>
        <w:ind w:firstLine="640" w:firstLineChars="200"/>
        <w:rPr>
          <w:rFonts w:hint="eastAsia" w:asciiTheme="minorEastAsia" w:hAnsiTheme="minorEastAsia" w:eastAsiaTheme="minorEastAsia"/>
          <w:sz w:val="32"/>
          <w:szCs w:val="32"/>
          <w:lang w:eastAsia="zh-CN"/>
        </w:rPr>
      </w:pPr>
    </w:p>
    <w:p>
      <w:pPr>
        <w:rPr>
          <w:b/>
          <w:sz w:val="36"/>
          <w:szCs w:val="36"/>
        </w:rPr>
      </w:pPr>
      <w:r>
        <w:rPr>
          <w:rFonts w:hint="eastAsia"/>
          <w:b/>
          <w:sz w:val="36"/>
          <w:szCs w:val="36"/>
        </w:rPr>
        <w:t>二、收入决算情况说明</w:t>
      </w:r>
    </w:p>
    <w:p>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 xml:space="preserve">2017 年度收入合计 </w:t>
      </w:r>
      <w:r>
        <w:rPr>
          <w:rFonts w:hint="eastAsia" w:asciiTheme="minorEastAsia" w:hAnsiTheme="minorEastAsia"/>
          <w:sz w:val="32"/>
          <w:szCs w:val="32"/>
          <w:lang w:val="en-US" w:eastAsia="zh-CN"/>
        </w:rPr>
        <w:t>767.46</w:t>
      </w:r>
      <w:r>
        <w:rPr>
          <w:rFonts w:hint="eastAsia" w:asciiTheme="minorEastAsia" w:hAnsiTheme="minorEastAsia"/>
          <w:sz w:val="32"/>
          <w:szCs w:val="32"/>
        </w:rPr>
        <w:t xml:space="preserve"> 万元， 其中： 财政拨款收入</w:t>
      </w:r>
      <w:r>
        <w:rPr>
          <w:rFonts w:hint="eastAsia" w:asciiTheme="minorEastAsia" w:hAnsiTheme="minorEastAsia"/>
          <w:sz w:val="32"/>
          <w:szCs w:val="32"/>
          <w:lang w:val="en-US" w:eastAsia="zh-CN"/>
        </w:rPr>
        <w:t>767.46</w:t>
      </w:r>
      <w:r>
        <w:rPr>
          <w:rFonts w:hint="eastAsia" w:asciiTheme="minorEastAsia" w:hAnsiTheme="minorEastAsia"/>
          <w:sz w:val="32"/>
          <w:szCs w:val="32"/>
        </w:rPr>
        <w:t xml:space="preserve">万元，占 </w:t>
      </w:r>
      <w:r>
        <w:rPr>
          <w:rFonts w:hint="eastAsia" w:asciiTheme="minorEastAsia" w:hAnsiTheme="minorEastAsia"/>
          <w:sz w:val="32"/>
          <w:szCs w:val="32"/>
          <w:lang w:val="en-US" w:eastAsia="zh-CN"/>
        </w:rPr>
        <w:t>100</w:t>
      </w:r>
      <w:r>
        <w:rPr>
          <w:rFonts w:hint="eastAsia" w:asciiTheme="minorEastAsia" w:hAnsiTheme="minorEastAsia"/>
          <w:sz w:val="32"/>
          <w:szCs w:val="32"/>
        </w:rPr>
        <w:t xml:space="preserve">%；事业收入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万元；其他收入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万元。与 2016 年度相比，收入减少 </w:t>
      </w:r>
      <w:r>
        <w:rPr>
          <w:rFonts w:hint="eastAsia" w:asciiTheme="minorEastAsia" w:hAnsiTheme="minorEastAsia"/>
          <w:sz w:val="32"/>
          <w:szCs w:val="32"/>
          <w:lang w:val="en-US" w:eastAsia="zh-CN"/>
        </w:rPr>
        <w:t>187.49</w:t>
      </w:r>
      <w:r>
        <w:rPr>
          <w:rFonts w:hint="eastAsia" w:asciiTheme="minorEastAsia" w:hAnsiTheme="minorEastAsia"/>
          <w:sz w:val="32"/>
          <w:szCs w:val="32"/>
        </w:rPr>
        <w:t xml:space="preserve">万元，其中财政拨款收入减少 </w:t>
      </w:r>
      <w:r>
        <w:rPr>
          <w:rFonts w:hint="eastAsia" w:asciiTheme="minorEastAsia" w:hAnsiTheme="minorEastAsia"/>
          <w:sz w:val="32"/>
          <w:szCs w:val="32"/>
          <w:lang w:val="en-US" w:eastAsia="zh-CN"/>
        </w:rPr>
        <w:t>187.49</w:t>
      </w:r>
      <w:r>
        <w:rPr>
          <w:rFonts w:hint="eastAsia" w:asciiTheme="minorEastAsia" w:hAnsiTheme="minorEastAsia"/>
          <w:sz w:val="32"/>
          <w:szCs w:val="32"/>
        </w:rPr>
        <w:t>万元。</w:t>
      </w:r>
      <w:r>
        <w:rPr>
          <w:rFonts w:hint="eastAsia" w:asciiTheme="minorEastAsia" w:hAnsiTheme="minorEastAsia"/>
          <w:sz w:val="32"/>
          <w:szCs w:val="32"/>
          <w:lang w:eastAsia="zh-CN"/>
        </w:rPr>
        <w:t>如图所示：</w:t>
      </w:r>
    </w:p>
    <w:p>
      <w:pPr>
        <w:rPr>
          <w:rFonts w:hint="eastAsia"/>
          <w:lang w:eastAsia="zh-CN"/>
        </w:rPr>
      </w:pPr>
      <w:r>
        <w:rPr>
          <w:rFonts w:hint="eastAsia"/>
          <w:lang w:eastAsia="zh-CN"/>
        </w:rPr>
        <w:drawing>
          <wp:inline distT="0" distB="0" distL="114300" distR="114300">
            <wp:extent cx="4347845" cy="2772410"/>
            <wp:effectExtent l="4445" t="4445" r="10160" b="2349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rPr>
          <w:b/>
          <w:sz w:val="36"/>
          <w:szCs w:val="36"/>
        </w:rPr>
      </w:pPr>
      <w:r>
        <w:rPr>
          <w:rFonts w:hint="eastAsia"/>
          <w:b/>
          <w:sz w:val="36"/>
          <w:szCs w:val="36"/>
        </w:rPr>
        <w:t>三、支出决算情况说明</w:t>
      </w:r>
    </w:p>
    <w:p>
      <w:pPr>
        <w:ind w:firstLine="640" w:firstLineChars="200"/>
        <w:rPr>
          <w:rFonts w:hint="eastAsia" w:asciiTheme="minorEastAsia" w:hAnsiTheme="minorEastAsia"/>
          <w:color w:val="auto"/>
          <w:sz w:val="32"/>
          <w:szCs w:val="32"/>
          <w:lang w:eastAsia="zh-CN"/>
        </w:rPr>
      </w:pPr>
      <w:r>
        <w:rPr>
          <w:rFonts w:hint="eastAsia" w:asciiTheme="minorEastAsia" w:hAnsiTheme="minorEastAsia"/>
          <w:sz w:val="32"/>
          <w:szCs w:val="32"/>
        </w:rPr>
        <w:t xml:space="preserve">2017 年度支出合计 </w:t>
      </w:r>
      <w:r>
        <w:rPr>
          <w:rFonts w:hint="eastAsia" w:asciiTheme="minorEastAsia" w:hAnsiTheme="minorEastAsia"/>
          <w:sz w:val="32"/>
          <w:szCs w:val="32"/>
          <w:lang w:val="en-US" w:eastAsia="zh-CN"/>
        </w:rPr>
        <w:t>761.72</w:t>
      </w:r>
      <w:r>
        <w:rPr>
          <w:rFonts w:hint="eastAsia" w:asciiTheme="minorEastAsia" w:hAnsiTheme="minorEastAsia"/>
          <w:sz w:val="32"/>
          <w:szCs w:val="32"/>
        </w:rPr>
        <w:t>万元，其中：基本支出</w:t>
      </w:r>
      <w:r>
        <w:rPr>
          <w:rFonts w:hint="eastAsia" w:asciiTheme="minorEastAsia" w:hAnsiTheme="minorEastAsia"/>
          <w:sz w:val="32"/>
          <w:szCs w:val="32"/>
          <w:lang w:val="en-US" w:eastAsia="zh-CN"/>
        </w:rPr>
        <w:t>561.72</w:t>
      </w:r>
      <w:r>
        <w:rPr>
          <w:rFonts w:hint="eastAsia" w:asciiTheme="minorEastAsia" w:hAnsiTheme="minorEastAsia"/>
          <w:sz w:val="32"/>
          <w:szCs w:val="32"/>
        </w:rPr>
        <w:t>万元，占7</w:t>
      </w:r>
      <w:r>
        <w:rPr>
          <w:rFonts w:hint="eastAsia" w:asciiTheme="minorEastAsia" w:hAnsiTheme="minorEastAsia"/>
          <w:sz w:val="32"/>
          <w:szCs w:val="32"/>
          <w:lang w:val="en-US" w:eastAsia="zh-CN"/>
        </w:rPr>
        <w:t>3.74</w:t>
      </w:r>
      <w:r>
        <w:rPr>
          <w:rFonts w:hint="eastAsia" w:asciiTheme="minorEastAsia" w:hAnsiTheme="minorEastAsia"/>
          <w:sz w:val="32"/>
          <w:szCs w:val="32"/>
        </w:rPr>
        <w:t>%；项目支出</w:t>
      </w:r>
      <w:r>
        <w:rPr>
          <w:rFonts w:hint="eastAsia" w:asciiTheme="minorEastAsia" w:hAnsiTheme="minorEastAsia"/>
          <w:sz w:val="32"/>
          <w:szCs w:val="32"/>
          <w:lang w:val="en-US" w:eastAsia="zh-CN"/>
        </w:rPr>
        <w:t>200</w:t>
      </w:r>
      <w:r>
        <w:rPr>
          <w:rFonts w:hint="eastAsia" w:asciiTheme="minorEastAsia" w:hAnsiTheme="minorEastAsia"/>
          <w:sz w:val="32"/>
          <w:szCs w:val="32"/>
        </w:rPr>
        <w:t>万元，占</w:t>
      </w:r>
      <w:r>
        <w:rPr>
          <w:rFonts w:hint="eastAsia" w:asciiTheme="minorEastAsia" w:hAnsiTheme="minorEastAsia"/>
          <w:sz w:val="32"/>
          <w:szCs w:val="32"/>
          <w:lang w:val="en-US" w:eastAsia="zh-CN"/>
        </w:rPr>
        <w:t>26.26</w:t>
      </w:r>
      <w:r>
        <w:rPr>
          <w:rFonts w:hint="eastAsia" w:asciiTheme="minorEastAsia" w:hAnsiTheme="minorEastAsia"/>
          <w:sz w:val="32"/>
          <w:szCs w:val="32"/>
        </w:rPr>
        <w:t xml:space="preserve">%。与 2016 年度相比，支出减少 </w:t>
      </w:r>
      <w:r>
        <w:rPr>
          <w:rFonts w:hint="eastAsia" w:asciiTheme="minorEastAsia" w:hAnsiTheme="minorEastAsia"/>
          <w:sz w:val="32"/>
          <w:szCs w:val="32"/>
          <w:lang w:val="en-US" w:eastAsia="zh-CN"/>
        </w:rPr>
        <w:t>193.23</w:t>
      </w:r>
      <w:r>
        <w:rPr>
          <w:rFonts w:hint="eastAsia" w:asciiTheme="minorEastAsia" w:hAnsiTheme="minorEastAsia"/>
          <w:sz w:val="32"/>
          <w:szCs w:val="32"/>
        </w:rPr>
        <w:t xml:space="preserve"> 万元，其中基本支出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20.87</w:t>
      </w:r>
      <w:r>
        <w:rPr>
          <w:rFonts w:hint="eastAsia" w:asciiTheme="minorEastAsia" w:hAnsiTheme="minorEastAsia"/>
          <w:sz w:val="32"/>
          <w:szCs w:val="32"/>
        </w:rPr>
        <w:t>万元，项目支出减少</w:t>
      </w:r>
      <w:r>
        <w:rPr>
          <w:rFonts w:hint="eastAsia" w:asciiTheme="minorEastAsia" w:hAnsiTheme="minorEastAsia"/>
          <w:sz w:val="32"/>
          <w:szCs w:val="32"/>
          <w:lang w:val="en-US" w:eastAsia="zh-CN"/>
        </w:rPr>
        <w:t>214.1</w:t>
      </w:r>
      <w:r>
        <w:rPr>
          <w:rFonts w:hint="eastAsia" w:asciiTheme="minorEastAsia" w:hAnsiTheme="minorEastAsia"/>
          <w:sz w:val="32"/>
          <w:szCs w:val="32"/>
        </w:rPr>
        <w:t xml:space="preserve"> 万元。</w:t>
      </w:r>
      <w:r>
        <w:rPr>
          <w:rFonts w:hint="eastAsia" w:asciiTheme="minorEastAsia" w:hAnsiTheme="minorEastAsia"/>
          <w:sz w:val="32"/>
          <w:szCs w:val="32"/>
          <w:lang w:eastAsia="zh-CN"/>
        </w:rPr>
        <w:t>主要原因是</w:t>
      </w:r>
      <w:r>
        <w:rPr>
          <w:rFonts w:hint="eastAsia" w:asciiTheme="minorEastAsia" w:hAnsiTheme="minorEastAsia"/>
          <w:color w:val="auto"/>
          <w:sz w:val="32"/>
          <w:szCs w:val="32"/>
          <w:lang w:eastAsia="zh-CN"/>
        </w:rPr>
        <w:t>我单位基建工程处于收尾阶段，</w:t>
      </w:r>
      <w:r>
        <w:rPr>
          <w:rFonts w:hint="eastAsia" w:asciiTheme="minorEastAsia" w:hAnsiTheme="minorEastAsia"/>
          <w:color w:val="auto"/>
          <w:sz w:val="32"/>
          <w:szCs w:val="32"/>
        </w:rPr>
        <w:t>201</w:t>
      </w:r>
      <w:r>
        <w:rPr>
          <w:rFonts w:hint="eastAsia" w:asciiTheme="minorEastAsia" w:hAnsiTheme="minorEastAsia"/>
          <w:color w:val="auto"/>
          <w:sz w:val="32"/>
          <w:szCs w:val="32"/>
          <w:lang w:val="en-US" w:eastAsia="zh-CN"/>
        </w:rPr>
        <w:t>7</w:t>
      </w:r>
      <w:r>
        <w:rPr>
          <w:rFonts w:hint="eastAsia" w:asciiTheme="minorEastAsia" w:hAnsiTheme="minorEastAsia"/>
          <w:color w:val="auto"/>
          <w:sz w:val="32"/>
          <w:szCs w:val="32"/>
        </w:rPr>
        <w:t xml:space="preserve"> 年度财政拨款安排专项资金</w:t>
      </w:r>
      <w:r>
        <w:rPr>
          <w:rFonts w:hint="eastAsia" w:asciiTheme="minorEastAsia" w:hAnsiTheme="minorEastAsia"/>
          <w:color w:val="auto"/>
          <w:sz w:val="32"/>
          <w:szCs w:val="32"/>
          <w:lang w:eastAsia="zh-CN"/>
        </w:rPr>
        <w:t>相较于</w:t>
      </w:r>
      <w:r>
        <w:rPr>
          <w:rFonts w:hint="eastAsia" w:asciiTheme="minorEastAsia" w:hAnsiTheme="minorEastAsia"/>
          <w:color w:val="auto"/>
          <w:sz w:val="32"/>
          <w:szCs w:val="32"/>
          <w:lang w:val="en-US" w:eastAsia="zh-CN"/>
        </w:rPr>
        <w:t>2016年有所减少</w:t>
      </w:r>
      <w:r>
        <w:rPr>
          <w:rFonts w:hint="eastAsia" w:asciiTheme="minorEastAsia" w:hAnsiTheme="minorEastAsia"/>
          <w:sz w:val="32"/>
          <w:szCs w:val="32"/>
          <w:lang w:eastAsia="zh-CN"/>
        </w:rPr>
        <w:t>。</w:t>
      </w:r>
      <w:r>
        <w:rPr>
          <w:rFonts w:hint="eastAsia" w:asciiTheme="minorEastAsia" w:hAnsiTheme="minorEastAsia"/>
          <w:color w:val="auto"/>
          <w:sz w:val="32"/>
          <w:szCs w:val="32"/>
          <w:lang w:eastAsia="zh-CN"/>
        </w:rPr>
        <w:t>如图所示：</w:t>
      </w:r>
    </w:p>
    <w:p>
      <w:pPr>
        <w:ind w:firstLine="640" w:firstLineChars="200"/>
        <w:rPr>
          <w:rFonts w:hint="eastAsia" w:asciiTheme="minorEastAsia" w:hAnsiTheme="minorEastAsia"/>
          <w:color w:val="auto"/>
          <w:sz w:val="32"/>
          <w:szCs w:val="32"/>
          <w:lang w:eastAsia="zh-CN"/>
        </w:rPr>
      </w:pPr>
      <w:r>
        <w:rPr>
          <w:rFonts w:hint="eastAsia" w:asciiTheme="minorEastAsia" w:hAnsiTheme="minorEastAsia"/>
          <w:color w:val="auto"/>
          <w:sz w:val="32"/>
          <w:szCs w:val="32"/>
          <w:lang w:eastAsia="zh-CN"/>
        </w:rPr>
        <w:drawing>
          <wp:inline distT="0" distB="0" distL="114300" distR="114300">
            <wp:extent cx="4023360" cy="2990850"/>
            <wp:effectExtent l="4445" t="4445" r="10795" b="1460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rPr>
          <w:b/>
          <w:sz w:val="36"/>
          <w:szCs w:val="36"/>
        </w:rPr>
      </w:pPr>
      <w:r>
        <w:rPr>
          <w:rFonts w:hint="eastAsia"/>
          <w:b/>
          <w:sz w:val="36"/>
          <w:szCs w:val="36"/>
        </w:rPr>
        <w:t>四、 财政拨款收入支出决算总体情况说明</w:t>
      </w:r>
    </w:p>
    <w:p>
      <w:pPr>
        <w:rPr>
          <w:b/>
          <w:sz w:val="32"/>
          <w:szCs w:val="32"/>
        </w:rPr>
      </w:pPr>
      <w:r>
        <w:rPr>
          <w:rFonts w:hint="eastAsia"/>
          <w:b/>
          <w:sz w:val="32"/>
          <w:szCs w:val="32"/>
        </w:rPr>
        <w:t>（一）财政拨款收支与2016年度决算对比情况</w:t>
      </w:r>
    </w:p>
    <w:p>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 xml:space="preserve">2017 年度财政拨款收入 </w:t>
      </w:r>
      <w:r>
        <w:rPr>
          <w:rFonts w:hint="eastAsia" w:asciiTheme="minorEastAsia" w:hAnsiTheme="minorEastAsia"/>
          <w:sz w:val="32"/>
          <w:szCs w:val="32"/>
          <w:lang w:val="en-US" w:eastAsia="zh-CN"/>
        </w:rPr>
        <w:t>767.46</w:t>
      </w:r>
      <w:r>
        <w:rPr>
          <w:rFonts w:hint="eastAsia" w:asciiTheme="minorEastAsia" w:hAnsiTheme="minorEastAsia"/>
          <w:sz w:val="32"/>
          <w:szCs w:val="32"/>
        </w:rPr>
        <w:t xml:space="preserve">万元，其中：一般公共预算拨款 </w:t>
      </w:r>
      <w:r>
        <w:rPr>
          <w:rFonts w:hint="eastAsia" w:asciiTheme="minorEastAsia" w:hAnsiTheme="minorEastAsia"/>
          <w:sz w:val="32"/>
          <w:szCs w:val="32"/>
          <w:lang w:val="en-US" w:eastAsia="zh-CN"/>
        </w:rPr>
        <w:t>767.46</w:t>
      </w:r>
      <w:r>
        <w:rPr>
          <w:rFonts w:hint="eastAsia" w:asciiTheme="minorEastAsia" w:hAnsiTheme="minorEastAsia"/>
          <w:sz w:val="32"/>
          <w:szCs w:val="32"/>
        </w:rPr>
        <w:t xml:space="preserve">万元，政府性基金预算财政拨款 </w:t>
      </w:r>
      <w:r>
        <w:rPr>
          <w:rFonts w:hint="eastAsia" w:asciiTheme="minorEastAsia" w:hAnsiTheme="minorEastAsia"/>
          <w:sz w:val="32"/>
          <w:szCs w:val="32"/>
          <w:lang w:val="en-US" w:eastAsia="zh-CN"/>
        </w:rPr>
        <w:t>0</w:t>
      </w:r>
      <w:r>
        <w:rPr>
          <w:rFonts w:hint="eastAsia" w:asciiTheme="minorEastAsia" w:hAnsiTheme="minorEastAsia"/>
          <w:sz w:val="32"/>
          <w:szCs w:val="32"/>
        </w:rPr>
        <w:t>万元。与 2016 年度决算相比，财政拨款收入减少</w:t>
      </w:r>
      <w:r>
        <w:rPr>
          <w:rFonts w:hint="eastAsia" w:asciiTheme="minorEastAsia" w:hAnsiTheme="minorEastAsia"/>
          <w:sz w:val="32"/>
          <w:szCs w:val="32"/>
          <w:lang w:val="en-US" w:eastAsia="zh-CN"/>
        </w:rPr>
        <w:t>187.49</w:t>
      </w:r>
      <w:r>
        <w:rPr>
          <w:rFonts w:hint="eastAsia" w:asciiTheme="minorEastAsia" w:hAnsiTheme="minorEastAsia"/>
          <w:sz w:val="32"/>
          <w:szCs w:val="32"/>
        </w:rPr>
        <w:t xml:space="preserve">万元，其中：一般公共预算拨款收入减少 </w:t>
      </w:r>
      <w:r>
        <w:rPr>
          <w:rFonts w:hint="eastAsia" w:asciiTheme="minorEastAsia" w:hAnsiTheme="minorEastAsia"/>
          <w:sz w:val="32"/>
          <w:szCs w:val="32"/>
          <w:lang w:val="en-US" w:eastAsia="zh-CN"/>
        </w:rPr>
        <w:t>187.49</w:t>
      </w:r>
      <w:r>
        <w:rPr>
          <w:rFonts w:hint="eastAsia" w:asciiTheme="minorEastAsia" w:hAnsiTheme="minorEastAsia"/>
          <w:sz w:val="32"/>
          <w:szCs w:val="32"/>
        </w:rPr>
        <w:t xml:space="preserve"> 万元。</w:t>
      </w:r>
      <w:r>
        <w:rPr>
          <w:rFonts w:hint="eastAsia" w:asciiTheme="minorEastAsia" w:hAnsiTheme="minorEastAsia"/>
          <w:sz w:val="32"/>
          <w:szCs w:val="32"/>
          <w:lang w:eastAsia="zh-CN"/>
        </w:rPr>
        <w:t>主要原因是</w:t>
      </w:r>
      <w:r>
        <w:rPr>
          <w:rFonts w:hint="eastAsia" w:asciiTheme="minorEastAsia" w:hAnsiTheme="minorEastAsia"/>
          <w:color w:val="auto"/>
          <w:sz w:val="32"/>
          <w:szCs w:val="32"/>
          <w:lang w:eastAsia="zh-CN"/>
        </w:rPr>
        <w:t>我单位基建工程处于收尾阶段，</w:t>
      </w:r>
      <w:r>
        <w:rPr>
          <w:rFonts w:hint="eastAsia" w:asciiTheme="minorEastAsia" w:hAnsiTheme="minorEastAsia"/>
          <w:color w:val="auto"/>
          <w:sz w:val="32"/>
          <w:szCs w:val="32"/>
        </w:rPr>
        <w:t>201</w:t>
      </w:r>
      <w:r>
        <w:rPr>
          <w:rFonts w:hint="eastAsia" w:asciiTheme="minorEastAsia" w:hAnsiTheme="minorEastAsia"/>
          <w:color w:val="auto"/>
          <w:sz w:val="32"/>
          <w:szCs w:val="32"/>
          <w:lang w:val="en-US" w:eastAsia="zh-CN"/>
        </w:rPr>
        <w:t>7</w:t>
      </w:r>
      <w:r>
        <w:rPr>
          <w:rFonts w:hint="eastAsia" w:asciiTheme="minorEastAsia" w:hAnsiTheme="minorEastAsia"/>
          <w:color w:val="auto"/>
          <w:sz w:val="32"/>
          <w:szCs w:val="32"/>
        </w:rPr>
        <w:t xml:space="preserve"> 年度财政拨款安排专项资金</w:t>
      </w:r>
      <w:r>
        <w:rPr>
          <w:rFonts w:hint="eastAsia" w:asciiTheme="minorEastAsia" w:hAnsiTheme="minorEastAsia"/>
          <w:color w:val="auto"/>
          <w:sz w:val="32"/>
          <w:szCs w:val="32"/>
          <w:lang w:eastAsia="zh-CN"/>
        </w:rPr>
        <w:t>相较于</w:t>
      </w:r>
      <w:r>
        <w:rPr>
          <w:rFonts w:hint="eastAsia" w:asciiTheme="minorEastAsia" w:hAnsiTheme="minorEastAsia"/>
          <w:color w:val="auto"/>
          <w:sz w:val="32"/>
          <w:szCs w:val="32"/>
          <w:lang w:val="en-US" w:eastAsia="zh-CN"/>
        </w:rPr>
        <w:t>2016年有所减少</w:t>
      </w:r>
      <w:r>
        <w:rPr>
          <w:rFonts w:hint="eastAsia" w:asciiTheme="minorEastAsia" w:hAnsiTheme="minorEastAsia"/>
          <w:sz w:val="32"/>
          <w:szCs w:val="32"/>
          <w:lang w:eastAsia="zh-CN"/>
        </w:rPr>
        <w:t>。</w:t>
      </w:r>
    </w:p>
    <w:p>
      <w:pPr>
        <w:ind w:firstLine="640" w:firstLineChars="200"/>
        <w:rPr>
          <w:rFonts w:asciiTheme="minorEastAsia" w:hAnsiTheme="minorEastAsia"/>
          <w:sz w:val="32"/>
          <w:szCs w:val="32"/>
        </w:rPr>
      </w:pPr>
      <w:r>
        <w:rPr>
          <w:rFonts w:hint="eastAsia" w:asciiTheme="minorEastAsia" w:hAnsiTheme="minorEastAsia"/>
          <w:sz w:val="32"/>
          <w:szCs w:val="32"/>
        </w:rPr>
        <w:t xml:space="preserve">2017 年度财政拨款支出 </w:t>
      </w:r>
      <w:r>
        <w:rPr>
          <w:rFonts w:hint="eastAsia" w:asciiTheme="minorEastAsia" w:hAnsiTheme="minorEastAsia"/>
          <w:sz w:val="32"/>
          <w:szCs w:val="32"/>
          <w:lang w:val="en-US" w:eastAsia="zh-CN"/>
        </w:rPr>
        <w:t>761.72</w:t>
      </w:r>
      <w:r>
        <w:rPr>
          <w:rFonts w:hint="eastAsia" w:asciiTheme="minorEastAsia" w:hAnsiTheme="minorEastAsia"/>
          <w:sz w:val="32"/>
          <w:szCs w:val="32"/>
        </w:rPr>
        <w:t xml:space="preserve"> 万元， 其中： 一般公共预算拨款支出 </w:t>
      </w:r>
      <w:r>
        <w:rPr>
          <w:rFonts w:hint="eastAsia" w:asciiTheme="minorEastAsia" w:hAnsiTheme="minorEastAsia"/>
          <w:sz w:val="32"/>
          <w:szCs w:val="32"/>
          <w:lang w:val="en-US" w:eastAsia="zh-CN"/>
        </w:rPr>
        <w:t>761.72</w:t>
      </w:r>
      <w:r>
        <w:rPr>
          <w:rFonts w:hint="eastAsia" w:asciiTheme="minorEastAsia" w:hAnsiTheme="minorEastAsia"/>
          <w:sz w:val="32"/>
          <w:szCs w:val="32"/>
        </w:rPr>
        <w:t>万元。与 2016年度决算相比，财政拨款支出减少</w:t>
      </w:r>
      <w:r>
        <w:rPr>
          <w:rFonts w:hint="eastAsia" w:asciiTheme="minorEastAsia" w:hAnsiTheme="minorEastAsia"/>
          <w:sz w:val="32"/>
          <w:szCs w:val="32"/>
          <w:lang w:val="en-US" w:eastAsia="zh-CN"/>
        </w:rPr>
        <w:t>193.23</w:t>
      </w:r>
      <w:r>
        <w:rPr>
          <w:rFonts w:hint="eastAsia" w:asciiTheme="minorEastAsia" w:hAnsiTheme="minorEastAsia"/>
          <w:sz w:val="32"/>
          <w:szCs w:val="32"/>
        </w:rPr>
        <w:t>万元</w:t>
      </w:r>
      <w:r>
        <w:rPr>
          <w:rFonts w:hint="eastAsia" w:asciiTheme="minorEastAsia" w:hAnsiTheme="minorEastAsia"/>
          <w:sz w:val="32"/>
          <w:szCs w:val="32"/>
          <w:lang w:eastAsia="zh-CN"/>
        </w:rPr>
        <w:t>，</w:t>
      </w:r>
      <w:r>
        <w:rPr>
          <w:rFonts w:hint="eastAsia" w:asciiTheme="minorEastAsia" w:hAnsiTheme="minorEastAsia"/>
          <w:sz w:val="32"/>
          <w:szCs w:val="32"/>
        </w:rPr>
        <w:t xml:space="preserve">其中：一般公共预算拨款支出减少 </w:t>
      </w:r>
      <w:r>
        <w:rPr>
          <w:rFonts w:hint="eastAsia" w:asciiTheme="minorEastAsia" w:hAnsiTheme="minorEastAsia"/>
          <w:sz w:val="32"/>
          <w:szCs w:val="32"/>
          <w:lang w:val="en-US" w:eastAsia="zh-CN"/>
        </w:rPr>
        <w:t>193.23</w:t>
      </w:r>
      <w:r>
        <w:rPr>
          <w:rFonts w:hint="eastAsia" w:asciiTheme="minorEastAsia" w:hAnsiTheme="minorEastAsia"/>
          <w:sz w:val="32"/>
          <w:szCs w:val="32"/>
        </w:rPr>
        <w:t>万元。</w:t>
      </w:r>
    </w:p>
    <w:p>
      <w:pPr>
        <w:ind w:firstLine="640" w:firstLineChars="200"/>
        <w:rPr>
          <w:rFonts w:asciiTheme="minorEastAsia" w:hAnsiTheme="minorEastAsia"/>
          <w:color w:val="auto"/>
          <w:sz w:val="32"/>
          <w:szCs w:val="32"/>
        </w:rPr>
      </w:pPr>
      <w:r>
        <w:rPr>
          <w:rFonts w:hint="eastAsia" w:asciiTheme="minorEastAsia" w:hAnsiTheme="minorEastAsia"/>
          <w:sz w:val="32"/>
          <w:szCs w:val="32"/>
        </w:rPr>
        <w:t>2017 年度财政拨款收支比2016 年大幅减少</w:t>
      </w:r>
      <w:r>
        <w:rPr>
          <w:rFonts w:hint="eastAsia" w:asciiTheme="minorEastAsia" w:hAnsiTheme="minorEastAsia"/>
          <w:color w:val="auto"/>
          <w:sz w:val="32"/>
          <w:szCs w:val="32"/>
        </w:rPr>
        <w:t>的主要原因是</w:t>
      </w:r>
      <w:r>
        <w:rPr>
          <w:rFonts w:hint="eastAsia" w:asciiTheme="minorEastAsia" w:hAnsiTheme="minorEastAsia"/>
          <w:color w:val="auto"/>
          <w:sz w:val="32"/>
          <w:szCs w:val="32"/>
          <w:lang w:eastAsia="zh-CN"/>
        </w:rPr>
        <w:t>我单位基建工程处于收尾阶段，</w:t>
      </w:r>
      <w:r>
        <w:rPr>
          <w:rFonts w:hint="eastAsia" w:asciiTheme="minorEastAsia" w:hAnsiTheme="minorEastAsia"/>
          <w:color w:val="auto"/>
          <w:sz w:val="32"/>
          <w:szCs w:val="32"/>
        </w:rPr>
        <w:t>201</w:t>
      </w:r>
      <w:r>
        <w:rPr>
          <w:rFonts w:hint="eastAsia" w:asciiTheme="minorEastAsia" w:hAnsiTheme="minorEastAsia"/>
          <w:color w:val="auto"/>
          <w:sz w:val="32"/>
          <w:szCs w:val="32"/>
          <w:lang w:val="en-US" w:eastAsia="zh-CN"/>
        </w:rPr>
        <w:t>7</w:t>
      </w:r>
      <w:r>
        <w:rPr>
          <w:rFonts w:hint="eastAsia" w:asciiTheme="minorEastAsia" w:hAnsiTheme="minorEastAsia"/>
          <w:color w:val="auto"/>
          <w:sz w:val="32"/>
          <w:szCs w:val="32"/>
        </w:rPr>
        <w:t xml:space="preserve"> 年度财政拨款安排专项资金</w:t>
      </w:r>
      <w:r>
        <w:rPr>
          <w:rFonts w:hint="eastAsia" w:asciiTheme="minorEastAsia" w:hAnsiTheme="minorEastAsia"/>
          <w:color w:val="auto"/>
          <w:sz w:val="32"/>
          <w:szCs w:val="32"/>
          <w:lang w:eastAsia="zh-CN"/>
        </w:rPr>
        <w:t>相较于</w:t>
      </w:r>
      <w:r>
        <w:rPr>
          <w:rFonts w:hint="eastAsia" w:asciiTheme="minorEastAsia" w:hAnsiTheme="minorEastAsia"/>
          <w:color w:val="auto"/>
          <w:sz w:val="32"/>
          <w:szCs w:val="32"/>
          <w:lang w:val="en-US" w:eastAsia="zh-CN"/>
        </w:rPr>
        <w:t>2016年有所减少</w:t>
      </w:r>
      <w:r>
        <w:rPr>
          <w:rFonts w:hint="eastAsia" w:asciiTheme="minorEastAsia" w:hAnsiTheme="minorEastAsia"/>
          <w:color w:val="auto"/>
          <w:sz w:val="32"/>
          <w:szCs w:val="32"/>
        </w:rPr>
        <w:t>。</w:t>
      </w:r>
    </w:p>
    <w:p>
      <w:pPr>
        <w:rPr>
          <w:b/>
          <w:sz w:val="32"/>
          <w:szCs w:val="32"/>
        </w:rPr>
      </w:pPr>
      <w:r>
        <w:rPr>
          <w:rFonts w:hint="eastAsia"/>
          <w:b/>
          <w:sz w:val="32"/>
          <w:szCs w:val="32"/>
        </w:rPr>
        <w:t>（二）财政拨款收支与年初预算数对比情况</w:t>
      </w:r>
    </w:p>
    <w:p>
      <w:pPr>
        <w:ind w:firstLine="640" w:firstLineChars="200"/>
        <w:rPr>
          <w:rFonts w:hint="eastAsia" w:asciiTheme="minorEastAsia" w:hAnsiTheme="minorEastAsia" w:eastAsiaTheme="minorEastAsia"/>
          <w:color w:val="auto"/>
          <w:sz w:val="32"/>
          <w:szCs w:val="32"/>
          <w:lang w:eastAsia="zh-CN"/>
        </w:rPr>
      </w:pPr>
      <w:r>
        <w:rPr>
          <w:rFonts w:hint="eastAsia" w:asciiTheme="minorEastAsia" w:hAnsiTheme="minorEastAsia"/>
          <w:sz w:val="32"/>
          <w:szCs w:val="32"/>
        </w:rPr>
        <w:t xml:space="preserve">2017 年度，年初预算批复财政拨款收支 </w:t>
      </w:r>
      <w:r>
        <w:rPr>
          <w:rFonts w:hint="eastAsia" w:asciiTheme="minorEastAsia" w:hAnsiTheme="minorEastAsia"/>
          <w:sz w:val="32"/>
          <w:szCs w:val="32"/>
          <w:lang w:val="en-US" w:eastAsia="zh-CN"/>
        </w:rPr>
        <w:t>748.26</w:t>
      </w:r>
      <w:r>
        <w:rPr>
          <w:rFonts w:hint="eastAsia" w:asciiTheme="minorEastAsia" w:hAnsiTheme="minorEastAsia"/>
          <w:sz w:val="32"/>
          <w:szCs w:val="32"/>
        </w:rPr>
        <w:t xml:space="preserve">万元，其中：一般公共预算拨款 </w:t>
      </w:r>
      <w:r>
        <w:rPr>
          <w:rFonts w:hint="eastAsia" w:asciiTheme="minorEastAsia" w:hAnsiTheme="minorEastAsia"/>
          <w:sz w:val="32"/>
          <w:szCs w:val="32"/>
          <w:lang w:val="en-US" w:eastAsia="zh-CN"/>
        </w:rPr>
        <w:t>748.26</w:t>
      </w:r>
      <w:r>
        <w:rPr>
          <w:rFonts w:hint="eastAsia" w:asciiTheme="minorEastAsia" w:hAnsiTheme="minorEastAsia"/>
          <w:sz w:val="32"/>
          <w:szCs w:val="32"/>
        </w:rPr>
        <w:t>万元。与年初预算相比，财政拨款收入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19</w:t>
      </w:r>
      <w:r>
        <w:rPr>
          <w:rFonts w:hint="eastAsia" w:asciiTheme="minorEastAsia" w:hAnsiTheme="minorEastAsia"/>
          <w:sz w:val="32"/>
          <w:szCs w:val="32"/>
        </w:rPr>
        <w:t>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2.54</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19</w:t>
      </w:r>
      <w:r>
        <w:rPr>
          <w:rFonts w:hint="eastAsia" w:asciiTheme="minorEastAsia" w:hAnsiTheme="minorEastAsia"/>
          <w:sz w:val="32"/>
          <w:szCs w:val="32"/>
        </w:rPr>
        <w:t>万元。财政拨款支出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13.46</w:t>
      </w:r>
      <w:r>
        <w:rPr>
          <w:rFonts w:hint="eastAsia" w:asciiTheme="minorEastAsia" w:hAnsiTheme="minorEastAsia"/>
          <w:sz w:val="32"/>
          <w:szCs w:val="32"/>
        </w:rPr>
        <w:t>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1.77</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13.46</w:t>
      </w:r>
      <w:r>
        <w:rPr>
          <w:rFonts w:hint="eastAsia" w:asciiTheme="minorEastAsia" w:hAnsiTheme="minorEastAsia"/>
          <w:sz w:val="32"/>
          <w:szCs w:val="32"/>
        </w:rPr>
        <w:t>万元。</w:t>
      </w:r>
      <w:r>
        <w:rPr>
          <w:rFonts w:hint="eastAsia" w:asciiTheme="minorEastAsia" w:hAnsiTheme="minorEastAsia"/>
          <w:color w:val="auto"/>
          <w:sz w:val="32"/>
          <w:szCs w:val="32"/>
        </w:rPr>
        <w:t>2017年度财政拨款收支比年初预算</w:t>
      </w:r>
      <w:r>
        <w:rPr>
          <w:rFonts w:hint="eastAsia" w:asciiTheme="minorEastAsia" w:hAnsiTheme="minorEastAsia"/>
          <w:color w:val="auto"/>
          <w:sz w:val="32"/>
          <w:szCs w:val="32"/>
          <w:lang w:eastAsia="zh-CN"/>
        </w:rPr>
        <w:t>增加</w:t>
      </w:r>
      <w:r>
        <w:rPr>
          <w:rFonts w:hint="eastAsia" w:asciiTheme="minorEastAsia" w:hAnsiTheme="minorEastAsia"/>
          <w:color w:val="auto"/>
          <w:sz w:val="32"/>
          <w:szCs w:val="32"/>
        </w:rPr>
        <w:t>的主要原因是</w:t>
      </w:r>
      <w:r>
        <w:rPr>
          <w:rFonts w:hint="eastAsia" w:asciiTheme="minorEastAsia" w:hAnsiTheme="minorEastAsia"/>
          <w:color w:val="auto"/>
          <w:sz w:val="32"/>
          <w:szCs w:val="32"/>
          <w:lang w:eastAsia="zh-CN"/>
        </w:rPr>
        <w:t>调整工资，人员工资支出增加。</w:t>
      </w:r>
    </w:p>
    <w:p>
      <w:pPr>
        <w:rPr>
          <w:b/>
          <w:sz w:val="36"/>
          <w:szCs w:val="36"/>
        </w:rPr>
      </w:pPr>
      <w:r>
        <w:rPr>
          <w:rFonts w:hint="eastAsia"/>
          <w:b/>
          <w:sz w:val="36"/>
          <w:szCs w:val="36"/>
        </w:rPr>
        <w:t>五、 “ 三公” 经费支出决算情况说明</w:t>
      </w:r>
    </w:p>
    <w:p>
      <w:pPr>
        <w:ind w:firstLine="640" w:firstLineChars="200"/>
        <w:rPr>
          <w:rFonts w:asciiTheme="minorEastAsia" w:hAnsiTheme="minorEastAsia"/>
          <w:sz w:val="32"/>
          <w:szCs w:val="32"/>
        </w:rPr>
      </w:pPr>
      <w:r>
        <w:rPr>
          <w:rFonts w:hint="eastAsia" w:asciiTheme="minorEastAsia" w:hAnsiTheme="minorEastAsia"/>
          <w:sz w:val="32"/>
          <w:szCs w:val="32"/>
        </w:rPr>
        <w:t>2017年度，我</w:t>
      </w:r>
      <w:r>
        <w:rPr>
          <w:rFonts w:hint="eastAsia" w:asciiTheme="minorEastAsia" w:hAnsiTheme="minorEastAsia"/>
          <w:sz w:val="32"/>
          <w:szCs w:val="32"/>
          <w:lang w:eastAsia="zh-CN"/>
        </w:rPr>
        <w:t>单位</w:t>
      </w:r>
      <w:r>
        <w:rPr>
          <w:rFonts w:hint="eastAsia" w:asciiTheme="minorEastAsia" w:hAnsiTheme="minorEastAsia"/>
          <w:sz w:val="32"/>
          <w:szCs w:val="32"/>
        </w:rPr>
        <w:t>认真落实中央八项规定精神和厉行节约要求，管理制度不断完善，“ 三公” 经费支出得到有效控制。全年“ 三公” 经费支出共计</w:t>
      </w:r>
      <w:r>
        <w:rPr>
          <w:rFonts w:hint="eastAsia" w:asciiTheme="minorEastAsia" w:hAnsiTheme="minorEastAsia"/>
          <w:sz w:val="32"/>
          <w:szCs w:val="32"/>
          <w:lang w:val="en-US" w:eastAsia="zh-CN"/>
        </w:rPr>
        <w:t>1.91</w:t>
      </w:r>
      <w:r>
        <w:rPr>
          <w:rFonts w:hint="eastAsia" w:asciiTheme="minorEastAsia" w:hAnsiTheme="minorEastAsia"/>
          <w:sz w:val="32"/>
          <w:szCs w:val="32"/>
        </w:rPr>
        <w:t>万元，与2016年度比，总支出减少</w:t>
      </w:r>
      <w:r>
        <w:rPr>
          <w:rFonts w:hint="eastAsia" w:asciiTheme="minorEastAsia" w:hAnsiTheme="minorEastAsia"/>
          <w:sz w:val="32"/>
          <w:szCs w:val="32"/>
          <w:lang w:val="en-US" w:eastAsia="zh-CN"/>
        </w:rPr>
        <w:t>4.69</w:t>
      </w:r>
      <w:r>
        <w:rPr>
          <w:rFonts w:hint="eastAsia" w:asciiTheme="minorEastAsia" w:hAnsiTheme="minorEastAsia"/>
          <w:sz w:val="32"/>
          <w:szCs w:val="32"/>
        </w:rPr>
        <w:t>万元， 减少</w:t>
      </w:r>
      <w:r>
        <w:rPr>
          <w:rFonts w:hint="eastAsia" w:asciiTheme="minorEastAsia" w:hAnsiTheme="minorEastAsia"/>
          <w:sz w:val="32"/>
          <w:szCs w:val="32"/>
          <w:lang w:val="en-US" w:eastAsia="zh-CN"/>
        </w:rPr>
        <w:t>71.1</w:t>
      </w:r>
      <w:r>
        <w:rPr>
          <w:rFonts w:hint="eastAsia" w:asciiTheme="minorEastAsia" w:hAnsiTheme="minorEastAsia"/>
          <w:sz w:val="32"/>
          <w:szCs w:val="32"/>
        </w:rPr>
        <w:t>%； 与年初预算相比，总支出减少</w:t>
      </w:r>
      <w:r>
        <w:rPr>
          <w:rFonts w:hint="eastAsia" w:asciiTheme="minorEastAsia" w:hAnsiTheme="minorEastAsia"/>
          <w:sz w:val="32"/>
          <w:szCs w:val="32"/>
          <w:lang w:val="en-US" w:eastAsia="zh-CN"/>
        </w:rPr>
        <w:t>4.69</w:t>
      </w:r>
      <w:r>
        <w:rPr>
          <w:rFonts w:hint="eastAsia" w:asciiTheme="minorEastAsia" w:hAnsiTheme="minorEastAsia"/>
          <w:sz w:val="32"/>
          <w:szCs w:val="32"/>
        </w:rPr>
        <w:t>万元， 减少</w:t>
      </w:r>
      <w:r>
        <w:rPr>
          <w:rFonts w:hint="eastAsia" w:asciiTheme="minorEastAsia" w:hAnsiTheme="minorEastAsia"/>
          <w:sz w:val="32"/>
          <w:szCs w:val="32"/>
          <w:lang w:val="en-US" w:eastAsia="zh-CN"/>
        </w:rPr>
        <w:t>71.1%</w:t>
      </w:r>
      <w:r>
        <w:rPr>
          <w:rFonts w:hint="eastAsia" w:asciiTheme="minorEastAsia" w:hAnsiTheme="minorEastAsia"/>
          <w:sz w:val="32"/>
          <w:szCs w:val="32"/>
        </w:rPr>
        <w:t>。</w:t>
      </w:r>
    </w:p>
    <w:p>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w:t>
      </w:r>
      <w:r>
        <w:rPr>
          <w:rFonts w:hint="eastAsia" w:asciiTheme="minorEastAsia" w:hAnsiTheme="minorEastAsia"/>
          <w:sz w:val="32"/>
          <w:szCs w:val="32"/>
          <w:lang w:val="en-US" w:eastAsia="zh-CN"/>
        </w:rPr>
        <w:t>1.91</w:t>
      </w:r>
      <w:r>
        <w:rPr>
          <w:rFonts w:hint="eastAsia" w:asciiTheme="minorEastAsia" w:hAnsiTheme="minorEastAsia"/>
          <w:sz w:val="32"/>
          <w:szCs w:val="32"/>
        </w:rPr>
        <w:t>万元，与2016年度对比，总支出减少</w:t>
      </w:r>
      <w:r>
        <w:rPr>
          <w:rFonts w:hint="eastAsia" w:asciiTheme="minorEastAsia" w:hAnsiTheme="minorEastAsia"/>
          <w:sz w:val="32"/>
          <w:szCs w:val="32"/>
          <w:lang w:val="en-US" w:eastAsia="zh-CN"/>
        </w:rPr>
        <w:t>4.69</w:t>
      </w:r>
      <w:r>
        <w:rPr>
          <w:rFonts w:hint="eastAsia" w:asciiTheme="minorEastAsia" w:hAnsiTheme="minorEastAsia"/>
          <w:sz w:val="32"/>
          <w:szCs w:val="32"/>
        </w:rPr>
        <w:t>万元。</w:t>
      </w:r>
    </w:p>
    <w:p>
      <w:pPr>
        <w:rPr>
          <w:rFonts w:hint="eastAsia"/>
          <w:b/>
          <w:sz w:val="32"/>
          <w:szCs w:val="32"/>
        </w:rPr>
      </w:pPr>
    </w:p>
    <w:p>
      <w:pPr>
        <w:rPr>
          <w:b/>
          <w:sz w:val="32"/>
          <w:szCs w:val="32"/>
        </w:rPr>
      </w:pPr>
      <w:r>
        <w:rPr>
          <w:rFonts w:hint="eastAsia"/>
          <w:b/>
          <w:sz w:val="32"/>
          <w:szCs w:val="32"/>
        </w:rPr>
        <w:t>“ 三公” 经费支出2016年度、 2017年度对比明细表</w:t>
      </w:r>
    </w:p>
    <w:p>
      <w:pPr>
        <w:jc w:val="right"/>
        <w:rPr>
          <w:rFonts w:asciiTheme="minorEastAsia" w:hAnsiTheme="minorEastAsia"/>
          <w:sz w:val="28"/>
          <w:szCs w:val="28"/>
        </w:rPr>
      </w:pPr>
      <w:r>
        <w:rPr>
          <w:rFonts w:hint="eastAsia" w:asciiTheme="minorEastAsia" w:hAnsiTheme="minor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2017年与2016年对比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0" w:type="dxa"/>
            <w:vAlign w:val="center"/>
          </w:tcPr>
          <w:p>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1" w:type="dxa"/>
            <w:vAlign w:val="center"/>
          </w:tcPr>
          <w:p>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6.6</w:t>
            </w:r>
          </w:p>
        </w:tc>
        <w:tc>
          <w:tcPr>
            <w:tcW w:w="2130" w:type="dxa"/>
            <w:vAlign w:val="center"/>
          </w:tcPr>
          <w:p>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1.91</w:t>
            </w:r>
          </w:p>
        </w:tc>
        <w:tc>
          <w:tcPr>
            <w:tcW w:w="2131" w:type="dxa"/>
            <w:vAlign w:val="center"/>
          </w:tcPr>
          <w:p>
            <w:pPr>
              <w:jc w:val="center"/>
              <w:rPr>
                <w:rFonts w:hint="eastAsia" w:asciiTheme="minorEastAsia" w:hAnsiTheme="minorEastAsia" w:eastAsiaTheme="minorEastAsia"/>
                <w:sz w:val="24"/>
                <w:szCs w:val="24"/>
                <w:lang w:val="en-US" w:eastAsia="zh-CN"/>
              </w:rPr>
            </w:pPr>
            <w:r>
              <w:rPr>
                <w:rFonts w:asciiTheme="minorEastAsia" w:hAnsiTheme="minorEastAsia"/>
                <w:sz w:val="24"/>
                <w:szCs w:val="24"/>
              </w:rPr>
              <w:t>-</w:t>
            </w:r>
            <w:r>
              <w:rPr>
                <w:rFonts w:hint="eastAsia" w:asciiTheme="minorEastAsia" w:hAnsiTheme="minorEastAsia"/>
                <w:sz w:val="24"/>
                <w:szCs w:val="24"/>
                <w:lang w:val="en-US" w:eastAsia="zh-CN"/>
              </w:rPr>
              <w:t>4.69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0" w:type="dxa"/>
            <w:vAlign w:val="center"/>
          </w:tcPr>
          <w:p>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1" w:type="dxa"/>
            <w:vAlign w:val="center"/>
          </w:tcPr>
          <w:p>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6.6</w:t>
            </w:r>
          </w:p>
        </w:tc>
        <w:tc>
          <w:tcPr>
            <w:tcW w:w="2130" w:type="dxa"/>
            <w:vAlign w:val="center"/>
          </w:tcPr>
          <w:p>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1.91</w:t>
            </w:r>
          </w:p>
        </w:tc>
        <w:tc>
          <w:tcPr>
            <w:tcW w:w="2131" w:type="dxa"/>
            <w:vAlign w:val="center"/>
          </w:tcPr>
          <w:p>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rPr>
              <w:t>-</w:t>
            </w:r>
            <w:r>
              <w:rPr>
                <w:rFonts w:hint="eastAsia" w:asciiTheme="minorEastAsia" w:hAnsiTheme="minorEastAsia"/>
                <w:sz w:val="24"/>
                <w:szCs w:val="24"/>
                <w:lang w:val="en-US" w:eastAsia="zh-CN"/>
              </w:rPr>
              <w:t>4.69</w:t>
            </w:r>
          </w:p>
        </w:tc>
      </w:tr>
    </w:tbl>
    <w:p>
      <w:pPr>
        <w:ind w:firstLine="640" w:firstLineChars="200"/>
        <w:rPr>
          <w:rFonts w:asciiTheme="minorEastAsia" w:hAnsiTheme="minorEastAsia"/>
          <w:sz w:val="32"/>
          <w:szCs w:val="32"/>
        </w:rPr>
      </w:pPr>
      <w:r>
        <w:rPr>
          <w:rFonts w:hint="eastAsia" w:asciiTheme="minorEastAsia" w:hAnsiTheme="minorEastAsia"/>
          <w:sz w:val="32"/>
          <w:szCs w:val="32"/>
        </w:rPr>
        <w:t>2017年度， 一般公共预算财政拨款“ 三公” 经费实际支出，与预算对比，减少</w:t>
      </w:r>
      <w:r>
        <w:rPr>
          <w:rFonts w:hint="eastAsia" w:asciiTheme="minorEastAsia" w:hAnsiTheme="minorEastAsia"/>
          <w:sz w:val="32"/>
          <w:szCs w:val="32"/>
          <w:lang w:val="en-US" w:eastAsia="zh-CN"/>
        </w:rPr>
        <w:t>4.69</w:t>
      </w:r>
      <w:r>
        <w:rPr>
          <w:rFonts w:hint="eastAsia" w:asciiTheme="minorEastAsia" w:hAnsiTheme="minorEastAsia"/>
          <w:sz w:val="32"/>
          <w:szCs w:val="32"/>
        </w:rPr>
        <w:t>万元。其中因公出国（境）费减少</w:t>
      </w:r>
      <w:r>
        <w:rPr>
          <w:rFonts w:hint="eastAsia" w:asciiTheme="minorEastAsia" w:hAnsiTheme="minorEastAsia"/>
          <w:sz w:val="32"/>
          <w:szCs w:val="32"/>
          <w:lang w:val="en-US" w:eastAsia="zh-CN"/>
        </w:rPr>
        <w:t>0</w:t>
      </w:r>
      <w:r>
        <w:rPr>
          <w:rFonts w:hint="eastAsia" w:asciiTheme="minorEastAsia" w:hAnsiTheme="minorEastAsia"/>
          <w:sz w:val="32"/>
          <w:szCs w:val="32"/>
        </w:rPr>
        <w:t>万元，公务用车运行维护费减少</w:t>
      </w:r>
      <w:r>
        <w:rPr>
          <w:rFonts w:hint="eastAsia" w:asciiTheme="minorEastAsia" w:hAnsiTheme="minorEastAsia"/>
          <w:sz w:val="32"/>
          <w:szCs w:val="32"/>
          <w:lang w:val="en-US" w:eastAsia="zh-CN"/>
        </w:rPr>
        <w:t>4.69</w:t>
      </w:r>
      <w:r>
        <w:rPr>
          <w:rFonts w:hint="eastAsia" w:asciiTheme="minorEastAsia" w:hAnsiTheme="minorEastAsia"/>
          <w:sz w:val="32"/>
          <w:szCs w:val="32"/>
        </w:rPr>
        <w:t>万元，接待费减少</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pPr>
        <w:rPr>
          <w:b/>
          <w:sz w:val="32"/>
          <w:szCs w:val="32"/>
        </w:rPr>
      </w:pPr>
      <w:r>
        <w:rPr>
          <w:rFonts w:hint="eastAsia"/>
          <w:b/>
          <w:sz w:val="32"/>
          <w:szCs w:val="32"/>
        </w:rPr>
        <w:t>2017年度“ 三公” 经费支出预决算对比明细表</w:t>
      </w:r>
    </w:p>
    <w:p>
      <w:pPr>
        <w:jc w:val="right"/>
        <w:rPr>
          <w:sz w:val="28"/>
          <w:szCs w:val="28"/>
        </w:rPr>
      </w:pPr>
      <w:r>
        <w:rPr>
          <w:rFonts w:hint="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sz w:val="24"/>
                <w:szCs w:val="24"/>
              </w:rPr>
            </w:pPr>
            <w:r>
              <w:rPr>
                <w:rFonts w:hint="eastAsia"/>
                <w:sz w:val="24"/>
                <w:szCs w:val="24"/>
              </w:rPr>
              <w:t>“ 三公” 经费</w:t>
            </w:r>
          </w:p>
        </w:tc>
        <w:tc>
          <w:tcPr>
            <w:tcW w:w="2131" w:type="dxa"/>
            <w:vAlign w:val="center"/>
          </w:tcPr>
          <w:p>
            <w:pPr>
              <w:jc w:val="center"/>
              <w:rPr>
                <w:b/>
                <w:sz w:val="24"/>
                <w:szCs w:val="24"/>
              </w:rPr>
            </w:pPr>
            <w:r>
              <w:rPr>
                <w:rFonts w:hint="eastAsia"/>
                <w:sz w:val="24"/>
                <w:szCs w:val="24"/>
              </w:rPr>
              <w:t>2017年实际支出</w:t>
            </w:r>
          </w:p>
        </w:tc>
        <w:tc>
          <w:tcPr>
            <w:tcW w:w="2130" w:type="dxa"/>
            <w:vAlign w:val="center"/>
          </w:tcPr>
          <w:p>
            <w:pPr>
              <w:jc w:val="center"/>
              <w:rPr>
                <w:sz w:val="24"/>
                <w:szCs w:val="24"/>
              </w:rPr>
            </w:pPr>
            <w:r>
              <w:rPr>
                <w:rFonts w:hint="eastAsia"/>
                <w:sz w:val="24"/>
                <w:szCs w:val="24"/>
              </w:rPr>
              <w:t>2017年预算</w:t>
            </w:r>
          </w:p>
        </w:tc>
        <w:tc>
          <w:tcPr>
            <w:tcW w:w="2131" w:type="dxa"/>
            <w:vAlign w:val="center"/>
          </w:tcPr>
          <w:p>
            <w:pPr>
              <w:jc w:val="center"/>
              <w:rPr>
                <w:b/>
                <w:sz w:val="24"/>
                <w:szCs w:val="24"/>
              </w:rPr>
            </w:pPr>
            <w:r>
              <w:rPr>
                <w:rFonts w:hint="eastAsia"/>
                <w:sz w:val="24"/>
                <w:szCs w:val="24"/>
              </w:rPr>
              <w:t>预决算对比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sz w:val="24"/>
                <w:szCs w:val="24"/>
              </w:rPr>
            </w:pPr>
            <w:r>
              <w:rPr>
                <w:rFonts w:hint="eastAsia"/>
                <w:sz w:val="24"/>
                <w:szCs w:val="24"/>
              </w:rPr>
              <w:t>因公出国（境）支出</w:t>
            </w:r>
          </w:p>
        </w:tc>
        <w:tc>
          <w:tcPr>
            <w:tcW w:w="2131" w:type="dxa"/>
            <w:vAlign w:val="center"/>
          </w:tcPr>
          <w:p>
            <w:pPr>
              <w:jc w:val="center"/>
              <w:rPr>
                <w:sz w:val="24"/>
                <w:szCs w:val="24"/>
              </w:rPr>
            </w:pPr>
            <w:r>
              <w:rPr>
                <w:rFonts w:hint="eastAsia" w:asciiTheme="minorEastAsia" w:hAnsiTheme="minorEastAsia"/>
                <w:sz w:val="24"/>
                <w:szCs w:val="24"/>
                <w:lang w:val="en-US" w:eastAsia="zh-CN"/>
              </w:rPr>
              <w:t>0</w:t>
            </w:r>
          </w:p>
        </w:tc>
        <w:tc>
          <w:tcPr>
            <w:tcW w:w="2130" w:type="dxa"/>
            <w:vAlign w:val="center"/>
          </w:tcPr>
          <w:p>
            <w:pPr>
              <w:jc w:val="center"/>
              <w:rPr>
                <w:sz w:val="24"/>
                <w:szCs w:val="24"/>
              </w:rPr>
            </w:pPr>
            <w:r>
              <w:rPr>
                <w:rFonts w:hint="eastAsia" w:asciiTheme="minorEastAsia" w:hAnsiTheme="minorEastAsia"/>
                <w:sz w:val="24"/>
                <w:szCs w:val="24"/>
                <w:lang w:val="en-US" w:eastAsia="zh-CN"/>
              </w:rPr>
              <w:t>0</w:t>
            </w:r>
          </w:p>
        </w:tc>
        <w:tc>
          <w:tcPr>
            <w:tcW w:w="2131" w:type="dxa"/>
            <w:vAlign w:val="center"/>
          </w:tcPr>
          <w:p>
            <w:pPr>
              <w:jc w:val="center"/>
              <w:rPr>
                <w:sz w:val="24"/>
                <w:szCs w:val="24"/>
              </w:rPr>
            </w:pPr>
            <w:r>
              <w:rPr>
                <w:rFonts w:hint="eastAsia" w:asciiTheme="minorEastAsia" w:hAnsiTheme="minorEastAsia"/>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sz w:val="24"/>
                <w:szCs w:val="24"/>
              </w:rPr>
            </w:pPr>
            <w:r>
              <w:rPr>
                <w:rFonts w:hint="eastAsia"/>
                <w:sz w:val="24"/>
                <w:szCs w:val="24"/>
              </w:rPr>
              <w:t>公务用车运行维护费</w:t>
            </w:r>
          </w:p>
        </w:tc>
        <w:tc>
          <w:tcPr>
            <w:tcW w:w="2131" w:type="dxa"/>
            <w:vAlign w:val="center"/>
          </w:tcPr>
          <w:p>
            <w:pPr>
              <w:jc w:val="center"/>
              <w:rPr>
                <w:sz w:val="24"/>
                <w:szCs w:val="24"/>
                <w:lang w:val="en-US"/>
              </w:rPr>
            </w:pPr>
            <w:r>
              <w:rPr>
                <w:rFonts w:hint="eastAsia" w:asciiTheme="minorEastAsia" w:hAnsiTheme="minorEastAsia"/>
                <w:sz w:val="24"/>
                <w:szCs w:val="24"/>
                <w:lang w:val="en-US" w:eastAsia="zh-CN"/>
              </w:rPr>
              <w:t>1.91</w:t>
            </w:r>
          </w:p>
        </w:tc>
        <w:tc>
          <w:tcPr>
            <w:tcW w:w="2130" w:type="dxa"/>
            <w:vAlign w:val="center"/>
          </w:tcPr>
          <w:p>
            <w:pPr>
              <w:jc w:val="center"/>
              <w:rPr>
                <w:sz w:val="24"/>
                <w:szCs w:val="24"/>
                <w:lang w:val="en-US"/>
              </w:rPr>
            </w:pPr>
            <w:r>
              <w:rPr>
                <w:rFonts w:hint="eastAsia" w:asciiTheme="minorEastAsia" w:hAnsiTheme="minorEastAsia"/>
                <w:sz w:val="24"/>
                <w:szCs w:val="24"/>
                <w:lang w:val="en-US" w:eastAsia="zh-CN"/>
              </w:rPr>
              <w:t>6.6</w:t>
            </w:r>
          </w:p>
        </w:tc>
        <w:tc>
          <w:tcPr>
            <w:tcW w:w="2131" w:type="dxa"/>
            <w:vAlign w:val="center"/>
          </w:tcPr>
          <w:p>
            <w:pPr>
              <w:jc w:val="center"/>
              <w:rPr>
                <w:sz w:val="24"/>
                <w:szCs w:val="24"/>
              </w:rPr>
            </w:pPr>
            <w:r>
              <w:rPr>
                <w:rFonts w:asciiTheme="minorEastAsia" w:hAnsiTheme="minorEastAsia"/>
                <w:sz w:val="24"/>
                <w:szCs w:val="24"/>
              </w:rPr>
              <w:t>-</w:t>
            </w:r>
            <w:r>
              <w:rPr>
                <w:rFonts w:hint="eastAsia" w:asciiTheme="minorEastAsia" w:hAnsiTheme="minorEastAsia"/>
                <w:sz w:val="24"/>
                <w:szCs w:val="24"/>
                <w:lang w:val="en-US" w:eastAsia="zh-CN"/>
              </w:rPr>
              <w:t>4.69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2130" w:type="dxa"/>
            <w:vAlign w:val="center"/>
          </w:tcPr>
          <w:p>
            <w:pPr>
              <w:jc w:val="center"/>
              <w:rPr>
                <w:sz w:val="24"/>
                <w:szCs w:val="24"/>
              </w:rPr>
            </w:pPr>
            <w:r>
              <w:rPr>
                <w:rFonts w:hint="eastAsia"/>
                <w:sz w:val="24"/>
                <w:szCs w:val="24"/>
              </w:rPr>
              <w:t>公务接待费</w:t>
            </w:r>
          </w:p>
        </w:tc>
        <w:tc>
          <w:tcPr>
            <w:tcW w:w="2131" w:type="dxa"/>
            <w:vAlign w:val="center"/>
          </w:tcPr>
          <w:p>
            <w:pPr>
              <w:jc w:val="center"/>
              <w:rPr>
                <w:sz w:val="24"/>
                <w:szCs w:val="24"/>
              </w:rPr>
            </w:pPr>
            <w:r>
              <w:rPr>
                <w:rFonts w:hint="eastAsia" w:asciiTheme="minorEastAsia" w:hAnsiTheme="minorEastAsia"/>
                <w:sz w:val="24"/>
                <w:szCs w:val="24"/>
                <w:lang w:val="en-US" w:eastAsia="zh-CN"/>
              </w:rPr>
              <w:t>0</w:t>
            </w:r>
          </w:p>
        </w:tc>
        <w:tc>
          <w:tcPr>
            <w:tcW w:w="2130" w:type="dxa"/>
            <w:vAlign w:val="center"/>
          </w:tcPr>
          <w:p>
            <w:pPr>
              <w:jc w:val="center"/>
              <w:rPr>
                <w:sz w:val="24"/>
                <w:szCs w:val="24"/>
              </w:rPr>
            </w:pPr>
            <w:r>
              <w:rPr>
                <w:rFonts w:hint="eastAsia" w:asciiTheme="minorEastAsia" w:hAnsiTheme="minorEastAsia"/>
                <w:sz w:val="24"/>
                <w:szCs w:val="24"/>
                <w:lang w:val="en-US" w:eastAsia="zh-CN"/>
              </w:rPr>
              <w:t>0</w:t>
            </w:r>
          </w:p>
        </w:tc>
        <w:tc>
          <w:tcPr>
            <w:tcW w:w="2131" w:type="dxa"/>
            <w:vAlign w:val="center"/>
          </w:tcPr>
          <w:p>
            <w:pPr>
              <w:jc w:val="center"/>
              <w:rPr>
                <w:sz w:val="24"/>
                <w:szCs w:val="24"/>
              </w:rPr>
            </w:pPr>
            <w:r>
              <w:rPr>
                <w:rFonts w:hint="eastAsia" w:asciiTheme="minorEastAsia" w:hAnsiTheme="minorEastAsia"/>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130" w:type="dxa"/>
            <w:vAlign w:val="center"/>
          </w:tcPr>
          <w:p>
            <w:pPr>
              <w:jc w:val="center"/>
              <w:rPr>
                <w:sz w:val="24"/>
                <w:szCs w:val="24"/>
              </w:rPr>
            </w:pPr>
            <w:r>
              <w:rPr>
                <w:rFonts w:hint="eastAsia"/>
                <w:sz w:val="24"/>
                <w:szCs w:val="24"/>
              </w:rPr>
              <w:t>合计</w:t>
            </w:r>
          </w:p>
        </w:tc>
        <w:tc>
          <w:tcPr>
            <w:tcW w:w="2131" w:type="dxa"/>
            <w:vAlign w:val="center"/>
          </w:tcPr>
          <w:p>
            <w:pPr>
              <w:jc w:val="center"/>
              <w:rPr>
                <w:sz w:val="24"/>
                <w:szCs w:val="24"/>
                <w:lang w:val="en-US"/>
              </w:rPr>
            </w:pPr>
            <w:r>
              <w:rPr>
                <w:rFonts w:hint="eastAsia" w:asciiTheme="minorEastAsia" w:hAnsiTheme="minorEastAsia"/>
                <w:sz w:val="24"/>
                <w:szCs w:val="24"/>
                <w:lang w:val="en-US" w:eastAsia="zh-CN"/>
              </w:rPr>
              <w:t>1.91</w:t>
            </w:r>
          </w:p>
        </w:tc>
        <w:tc>
          <w:tcPr>
            <w:tcW w:w="2130" w:type="dxa"/>
            <w:vAlign w:val="center"/>
          </w:tcPr>
          <w:p>
            <w:pPr>
              <w:jc w:val="center"/>
              <w:rPr>
                <w:sz w:val="24"/>
                <w:szCs w:val="24"/>
                <w:lang w:val="en-US"/>
              </w:rPr>
            </w:pPr>
            <w:r>
              <w:rPr>
                <w:rFonts w:hint="eastAsia" w:asciiTheme="minorEastAsia" w:hAnsiTheme="minorEastAsia"/>
                <w:sz w:val="24"/>
                <w:szCs w:val="24"/>
                <w:lang w:val="en-US" w:eastAsia="zh-CN"/>
              </w:rPr>
              <w:t>6.6</w:t>
            </w:r>
          </w:p>
        </w:tc>
        <w:tc>
          <w:tcPr>
            <w:tcW w:w="2131" w:type="dxa"/>
            <w:vAlign w:val="center"/>
          </w:tcPr>
          <w:p>
            <w:pPr>
              <w:jc w:val="center"/>
              <w:rPr>
                <w:sz w:val="24"/>
                <w:szCs w:val="24"/>
              </w:rPr>
            </w:pPr>
            <w:r>
              <w:rPr>
                <w:rFonts w:hint="eastAsia" w:asciiTheme="minorEastAsia" w:hAnsiTheme="minorEastAsia"/>
                <w:sz w:val="24"/>
                <w:szCs w:val="24"/>
              </w:rPr>
              <w:t>-</w:t>
            </w:r>
            <w:r>
              <w:rPr>
                <w:rFonts w:hint="eastAsia" w:asciiTheme="minorEastAsia" w:hAnsiTheme="minorEastAsia"/>
                <w:sz w:val="24"/>
                <w:szCs w:val="24"/>
                <w:lang w:val="en-US" w:eastAsia="zh-CN"/>
              </w:rPr>
              <w:t>4.69</w:t>
            </w:r>
          </w:p>
        </w:tc>
      </w:tr>
    </w:tbl>
    <w:p>
      <w:pPr>
        <w:numPr>
          <w:ilvl w:val="0"/>
          <w:numId w:val="1"/>
        </w:numPr>
        <w:ind w:firstLine="642" w:firstLineChars="200"/>
        <w:rPr>
          <w:rFonts w:hint="eastAsia" w:asciiTheme="minorEastAsia" w:hAnsiTheme="minorEastAsia"/>
          <w:sz w:val="32"/>
          <w:szCs w:val="32"/>
          <w:lang w:eastAsia="zh-CN"/>
        </w:rPr>
      </w:pPr>
      <w:r>
        <w:rPr>
          <w:rFonts w:hint="eastAsia" w:asciiTheme="minorEastAsia" w:hAnsiTheme="minorEastAsia"/>
          <w:b/>
          <w:sz w:val="32"/>
          <w:szCs w:val="32"/>
        </w:rPr>
        <w:t>因公出国（ 境）支出</w:t>
      </w:r>
      <w:r>
        <w:rPr>
          <w:rFonts w:hint="eastAsia" w:asciiTheme="minorEastAsia" w:hAnsiTheme="minorEastAsia"/>
          <w:b/>
          <w:sz w:val="32"/>
          <w:szCs w:val="32"/>
          <w:lang w:val="en-US" w:eastAsia="zh-CN"/>
        </w:rPr>
        <w:t>0</w:t>
      </w:r>
      <w:r>
        <w:rPr>
          <w:rFonts w:hint="eastAsia" w:asciiTheme="minorEastAsia" w:hAnsiTheme="minorEastAsia"/>
          <w:b/>
          <w:sz w:val="32"/>
          <w:szCs w:val="32"/>
        </w:rPr>
        <w:t>万元。</w:t>
      </w:r>
      <w:r>
        <w:rPr>
          <w:rFonts w:hint="eastAsia" w:asciiTheme="minorEastAsia" w:hAnsiTheme="minorEastAsia"/>
          <w:sz w:val="28"/>
          <w:szCs w:val="28"/>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单位无人员</w:t>
      </w:r>
      <w:r>
        <w:rPr>
          <w:rFonts w:hint="eastAsia" w:asciiTheme="minorEastAsia" w:hAnsiTheme="minorEastAsia"/>
          <w:sz w:val="32"/>
          <w:szCs w:val="32"/>
        </w:rPr>
        <w:t>参加其他单位组织的因公出国（境）</w:t>
      </w:r>
      <w:r>
        <w:rPr>
          <w:rFonts w:hint="eastAsia" w:asciiTheme="minorEastAsia" w:hAnsiTheme="minorEastAsia"/>
          <w:sz w:val="32"/>
          <w:szCs w:val="32"/>
          <w:lang w:eastAsia="zh-CN"/>
        </w:rPr>
        <w:t>的人员。</w:t>
      </w:r>
    </w:p>
    <w:p>
      <w:pPr>
        <w:numPr>
          <w:ilvl w:val="0"/>
          <w:numId w:val="1"/>
        </w:numPr>
        <w:ind w:firstLine="642" w:firstLineChars="200"/>
        <w:rPr>
          <w:rFonts w:asciiTheme="minorEastAsia" w:hAnsiTheme="minorEastAsia"/>
          <w:sz w:val="32"/>
          <w:szCs w:val="32"/>
        </w:rPr>
      </w:pPr>
      <w:r>
        <w:rPr>
          <w:rFonts w:hint="eastAsia" w:asciiTheme="minorEastAsia" w:hAnsiTheme="minorEastAsia"/>
          <w:b/>
          <w:sz w:val="32"/>
          <w:szCs w:val="32"/>
        </w:rPr>
        <w:t>（二）公务用车运行维护费支出</w:t>
      </w:r>
      <w:r>
        <w:rPr>
          <w:rFonts w:hint="eastAsia" w:asciiTheme="minorEastAsia" w:hAnsiTheme="minorEastAsia"/>
          <w:b/>
          <w:sz w:val="32"/>
          <w:szCs w:val="32"/>
          <w:lang w:val="en-US" w:eastAsia="zh-CN"/>
        </w:rPr>
        <w:t>1.91</w:t>
      </w:r>
      <w:r>
        <w:rPr>
          <w:rFonts w:hint="eastAsia" w:asciiTheme="minorEastAsia" w:hAnsiTheme="minorEastAsia"/>
          <w:b/>
          <w:sz w:val="32"/>
          <w:szCs w:val="32"/>
        </w:rPr>
        <w:t>万元。</w:t>
      </w:r>
      <w:r>
        <w:rPr>
          <w:rFonts w:hint="eastAsia"/>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单位</w:t>
      </w:r>
      <w:r>
        <w:rPr>
          <w:rFonts w:hint="eastAsia" w:asciiTheme="minorEastAsia" w:hAnsiTheme="minorEastAsia"/>
          <w:sz w:val="32"/>
          <w:szCs w:val="32"/>
        </w:rPr>
        <w:t>公务用车保有量</w:t>
      </w:r>
      <w:r>
        <w:rPr>
          <w:rFonts w:hint="eastAsia" w:asciiTheme="minorEastAsia" w:hAnsiTheme="minorEastAsia"/>
          <w:sz w:val="32"/>
          <w:szCs w:val="32"/>
          <w:lang w:val="en-US" w:eastAsia="zh-CN"/>
        </w:rPr>
        <w:t>3</w:t>
      </w:r>
      <w:r>
        <w:rPr>
          <w:rFonts w:hint="eastAsia" w:asciiTheme="minorEastAsia" w:hAnsiTheme="minorEastAsia"/>
          <w:sz w:val="32"/>
          <w:szCs w:val="32"/>
        </w:rPr>
        <w:t>辆。与2016年度相比，公务用车运行维护费减少</w:t>
      </w:r>
      <w:r>
        <w:rPr>
          <w:rFonts w:hint="eastAsia" w:asciiTheme="minorEastAsia" w:hAnsiTheme="minorEastAsia"/>
          <w:sz w:val="32"/>
          <w:szCs w:val="32"/>
          <w:lang w:val="en-US" w:eastAsia="zh-CN"/>
        </w:rPr>
        <w:t>4.69</w:t>
      </w:r>
      <w:r>
        <w:rPr>
          <w:rFonts w:hint="eastAsia" w:asciiTheme="minorEastAsia" w:hAnsiTheme="minorEastAsia"/>
          <w:sz w:val="32"/>
          <w:szCs w:val="32"/>
        </w:rPr>
        <w:t>万元，减少</w:t>
      </w:r>
      <w:r>
        <w:rPr>
          <w:rFonts w:hint="eastAsia" w:asciiTheme="minorEastAsia" w:hAnsiTheme="minorEastAsia"/>
          <w:sz w:val="32"/>
          <w:szCs w:val="32"/>
          <w:lang w:val="en-US" w:eastAsia="zh-CN"/>
        </w:rPr>
        <w:t>71.1</w:t>
      </w:r>
      <w:r>
        <w:rPr>
          <w:rFonts w:hint="eastAsia" w:asciiTheme="minorEastAsia" w:hAnsiTheme="minorEastAsia"/>
          <w:sz w:val="32"/>
          <w:szCs w:val="32"/>
        </w:rPr>
        <w:t>%；与年初预算相比， 减少</w:t>
      </w:r>
      <w:r>
        <w:rPr>
          <w:rFonts w:hint="eastAsia" w:asciiTheme="minorEastAsia" w:hAnsiTheme="minorEastAsia"/>
          <w:sz w:val="32"/>
          <w:szCs w:val="32"/>
          <w:lang w:val="en-US" w:eastAsia="zh-CN"/>
        </w:rPr>
        <w:t>4.69</w:t>
      </w:r>
      <w:r>
        <w:rPr>
          <w:rFonts w:hint="eastAsia" w:asciiTheme="minorEastAsia" w:hAnsiTheme="minorEastAsia"/>
          <w:sz w:val="32"/>
          <w:szCs w:val="32"/>
        </w:rPr>
        <w:t>万元，减少</w:t>
      </w:r>
      <w:r>
        <w:rPr>
          <w:rFonts w:hint="eastAsia" w:asciiTheme="minorEastAsia" w:hAnsiTheme="minorEastAsia"/>
          <w:sz w:val="32"/>
          <w:szCs w:val="32"/>
          <w:lang w:val="en-US" w:eastAsia="zh-CN"/>
        </w:rPr>
        <w:t>71.1</w:t>
      </w:r>
      <w:r>
        <w:rPr>
          <w:rFonts w:hint="eastAsia" w:asciiTheme="minorEastAsia" w:hAnsiTheme="minorEastAsia"/>
          <w:sz w:val="32"/>
          <w:szCs w:val="32"/>
        </w:rPr>
        <w:t>%。主要原因：一是加强公务用车管理，切实压缩公务用车费用支出； 二是2017年</w:t>
      </w:r>
      <w:r>
        <w:rPr>
          <w:rFonts w:hint="eastAsia" w:asciiTheme="minorEastAsia" w:hAnsiTheme="minorEastAsia"/>
          <w:sz w:val="32"/>
          <w:szCs w:val="32"/>
          <w:lang w:val="en-US" w:eastAsia="zh-CN"/>
        </w:rPr>
        <w:t>10</w:t>
      </w:r>
      <w:r>
        <w:rPr>
          <w:rFonts w:hint="eastAsia" w:asciiTheme="minorEastAsia" w:hAnsiTheme="minorEastAsia"/>
          <w:sz w:val="32"/>
          <w:szCs w:val="32"/>
        </w:rPr>
        <w:t>月以后， 国一国二标准车辆限行，公务用车使用受到限制，费用也相应降低。我</w:t>
      </w:r>
      <w:r>
        <w:rPr>
          <w:rFonts w:hint="eastAsia" w:asciiTheme="minorEastAsia" w:hAnsiTheme="minorEastAsia"/>
          <w:sz w:val="32"/>
          <w:szCs w:val="32"/>
          <w:lang w:eastAsia="zh-CN"/>
        </w:rPr>
        <w:t>单位</w:t>
      </w:r>
      <w:r>
        <w:rPr>
          <w:rFonts w:hint="eastAsia" w:asciiTheme="minorEastAsia" w:hAnsiTheme="minorEastAsia"/>
          <w:sz w:val="32"/>
          <w:szCs w:val="32"/>
        </w:rPr>
        <w:t>2017年度没有购置公务用车，未发生公务用车购置费</w:t>
      </w:r>
      <w:r>
        <w:rPr>
          <w:rFonts w:hint="eastAsia" w:asciiTheme="minorEastAsia" w:hAnsiTheme="minorEastAsia"/>
          <w:sz w:val="32"/>
          <w:szCs w:val="32"/>
          <w:lang w:eastAsia="zh-CN"/>
        </w:rPr>
        <w:t>。</w:t>
      </w:r>
    </w:p>
    <w:p>
      <w:pPr>
        <w:ind w:firstLine="642" w:firstLineChars="200"/>
        <w:rPr>
          <w:rFonts w:asciiTheme="minorEastAsia" w:hAnsiTheme="minorEastAsia"/>
          <w:sz w:val="32"/>
          <w:szCs w:val="32"/>
        </w:rPr>
      </w:pPr>
      <w:r>
        <w:rPr>
          <w:rFonts w:hint="eastAsia" w:asciiTheme="minorEastAsia" w:hAnsiTheme="minorEastAsia"/>
          <w:b/>
          <w:sz w:val="32"/>
          <w:szCs w:val="32"/>
        </w:rPr>
        <w:t>（三）公务接待费支出</w:t>
      </w:r>
      <w:r>
        <w:rPr>
          <w:rFonts w:hint="eastAsia" w:asciiTheme="minorEastAsia" w:hAnsiTheme="minorEastAsia"/>
          <w:b/>
          <w:sz w:val="32"/>
          <w:szCs w:val="32"/>
          <w:lang w:val="en-US" w:eastAsia="zh-CN"/>
        </w:rPr>
        <w:t>0</w:t>
      </w:r>
      <w:r>
        <w:rPr>
          <w:rFonts w:hint="eastAsia" w:asciiTheme="minorEastAsia" w:hAnsiTheme="minorEastAsia"/>
          <w:b/>
          <w:sz w:val="32"/>
          <w:szCs w:val="32"/>
        </w:rPr>
        <w:t>万元。</w:t>
      </w:r>
      <w:r>
        <w:rPr>
          <w:rFonts w:hint="eastAsia" w:asciiTheme="minorEastAsia" w:hAnsiTheme="minorEastAsia"/>
          <w:sz w:val="32"/>
          <w:szCs w:val="32"/>
        </w:rPr>
        <w:t>本年度公务接待</w:t>
      </w:r>
      <w:r>
        <w:rPr>
          <w:rFonts w:hint="eastAsia" w:asciiTheme="minorEastAsia" w:hAnsiTheme="minorEastAsia"/>
          <w:sz w:val="32"/>
          <w:szCs w:val="32"/>
          <w:lang w:val="en-US" w:eastAsia="zh-CN"/>
        </w:rPr>
        <w:t>0</w:t>
      </w:r>
      <w:r>
        <w:rPr>
          <w:rFonts w:hint="eastAsia" w:asciiTheme="minorEastAsia" w:hAnsiTheme="minorEastAsia"/>
          <w:sz w:val="32"/>
          <w:szCs w:val="32"/>
        </w:rPr>
        <w:t>次，公务接待费下降的原因主要是，</w:t>
      </w:r>
      <w:r>
        <w:rPr>
          <w:rFonts w:hint="eastAsia" w:asciiTheme="minorEastAsia" w:hAnsiTheme="minorEastAsia"/>
          <w:sz w:val="32"/>
          <w:szCs w:val="32"/>
          <w:lang w:eastAsia="zh-CN"/>
        </w:rPr>
        <w:t>落实中央</w:t>
      </w:r>
      <w:bookmarkStart w:id="0" w:name="_GoBack"/>
      <w:bookmarkEnd w:id="0"/>
      <w:r>
        <w:rPr>
          <w:rFonts w:hint="eastAsia" w:asciiTheme="minorEastAsia" w:hAnsiTheme="minorEastAsia"/>
          <w:sz w:val="32"/>
          <w:szCs w:val="32"/>
          <w:lang w:eastAsia="zh-CN"/>
        </w:rPr>
        <w:t>八项规定，</w:t>
      </w:r>
      <w:r>
        <w:rPr>
          <w:rFonts w:hint="eastAsia" w:asciiTheme="minorEastAsia" w:hAnsiTheme="minorEastAsia"/>
          <w:sz w:val="32"/>
          <w:szCs w:val="32"/>
        </w:rPr>
        <w:t>从严</w:t>
      </w:r>
      <w:r>
        <w:rPr>
          <w:rFonts w:hint="eastAsia" w:asciiTheme="minorEastAsia" w:hAnsiTheme="minorEastAsia"/>
          <w:sz w:val="32"/>
          <w:szCs w:val="32"/>
          <w:lang w:eastAsia="zh-CN"/>
        </w:rPr>
        <w:t>执行</w:t>
      </w:r>
      <w:r>
        <w:rPr>
          <w:rFonts w:hint="eastAsia" w:asciiTheme="minorEastAsia" w:hAnsiTheme="minorEastAsia"/>
          <w:sz w:val="32"/>
          <w:szCs w:val="32"/>
        </w:rPr>
        <w:t>公务接待有关规定</w:t>
      </w:r>
      <w:r>
        <w:rPr>
          <w:rFonts w:hint="eastAsia" w:asciiTheme="minorEastAsia" w:hAnsiTheme="minorEastAsia"/>
          <w:sz w:val="32"/>
          <w:szCs w:val="32"/>
          <w:lang w:eastAsia="zh-CN"/>
        </w:rPr>
        <w:t>。</w:t>
      </w:r>
    </w:p>
    <w:p>
      <w:pPr>
        <w:pStyle w:val="3"/>
        <w:spacing w:before="0" w:after="0" w:line="500" w:lineRule="exact"/>
        <w:ind w:firstLine="640" w:firstLineChars="200"/>
        <w:rPr>
          <w:rFonts w:hint="eastAsia" w:asciiTheme="minorEastAsia" w:hAnsiTheme="minorEastAsia" w:eastAsiaTheme="minorEastAsia" w:cstheme="minorBidi"/>
          <w:b w:val="0"/>
          <w:bCs w:val="0"/>
          <w:kern w:val="2"/>
          <w:sz w:val="32"/>
          <w:szCs w:val="32"/>
          <w:lang w:val="en-US" w:eastAsia="zh-CN" w:bidi="ar-SA"/>
        </w:rPr>
      </w:pPr>
      <w:r>
        <w:rPr>
          <w:rFonts w:hint="eastAsia" w:asciiTheme="minorEastAsia" w:hAnsiTheme="minorEastAsia" w:eastAsiaTheme="minorEastAsia" w:cstheme="minorBidi"/>
          <w:b w:val="0"/>
          <w:bCs w:val="0"/>
          <w:kern w:val="2"/>
          <w:sz w:val="32"/>
          <w:szCs w:val="32"/>
          <w:lang w:val="en-US" w:eastAsia="zh-CN" w:bidi="ar-SA"/>
        </w:rPr>
        <w:t>六、绩效预算管理工作开展情况说明</w:t>
      </w:r>
    </w:p>
    <w:p>
      <w:pPr>
        <w:adjustRightInd w:val="0"/>
        <w:snapToGrid w:val="0"/>
        <w:spacing w:after="0" w:line="500" w:lineRule="exact"/>
        <w:ind w:firstLine="640" w:firstLineChars="200"/>
        <w:rPr>
          <w:rFonts w:hint="eastAsia" w:asciiTheme="minorEastAsia" w:hAnsiTheme="minorEastAsia" w:eastAsiaTheme="minorEastAsia" w:cstheme="minorBidi"/>
          <w:b w:val="0"/>
          <w:bCs w:val="0"/>
          <w:kern w:val="2"/>
          <w:sz w:val="32"/>
          <w:szCs w:val="32"/>
          <w:lang w:val="en-US" w:eastAsia="zh-CN" w:bidi="ar-SA"/>
        </w:rPr>
      </w:pPr>
      <w:r>
        <w:rPr>
          <w:rFonts w:hint="eastAsia" w:asciiTheme="minorEastAsia" w:hAnsiTheme="minorEastAsia" w:eastAsiaTheme="minorEastAsia" w:cstheme="minorBidi"/>
          <w:b w:val="0"/>
          <w:bCs w:val="0"/>
          <w:kern w:val="2"/>
          <w:sz w:val="32"/>
          <w:szCs w:val="32"/>
          <w:lang w:val="en-US" w:eastAsia="zh-CN" w:bidi="ar-SA"/>
        </w:rPr>
        <w:t>（一）绩效管理工作开展情况</w:t>
      </w:r>
    </w:p>
    <w:p>
      <w:pPr>
        <w:numPr>
          <w:ilvl w:val="0"/>
          <w:numId w:val="0"/>
        </w:numPr>
        <w:spacing w:line="560" w:lineRule="exact"/>
        <w:ind w:firstLine="640" w:firstLineChars="200"/>
        <w:rPr>
          <w:rFonts w:hint="eastAsia" w:asciiTheme="minorEastAsia" w:hAnsiTheme="minorEastAsia" w:eastAsiaTheme="minorEastAsia" w:cstheme="minorBidi"/>
          <w:b w:val="0"/>
          <w:bCs w:val="0"/>
          <w:kern w:val="2"/>
          <w:sz w:val="32"/>
          <w:szCs w:val="32"/>
          <w:lang w:val="en-US" w:eastAsia="zh-CN" w:bidi="ar-SA"/>
        </w:rPr>
      </w:pPr>
      <w:r>
        <w:rPr>
          <w:rFonts w:hint="eastAsia" w:asciiTheme="minorEastAsia" w:hAnsiTheme="minorEastAsia" w:eastAsiaTheme="minorEastAsia" w:cstheme="minorBidi"/>
          <w:b w:val="0"/>
          <w:bCs w:val="0"/>
          <w:kern w:val="2"/>
          <w:sz w:val="32"/>
          <w:szCs w:val="32"/>
          <w:lang w:val="en-US" w:eastAsia="zh-CN" w:bidi="ar-SA"/>
        </w:rPr>
        <w:t>根据绩效预算管理改革督察要求，我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pPr>
        <w:numPr>
          <w:ilvl w:val="0"/>
          <w:numId w:val="0"/>
        </w:numPr>
        <w:spacing w:line="560" w:lineRule="exact"/>
        <w:ind w:firstLine="640" w:firstLineChars="200"/>
        <w:rPr>
          <w:rFonts w:hint="eastAsia" w:asciiTheme="minorEastAsia" w:hAnsiTheme="minorEastAsia" w:eastAsiaTheme="minorEastAsia" w:cstheme="minorBidi"/>
          <w:b w:val="0"/>
          <w:bCs w:val="0"/>
          <w:kern w:val="2"/>
          <w:sz w:val="32"/>
          <w:szCs w:val="32"/>
          <w:lang w:val="en-US" w:eastAsia="zh-CN" w:bidi="ar-SA"/>
        </w:rPr>
      </w:pPr>
      <w:r>
        <w:rPr>
          <w:rFonts w:hint="eastAsia" w:asciiTheme="minorEastAsia" w:hAnsiTheme="minorEastAsia" w:cstheme="minorBidi"/>
          <w:b w:val="0"/>
          <w:bCs w:val="0"/>
          <w:kern w:val="2"/>
          <w:sz w:val="32"/>
          <w:szCs w:val="32"/>
          <w:lang w:val="en-US" w:eastAsia="zh-CN" w:bidi="ar-SA"/>
        </w:rPr>
        <w:t>（二）</w:t>
      </w:r>
      <w:r>
        <w:rPr>
          <w:rFonts w:hint="eastAsia" w:asciiTheme="minorEastAsia" w:hAnsiTheme="minorEastAsia" w:eastAsiaTheme="minorEastAsia" w:cstheme="minorBidi"/>
          <w:b w:val="0"/>
          <w:bCs w:val="0"/>
          <w:kern w:val="2"/>
          <w:sz w:val="32"/>
          <w:szCs w:val="32"/>
          <w:lang w:val="en-US" w:eastAsia="zh-CN" w:bidi="ar-SA"/>
        </w:rPr>
        <w:t>预算项目绩效评价开展情况</w:t>
      </w:r>
    </w:p>
    <w:p>
      <w:pPr>
        <w:numPr>
          <w:ilvl w:val="0"/>
          <w:numId w:val="0"/>
        </w:numPr>
        <w:spacing w:line="560" w:lineRule="exact"/>
        <w:ind w:firstLine="640" w:firstLineChars="200"/>
        <w:rPr>
          <w:rFonts w:hint="eastAsia" w:asciiTheme="minorEastAsia" w:hAnsiTheme="minorEastAsia" w:eastAsiaTheme="minorEastAsia" w:cstheme="minorBidi"/>
          <w:b w:val="0"/>
          <w:bCs w:val="0"/>
          <w:kern w:val="2"/>
          <w:sz w:val="32"/>
          <w:szCs w:val="32"/>
          <w:lang w:val="en-US" w:eastAsia="zh-CN" w:bidi="ar-SA"/>
        </w:rPr>
      </w:pPr>
      <w:r>
        <w:rPr>
          <w:rFonts w:hint="eastAsia" w:asciiTheme="minorEastAsia" w:hAnsiTheme="minorEastAsia" w:eastAsiaTheme="minorEastAsia" w:cstheme="minorBidi"/>
          <w:b w:val="0"/>
          <w:bCs w:val="0"/>
          <w:kern w:val="2"/>
          <w:sz w:val="32"/>
          <w:szCs w:val="32"/>
          <w:lang w:val="en-US" w:eastAsia="zh-CN" w:bidi="ar-SA"/>
        </w:rPr>
        <w:t>根据预算绩效管理要求，本单位组织对2017年度一般公共预算项目支出全面开展绩效自评，涉及基本建设支出1个项目，涉及资金200万元。从评价情况看，评价结果为优秀的项目有0个，良好的项目有1个，一般的项目有0个。</w:t>
      </w:r>
    </w:p>
    <w:p>
      <w:pPr>
        <w:numPr>
          <w:ilvl w:val="0"/>
          <w:numId w:val="1"/>
        </w:numPr>
        <w:adjustRightInd w:val="0"/>
        <w:snapToGrid w:val="0"/>
        <w:spacing w:after="0" w:line="500" w:lineRule="exact"/>
        <w:ind w:left="0" w:leftChars="0" w:firstLine="640" w:firstLineChars="200"/>
        <w:rPr>
          <w:rFonts w:hint="eastAsia" w:asciiTheme="minorEastAsia" w:hAnsiTheme="minorEastAsia" w:eastAsiaTheme="minorEastAsia" w:cstheme="minorBidi"/>
          <w:b w:val="0"/>
          <w:bCs w:val="0"/>
          <w:kern w:val="2"/>
          <w:sz w:val="32"/>
          <w:szCs w:val="32"/>
          <w:lang w:val="en-US" w:eastAsia="zh-CN" w:bidi="ar-SA"/>
        </w:rPr>
      </w:pPr>
      <w:r>
        <w:rPr>
          <w:rFonts w:hint="eastAsia" w:asciiTheme="minorEastAsia" w:hAnsiTheme="minorEastAsia" w:eastAsiaTheme="minorEastAsia" w:cstheme="minorBidi"/>
          <w:b w:val="0"/>
          <w:bCs w:val="0"/>
          <w:kern w:val="2"/>
          <w:sz w:val="32"/>
          <w:szCs w:val="32"/>
          <w:lang w:val="en-US" w:eastAsia="zh-CN" w:bidi="ar-SA"/>
        </w:rPr>
        <w:t>预算项目绩效自评选例</w:t>
      </w:r>
    </w:p>
    <w:p>
      <w:pPr>
        <w:numPr>
          <w:ilvl w:val="0"/>
          <w:numId w:val="0"/>
        </w:numPr>
        <w:adjustRightInd w:val="0"/>
        <w:snapToGrid w:val="0"/>
        <w:spacing w:after="0" w:line="500" w:lineRule="exact"/>
        <w:ind w:leftChars="200" w:firstLine="320" w:firstLineChars="100"/>
        <w:rPr>
          <w:rFonts w:hint="eastAsia" w:asciiTheme="minorEastAsia" w:hAnsiTheme="minorEastAsia" w:eastAsiaTheme="minorEastAsia" w:cstheme="minorBidi"/>
          <w:b w:val="0"/>
          <w:bCs w:val="0"/>
          <w:kern w:val="2"/>
          <w:sz w:val="32"/>
          <w:szCs w:val="32"/>
          <w:lang w:val="en-US" w:eastAsia="zh-CN" w:bidi="ar-SA"/>
        </w:rPr>
      </w:pPr>
      <w:r>
        <w:rPr>
          <w:rFonts w:hint="eastAsia" w:asciiTheme="minorEastAsia" w:hAnsiTheme="minorEastAsia" w:eastAsiaTheme="minorEastAsia" w:cstheme="minorBidi"/>
          <w:b w:val="0"/>
          <w:bCs w:val="0"/>
          <w:kern w:val="2"/>
          <w:sz w:val="32"/>
          <w:szCs w:val="32"/>
          <w:lang w:val="en-US" w:eastAsia="zh-CN" w:bidi="ar-SA"/>
        </w:rPr>
        <w:t>本单位无民生项目和重点支出项目。</w:t>
      </w:r>
    </w:p>
    <w:p>
      <w:pPr>
        <w:numPr>
          <w:ilvl w:val="0"/>
          <w:numId w:val="0"/>
        </w:numPr>
        <w:spacing w:line="560" w:lineRule="exact"/>
        <w:ind w:firstLine="640" w:firstLineChars="200"/>
        <w:rPr>
          <w:rFonts w:hint="eastAsia" w:ascii="宋体" w:hAnsi="宋体" w:eastAsia="宋体" w:cs="宋体"/>
          <w:b/>
          <w:sz w:val="32"/>
          <w:szCs w:val="32"/>
          <w:lang w:val="en-US" w:eastAsia="zh-CN"/>
        </w:rPr>
      </w:pPr>
      <w:r>
        <w:rPr>
          <w:rFonts w:hint="eastAsia" w:asciiTheme="minorEastAsia" w:hAnsiTheme="minorEastAsia" w:eastAsiaTheme="minorEastAsia" w:cstheme="minorBidi"/>
          <w:b w:val="0"/>
          <w:bCs w:val="0"/>
          <w:kern w:val="2"/>
          <w:sz w:val="32"/>
          <w:szCs w:val="32"/>
          <w:lang w:val="en-US" w:eastAsia="zh-CN" w:bidi="ar-SA"/>
        </w:rPr>
        <w:t>我单位不断提高资金的使用效率，严格按照确定的预</w:t>
      </w:r>
      <w:r>
        <w:rPr>
          <w:rFonts w:hint="eastAsia" w:ascii="宋体" w:hAnsi="宋体" w:eastAsia="宋体" w:cs="宋体"/>
          <w:b w:val="0"/>
          <w:bCs/>
          <w:sz w:val="32"/>
          <w:szCs w:val="32"/>
          <w:lang w:val="en-US" w:eastAsia="zh-CN"/>
        </w:rPr>
        <w:t>算执行，确保各项安全生产工作顺利进行。</w:t>
      </w:r>
    </w:p>
    <w:p>
      <w:pPr>
        <w:rPr>
          <w:rFonts w:hint="eastAsia" w:asciiTheme="minorEastAsia" w:hAnsiTheme="minorEastAsia"/>
          <w:sz w:val="32"/>
          <w:szCs w:val="32"/>
        </w:rPr>
      </w:pPr>
      <w:r>
        <w:rPr>
          <w:rFonts w:hint="eastAsia" w:asciiTheme="minorEastAsia" w:hAnsiTheme="minorEastAsia"/>
          <w:sz w:val="32"/>
          <w:szCs w:val="32"/>
        </w:rPr>
        <w:t>总体来看，我</w:t>
      </w:r>
      <w:r>
        <w:rPr>
          <w:rFonts w:hint="eastAsia" w:asciiTheme="minorEastAsia" w:hAnsiTheme="minorEastAsia"/>
          <w:sz w:val="32"/>
          <w:szCs w:val="32"/>
          <w:lang w:eastAsia="zh-CN"/>
        </w:rPr>
        <w:t>单位</w:t>
      </w:r>
      <w:r>
        <w:rPr>
          <w:rFonts w:hint="eastAsia" w:asciiTheme="minorEastAsia" w:hAnsiTheme="minorEastAsia"/>
          <w:sz w:val="32"/>
          <w:szCs w:val="32"/>
        </w:rPr>
        <w:t>不断强化依法理财、科学理财的意识，以绩效为导向，预算支出管理较为规范，能按照有关规章制度开展工作；重大支出项目立项规范，资金到位及时，资金使用较合理规范，实现了部门职责绩效目标。</w:t>
      </w:r>
    </w:p>
    <w:p>
      <w:pPr>
        <w:ind w:firstLine="361" w:firstLineChars="100"/>
        <w:rPr>
          <w:b/>
          <w:sz w:val="36"/>
          <w:szCs w:val="36"/>
        </w:rPr>
      </w:pPr>
      <w:r>
        <w:rPr>
          <w:rFonts w:hint="eastAsia"/>
          <w:b/>
          <w:sz w:val="36"/>
          <w:szCs w:val="36"/>
        </w:rPr>
        <w:t>七、 其他重要事项的说明</w:t>
      </w:r>
    </w:p>
    <w:p>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pPr>
        <w:ind w:firstLine="640" w:firstLineChars="200"/>
        <w:rPr>
          <w:rFonts w:hint="eastAsia" w:asciiTheme="minorEastAsia" w:hAnsiTheme="minorEastAsia"/>
          <w:color w:val="auto"/>
          <w:sz w:val="32"/>
          <w:szCs w:val="32"/>
          <w:lang w:eastAsia="zh-CN"/>
        </w:rPr>
      </w:pPr>
      <w:r>
        <w:rPr>
          <w:rFonts w:hint="eastAsia" w:asciiTheme="minorEastAsia" w:hAnsiTheme="minorEastAsia"/>
          <w:color w:val="auto"/>
          <w:sz w:val="32"/>
          <w:szCs w:val="32"/>
        </w:rPr>
        <w:t>2017年本部门机关运行经费</w:t>
      </w:r>
      <w:r>
        <w:rPr>
          <w:rFonts w:hint="eastAsia" w:asciiTheme="minorEastAsia" w:hAnsiTheme="minorEastAsia"/>
          <w:color w:val="auto"/>
          <w:sz w:val="32"/>
          <w:szCs w:val="32"/>
          <w:lang w:val="en-US" w:eastAsia="zh-CN"/>
        </w:rPr>
        <w:t>23.97</w:t>
      </w:r>
      <w:r>
        <w:rPr>
          <w:rFonts w:hint="eastAsia" w:asciiTheme="minorEastAsia" w:hAnsiTheme="minorEastAsia"/>
          <w:color w:val="auto"/>
          <w:sz w:val="32"/>
          <w:szCs w:val="32"/>
        </w:rPr>
        <w:t>万元，比2016年度</w:t>
      </w:r>
      <w:r>
        <w:rPr>
          <w:rFonts w:hint="eastAsia" w:asciiTheme="minorEastAsia" w:hAnsiTheme="minorEastAsia"/>
          <w:color w:val="auto"/>
          <w:sz w:val="32"/>
          <w:szCs w:val="32"/>
          <w:lang w:eastAsia="zh-CN"/>
        </w:rPr>
        <w:t>减少</w:t>
      </w:r>
      <w:r>
        <w:rPr>
          <w:rFonts w:hint="eastAsia" w:asciiTheme="minorEastAsia" w:hAnsiTheme="minorEastAsia"/>
          <w:color w:val="auto"/>
          <w:sz w:val="32"/>
          <w:szCs w:val="32"/>
          <w:lang w:val="en-US" w:eastAsia="zh-CN"/>
        </w:rPr>
        <w:t>6.86</w:t>
      </w:r>
      <w:r>
        <w:rPr>
          <w:rFonts w:hint="eastAsia" w:asciiTheme="minorEastAsia" w:hAnsiTheme="minorEastAsia"/>
          <w:color w:val="auto"/>
          <w:sz w:val="32"/>
          <w:szCs w:val="32"/>
        </w:rPr>
        <w:t>万元，</w:t>
      </w:r>
      <w:r>
        <w:rPr>
          <w:rFonts w:hint="eastAsia" w:asciiTheme="minorEastAsia" w:hAnsiTheme="minorEastAsia"/>
          <w:color w:val="auto"/>
          <w:sz w:val="32"/>
          <w:szCs w:val="32"/>
          <w:lang w:eastAsia="zh-CN"/>
        </w:rPr>
        <w:t>减少</w:t>
      </w:r>
      <w:r>
        <w:rPr>
          <w:rFonts w:hint="eastAsia" w:asciiTheme="minorEastAsia" w:hAnsiTheme="minorEastAsia"/>
          <w:color w:val="auto"/>
          <w:sz w:val="32"/>
          <w:szCs w:val="32"/>
          <w:lang w:val="en-US" w:eastAsia="zh-CN"/>
        </w:rPr>
        <w:t>28.62</w:t>
      </w:r>
      <w:r>
        <w:rPr>
          <w:rFonts w:hint="eastAsia" w:asciiTheme="minorEastAsia" w:hAnsiTheme="minorEastAsia"/>
          <w:color w:val="auto"/>
          <w:sz w:val="32"/>
          <w:szCs w:val="32"/>
        </w:rPr>
        <w:t>%。主要原因是，2017年度</w:t>
      </w:r>
      <w:r>
        <w:rPr>
          <w:rFonts w:hint="eastAsia" w:asciiTheme="minorEastAsia" w:hAnsiTheme="minorEastAsia"/>
          <w:color w:val="auto"/>
          <w:sz w:val="32"/>
          <w:szCs w:val="32"/>
          <w:lang w:eastAsia="zh-CN"/>
        </w:rPr>
        <w:t>我单位有人员减少。</w:t>
      </w:r>
    </w:p>
    <w:p>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w:t>
      </w:r>
      <w:r>
        <w:rPr>
          <w:rFonts w:hint="eastAsia" w:asciiTheme="minorEastAsia" w:hAnsiTheme="minorEastAsia"/>
          <w:sz w:val="32"/>
          <w:szCs w:val="32"/>
          <w:lang w:val="en-US" w:eastAsia="zh-CN"/>
        </w:rPr>
        <w:t>0</w:t>
      </w:r>
      <w:r>
        <w:rPr>
          <w:rFonts w:hint="eastAsia" w:asciiTheme="minorEastAsia" w:hAnsiTheme="minorEastAsia"/>
          <w:sz w:val="32"/>
          <w:szCs w:val="32"/>
        </w:rPr>
        <w:t>万元，其中：政府采购货物支出</w:t>
      </w:r>
      <w:r>
        <w:rPr>
          <w:rFonts w:hint="eastAsia" w:asciiTheme="minorEastAsia" w:hAnsiTheme="minorEastAsia"/>
          <w:sz w:val="32"/>
          <w:szCs w:val="32"/>
          <w:lang w:val="en-US" w:eastAsia="zh-CN"/>
        </w:rPr>
        <w:t>0</w:t>
      </w:r>
      <w:r>
        <w:rPr>
          <w:rFonts w:hint="eastAsia" w:asciiTheme="minorEastAsia" w:hAnsiTheme="minorEastAsia"/>
          <w:sz w:val="32"/>
          <w:szCs w:val="32"/>
        </w:rPr>
        <w:t>万元、政府采购工程支出</w:t>
      </w:r>
      <w:r>
        <w:rPr>
          <w:rFonts w:hint="eastAsia" w:asciiTheme="minorEastAsia" w:hAnsiTheme="minorEastAsia"/>
          <w:sz w:val="32"/>
          <w:szCs w:val="32"/>
          <w:lang w:val="en-US" w:eastAsia="zh-CN"/>
        </w:rPr>
        <w:t>0</w:t>
      </w:r>
      <w:r>
        <w:rPr>
          <w:rFonts w:hint="eastAsia" w:asciiTheme="minorEastAsia" w:hAnsiTheme="minorEastAsia"/>
          <w:sz w:val="32"/>
          <w:szCs w:val="32"/>
        </w:rPr>
        <w:t>万元、 政府采购服务支出</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pPr>
        <w:ind w:firstLine="640" w:firstLineChars="200"/>
        <w:rPr>
          <w:rFonts w:asciiTheme="minorEastAsia" w:hAnsiTheme="minorEastAsia"/>
          <w:sz w:val="32"/>
          <w:szCs w:val="32"/>
        </w:rPr>
      </w:pPr>
      <w:r>
        <w:rPr>
          <w:rFonts w:hint="eastAsia" w:asciiTheme="minorEastAsia" w:hAnsiTheme="minorEastAsia"/>
          <w:sz w:val="32"/>
          <w:szCs w:val="32"/>
        </w:rPr>
        <w:t xml:space="preserve">截至 2017年 12 月 31日，本部门共有车辆 </w:t>
      </w:r>
      <w:r>
        <w:rPr>
          <w:rFonts w:hint="eastAsia" w:asciiTheme="minorEastAsia" w:hAnsiTheme="minorEastAsia"/>
          <w:sz w:val="32"/>
          <w:szCs w:val="32"/>
          <w:lang w:val="en-US" w:eastAsia="zh-CN"/>
        </w:rPr>
        <w:t>3</w:t>
      </w:r>
      <w:r>
        <w:rPr>
          <w:rFonts w:hint="eastAsia" w:asciiTheme="minorEastAsia" w:hAnsiTheme="minorEastAsia"/>
          <w:sz w:val="32"/>
          <w:szCs w:val="32"/>
        </w:rPr>
        <w:t xml:space="preserve"> 辆，其中，一般公务用车</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辆、一般执法执勤用车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辆、其他用车 </w:t>
      </w:r>
      <w:r>
        <w:rPr>
          <w:rFonts w:hint="eastAsia" w:asciiTheme="minorEastAsia" w:hAnsiTheme="minorEastAsia"/>
          <w:sz w:val="32"/>
          <w:szCs w:val="32"/>
          <w:lang w:val="en-US" w:eastAsia="zh-CN"/>
        </w:rPr>
        <w:t>3</w:t>
      </w:r>
      <w:r>
        <w:rPr>
          <w:rFonts w:hint="eastAsia" w:asciiTheme="minorEastAsia" w:hAnsiTheme="minorEastAsia"/>
          <w:sz w:val="32"/>
          <w:szCs w:val="32"/>
        </w:rPr>
        <w:t>辆，其他用车是业务用车；</w:t>
      </w:r>
      <w:r>
        <w:rPr>
          <w:rFonts w:hint="eastAsia" w:asciiTheme="minorEastAsia" w:hAnsiTheme="minorEastAsia"/>
          <w:sz w:val="32"/>
          <w:szCs w:val="32"/>
          <w:lang w:eastAsia="zh-CN"/>
        </w:rPr>
        <w:t>没有</w:t>
      </w:r>
      <w:r>
        <w:rPr>
          <w:rFonts w:hint="eastAsia" w:asciiTheme="minorEastAsia" w:hAnsiTheme="minorEastAsia"/>
          <w:sz w:val="32"/>
          <w:szCs w:val="32"/>
        </w:rPr>
        <w:t>单价 50 万元以上大型设备 ，没有价值 100 万元以上大型设备。</w:t>
      </w: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hint="eastAsia" w:ascii="宋体" w:hAnsi="宋体" w:eastAsia="宋体"/>
          <w:b/>
          <w:sz w:val="44"/>
          <w:szCs w:val="44"/>
        </w:rPr>
      </w:pPr>
    </w:p>
    <w:p>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pPr>
        <w:rPr>
          <w:b/>
          <w:sz w:val="36"/>
          <w:szCs w:val="36"/>
        </w:rPr>
      </w:pPr>
      <w:r>
        <w:rPr>
          <w:rFonts w:hint="eastAsia"/>
          <w:b/>
          <w:sz w:val="36"/>
          <w:szCs w:val="36"/>
        </w:rPr>
        <w:t>一、 财政拨款收入</w:t>
      </w:r>
    </w:p>
    <w:p>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pPr>
        <w:rPr>
          <w:b/>
          <w:sz w:val="36"/>
          <w:szCs w:val="36"/>
        </w:rPr>
      </w:pPr>
      <w:r>
        <w:rPr>
          <w:rFonts w:hint="eastAsia"/>
          <w:b/>
          <w:sz w:val="36"/>
          <w:szCs w:val="36"/>
        </w:rPr>
        <w:t>二、 事业收入</w:t>
      </w:r>
    </w:p>
    <w:p>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pPr>
        <w:rPr>
          <w:b/>
          <w:sz w:val="36"/>
          <w:szCs w:val="36"/>
        </w:rPr>
      </w:pPr>
      <w:r>
        <w:rPr>
          <w:rFonts w:hint="eastAsia"/>
          <w:b/>
          <w:sz w:val="36"/>
          <w:szCs w:val="36"/>
        </w:rPr>
        <w:t>三、 其他收入</w:t>
      </w:r>
    </w:p>
    <w:p>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pPr>
        <w:rPr>
          <w:b/>
          <w:sz w:val="36"/>
          <w:szCs w:val="36"/>
        </w:rPr>
      </w:pPr>
      <w:r>
        <w:rPr>
          <w:rFonts w:hint="eastAsia"/>
          <w:b/>
          <w:sz w:val="36"/>
          <w:szCs w:val="36"/>
        </w:rPr>
        <w:t>四、 用事业基金弥补收支差额</w:t>
      </w:r>
    </w:p>
    <w:p>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pPr>
        <w:rPr>
          <w:b/>
          <w:sz w:val="36"/>
          <w:szCs w:val="36"/>
        </w:rPr>
      </w:pPr>
      <w:r>
        <w:rPr>
          <w:rFonts w:hint="eastAsia"/>
          <w:b/>
          <w:sz w:val="36"/>
          <w:szCs w:val="36"/>
        </w:rPr>
        <w:t>五、 年初结转和结余</w:t>
      </w:r>
    </w:p>
    <w:p>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pPr>
        <w:rPr>
          <w:b/>
          <w:sz w:val="36"/>
          <w:szCs w:val="36"/>
        </w:rPr>
      </w:pPr>
      <w:r>
        <w:rPr>
          <w:rFonts w:hint="eastAsia"/>
          <w:b/>
          <w:sz w:val="36"/>
          <w:szCs w:val="36"/>
        </w:rPr>
        <w:t>六、 结余分配</w:t>
      </w:r>
    </w:p>
    <w:p>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pPr>
        <w:rPr>
          <w:b/>
          <w:sz w:val="36"/>
          <w:szCs w:val="36"/>
        </w:rPr>
      </w:pPr>
      <w:r>
        <w:rPr>
          <w:rFonts w:hint="eastAsia"/>
          <w:b/>
          <w:sz w:val="36"/>
          <w:szCs w:val="36"/>
        </w:rPr>
        <w:t>七、 年末结转和结余</w:t>
      </w:r>
    </w:p>
    <w:p>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pPr>
        <w:rPr>
          <w:b/>
          <w:sz w:val="36"/>
          <w:szCs w:val="36"/>
        </w:rPr>
      </w:pPr>
      <w:r>
        <w:rPr>
          <w:rFonts w:hint="eastAsia"/>
          <w:b/>
          <w:sz w:val="36"/>
          <w:szCs w:val="36"/>
        </w:rPr>
        <w:t>八、 基本支出</w:t>
      </w:r>
    </w:p>
    <w:p>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pPr>
        <w:rPr>
          <w:b/>
          <w:sz w:val="36"/>
          <w:szCs w:val="36"/>
        </w:rPr>
      </w:pPr>
      <w:r>
        <w:rPr>
          <w:rFonts w:hint="eastAsia"/>
          <w:b/>
          <w:sz w:val="36"/>
          <w:szCs w:val="36"/>
        </w:rPr>
        <w:t>九、 项目支出</w:t>
      </w:r>
    </w:p>
    <w:p>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pPr>
        <w:rPr>
          <w:b/>
          <w:sz w:val="36"/>
          <w:szCs w:val="36"/>
        </w:rPr>
      </w:pPr>
      <w:r>
        <w:rPr>
          <w:rFonts w:hint="eastAsia"/>
          <w:b/>
          <w:sz w:val="36"/>
          <w:szCs w:val="36"/>
        </w:rPr>
        <w:t>十、 基本建设支出</w:t>
      </w:r>
    </w:p>
    <w:p>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rPr>
          <w:b/>
          <w:sz w:val="36"/>
          <w:szCs w:val="36"/>
        </w:rPr>
      </w:pPr>
      <w:r>
        <w:rPr>
          <w:rFonts w:hint="eastAsia"/>
          <w:b/>
          <w:sz w:val="36"/>
          <w:szCs w:val="36"/>
        </w:rPr>
        <w:t>十一、 其他资本性支出</w:t>
      </w:r>
    </w:p>
    <w:p>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pPr>
        <w:rPr>
          <w:b/>
          <w:sz w:val="36"/>
          <w:szCs w:val="36"/>
        </w:rPr>
      </w:pPr>
      <w:r>
        <w:rPr>
          <w:rFonts w:hint="eastAsia"/>
          <w:b/>
          <w:sz w:val="36"/>
          <w:szCs w:val="36"/>
        </w:rPr>
        <w:t>十二、 “ 三公” 经费</w:t>
      </w:r>
    </w:p>
    <w:p>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rPr>
          <w:b/>
          <w:sz w:val="36"/>
          <w:szCs w:val="36"/>
        </w:rPr>
      </w:pPr>
      <w:r>
        <w:rPr>
          <w:rFonts w:hint="eastAsia"/>
          <w:b/>
          <w:sz w:val="36"/>
          <w:szCs w:val="36"/>
        </w:rPr>
        <w:t>十三、 其他交通费用</w:t>
      </w:r>
    </w:p>
    <w:p>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pPr>
        <w:rPr>
          <w:b/>
          <w:sz w:val="36"/>
          <w:szCs w:val="36"/>
        </w:rPr>
      </w:pPr>
      <w:r>
        <w:rPr>
          <w:rFonts w:hint="eastAsia"/>
          <w:b/>
          <w:sz w:val="36"/>
          <w:szCs w:val="36"/>
        </w:rPr>
        <w:t>十四、 公务用车购置</w:t>
      </w:r>
    </w:p>
    <w:p>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pPr>
        <w:rPr>
          <w:b/>
          <w:sz w:val="36"/>
          <w:szCs w:val="36"/>
        </w:rPr>
      </w:pPr>
      <w:r>
        <w:rPr>
          <w:rFonts w:hint="eastAsia"/>
          <w:b/>
          <w:sz w:val="36"/>
          <w:szCs w:val="36"/>
        </w:rPr>
        <w:t>十五、 其他交通工具购置</w:t>
      </w:r>
    </w:p>
    <w:p>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pPr>
        <w:rPr>
          <w:b/>
          <w:sz w:val="36"/>
          <w:szCs w:val="36"/>
        </w:rPr>
      </w:pPr>
      <w:r>
        <w:rPr>
          <w:rFonts w:hint="eastAsia"/>
          <w:b/>
          <w:sz w:val="36"/>
          <w:szCs w:val="36"/>
        </w:rPr>
        <w:t>十六、 机关运行经费</w:t>
      </w:r>
    </w:p>
    <w:p>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firstLine="640" w:firstLineChars="200"/>
        <w:rPr>
          <w:rFonts w:asciiTheme="minorEastAsia" w:hAnsiTheme="minorEastAsia"/>
          <w:sz w:val="32"/>
          <w:szCs w:val="32"/>
        </w:rPr>
      </w:pPr>
    </w:p>
    <w:sectPr>
      <w:pgSz w:w="11906" w:h="16838"/>
      <w:pgMar w:top="1100" w:right="1800" w:bottom="115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2000000" w:usb3="00000000" w:csb0="2000019F" w:csb1="00000000"/>
  </w:font>
  <w:font w:name="仿宋_GB2312">
    <w:altName w:val="方正仿宋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D1095F"/>
    <w:multiLevelType w:val="singleLevel"/>
    <w:tmpl w:val="38D1095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F6B63"/>
    <w:rsid w:val="00005D8D"/>
    <w:rsid w:val="000C1629"/>
    <w:rsid w:val="000F6B63"/>
    <w:rsid w:val="00172F4B"/>
    <w:rsid w:val="001C2AA1"/>
    <w:rsid w:val="002154B6"/>
    <w:rsid w:val="00225112"/>
    <w:rsid w:val="0029221F"/>
    <w:rsid w:val="003015AB"/>
    <w:rsid w:val="00304F9E"/>
    <w:rsid w:val="00396F4E"/>
    <w:rsid w:val="005651CC"/>
    <w:rsid w:val="005B640A"/>
    <w:rsid w:val="0073228C"/>
    <w:rsid w:val="007366E2"/>
    <w:rsid w:val="00740959"/>
    <w:rsid w:val="007D25CA"/>
    <w:rsid w:val="00966E2C"/>
    <w:rsid w:val="00A711B9"/>
    <w:rsid w:val="00A72965"/>
    <w:rsid w:val="00AA30B9"/>
    <w:rsid w:val="00B75291"/>
    <w:rsid w:val="00C15A1F"/>
    <w:rsid w:val="00EA73A9"/>
    <w:rsid w:val="00ED6BE4"/>
    <w:rsid w:val="00F435DB"/>
    <w:rsid w:val="00FD214C"/>
    <w:rsid w:val="00FE5519"/>
    <w:rsid w:val="0BD757BF"/>
    <w:rsid w:val="112A4DE0"/>
    <w:rsid w:val="198B173F"/>
    <w:rsid w:val="32BB1377"/>
    <w:rsid w:val="37916381"/>
    <w:rsid w:val="396F6D07"/>
    <w:rsid w:val="42D01D19"/>
    <w:rsid w:val="48B97130"/>
    <w:rsid w:val="4E124CBB"/>
    <w:rsid w:val="4EDA3566"/>
    <w:rsid w:val="56513784"/>
    <w:rsid w:val="579C0A09"/>
    <w:rsid w:val="5EE524E4"/>
    <w:rsid w:val="60795651"/>
    <w:rsid w:val="61FB7886"/>
    <w:rsid w:val="65B118F1"/>
    <w:rsid w:val="69C05031"/>
    <w:rsid w:val="6DAB332C"/>
    <w:rsid w:val="6FF00252"/>
    <w:rsid w:val="6FF5421A"/>
    <w:rsid w:val="7337CA52"/>
    <w:rsid w:val="7D403B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页眉 Char"/>
    <w:basedOn w:val="12"/>
    <w:link w:val="7"/>
    <w:semiHidden/>
    <w:qFormat/>
    <w:uiPriority w:val="99"/>
    <w:rPr>
      <w:sz w:val="18"/>
      <w:szCs w:val="18"/>
    </w:rPr>
  </w:style>
  <w:style w:type="character" w:customStyle="1" w:styleId="14">
    <w:name w:val="页脚 Char"/>
    <w:basedOn w:val="12"/>
    <w:link w:val="6"/>
    <w:semiHidden/>
    <w:qFormat/>
    <w:uiPriority w:val="99"/>
    <w:rPr>
      <w:sz w:val="18"/>
      <w:szCs w:val="18"/>
    </w:rPr>
  </w:style>
  <w:style w:type="character" w:customStyle="1" w:styleId="15">
    <w:name w:val="标题 1 Char"/>
    <w:basedOn w:val="12"/>
    <w:link w:val="2"/>
    <w:qFormat/>
    <w:uiPriority w:val="9"/>
    <w:rPr>
      <w:b/>
      <w:bCs/>
      <w:kern w:val="44"/>
      <w:sz w:val="44"/>
      <w:szCs w:val="44"/>
    </w:rPr>
  </w:style>
  <w:style w:type="character" w:customStyle="1" w:styleId="16">
    <w:name w:val="标题 2 Char"/>
    <w:basedOn w:val="12"/>
    <w:link w:val="3"/>
    <w:qFormat/>
    <w:uiPriority w:val="9"/>
    <w:rPr>
      <w:rFonts w:asciiTheme="majorHAnsi" w:hAnsiTheme="majorHAnsi" w:eastAsiaTheme="majorEastAsia" w:cstheme="majorBidi"/>
      <w:b/>
      <w:bCs/>
      <w:sz w:val="32"/>
      <w:szCs w:val="32"/>
    </w:rPr>
  </w:style>
  <w:style w:type="character" w:customStyle="1" w:styleId="17">
    <w:name w:val="标题 Char"/>
    <w:basedOn w:val="12"/>
    <w:link w:val="9"/>
    <w:qFormat/>
    <w:uiPriority w:val="10"/>
    <w:rPr>
      <w:rFonts w:eastAsia="宋体" w:asciiTheme="majorHAnsi" w:hAnsiTheme="majorHAnsi" w:cstheme="majorBidi"/>
      <w:b/>
      <w:bCs/>
      <w:sz w:val="32"/>
      <w:szCs w:val="32"/>
    </w:rPr>
  </w:style>
  <w:style w:type="character" w:customStyle="1" w:styleId="18">
    <w:name w:val="标题 3 Char"/>
    <w:basedOn w:val="12"/>
    <w:link w:val="4"/>
    <w:qFormat/>
    <w:uiPriority w:val="9"/>
    <w:rPr>
      <w:b/>
      <w:bCs/>
      <w:sz w:val="32"/>
      <w:szCs w:val="32"/>
    </w:rPr>
  </w:style>
  <w:style w:type="character" w:customStyle="1" w:styleId="19">
    <w:name w:val="副标题 Char"/>
    <w:basedOn w:val="12"/>
    <w:link w:val="8"/>
    <w:qFormat/>
    <w:uiPriority w:val="11"/>
    <w:rPr>
      <w:rFonts w:eastAsia="宋体" w:asciiTheme="majorHAnsi" w:hAnsiTheme="majorHAnsi" w:cstheme="majorBidi"/>
      <w:b/>
      <w:bCs/>
      <w:kern w:val="28"/>
      <w:sz w:val="32"/>
      <w:szCs w:val="32"/>
    </w:rPr>
  </w:style>
  <w:style w:type="character" w:customStyle="1" w:styleId="20">
    <w:name w:val="标题 4 Char"/>
    <w:basedOn w:val="12"/>
    <w:link w:val="5"/>
    <w:qFormat/>
    <w:uiPriority w:val="9"/>
    <w:rPr>
      <w:rFonts w:asciiTheme="majorHAnsi" w:hAnsiTheme="majorHAnsi" w:eastAsiaTheme="majorEastAsia" w:cstheme="majorBidi"/>
      <w:b/>
      <w:bCs/>
      <w:sz w:val="28"/>
      <w:szCs w:val="28"/>
    </w:rPr>
  </w:style>
  <w:style w:type="paragraph" w:styleId="2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800" b="1" i="0" u="none" strike="noStrike" kern="1200" baseline="0">
                <a:solidFill>
                  <a:schemeClr val="dk1">
                    <a:lumMod val="75000"/>
                    <a:lumOff val="25000"/>
                  </a:schemeClr>
                </a:solidFill>
                <a:latin typeface="+mn-lt"/>
                <a:ea typeface="+mn-ea"/>
                <a:cs typeface="+mn-cs"/>
              </a:defRPr>
            </a:pPr>
            <a:r>
              <a:rPr lang="en-US" altLang="zh-CN"/>
              <a:t>2017</a:t>
            </a:r>
            <a:r>
              <a:rPr altLang="en-US"/>
              <a:t>年度收入情况</a:t>
            </a:r>
            <a:endParaRPr altLang="en-US"/>
          </a:p>
        </c:rich>
      </c:tx>
      <c:layout/>
      <c:overlay val="false"/>
      <c:spPr>
        <a:noFill/>
        <a:ln>
          <a:noFill/>
        </a:ln>
        <a:effectLst/>
      </c:spPr>
    </c:title>
    <c:autoTitleDeleted val="false"/>
    <c:plotArea>
      <c:layout/>
      <c:pieChart>
        <c:varyColors val="true"/>
        <c:ser>
          <c:idx val="0"/>
          <c:order val="0"/>
          <c:tx>
            <c:strRef>
              <c:f>Sheet1!$B$1</c:f>
              <c:strCache>
                <c:ptCount val="1"/>
                <c:pt idx="0">
                  <c:v>2017年度收入合计</c:v>
                </c:pt>
              </c:strCache>
            </c:strRef>
          </c:tx>
          <c:spPr/>
          <c:explosion val="0"/>
          <c:dPt>
            <c:idx val="0"/>
            <c:bubble3D val="false"/>
            <c:spPr>
              <a:solidFill>
                <a:schemeClr val="accent1"/>
              </a:solidFill>
              <a:ln>
                <a:noFill/>
              </a:ln>
              <a:effectLst>
                <a:outerShdw blurRad="254000" sx="102000" sy="102000" algn="ctr" rotWithShape="0">
                  <a:prstClr val="black">
                    <a:alpha val="20000"/>
                  </a:prstClr>
                </a:outerShdw>
              </a:effectLst>
            </c:spPr>
          </c:dPt>
          <c:dPt>
            <c:idx val="1"/>
            <c:bubble3D val="false"/>
            <c:spPr>
              <a:solidFill>
                <a:schemeClr val="accent2"/>
              </a:solidFill>
              <a:ln>
                <a:noFill/>
              </a:ln>
              <a:effectLst>
                <a:outerShdw blurRad="254000" sx="102000" sy="102000" algn="ctr" rotWithShape="0">
                  <a:prstClr val="black">
                    <a:alpha val="20000"/>
                  </a:prstClr>
                </a:outerShdw>
              </a:effectLst>
            </c:spPr>
          </c:dPt>
          <c:dPt>
            <c:idx val="2"/>
            <c:bubble3D val="false"/>
            <c:spPr>
              <a:solidFill>
                <a:schemeClr val="accent3"/>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true"/>
                  <a:lstStyle/>
                  <a:p>
                    <a:pPr defTabSz="914400">
                      <a:defRPr lang="zh-CN" sz="1000" b="1" i="0" u="none" strike="noStrike" kern="1200" baseline="0">
                        <a:solidFill>
                          <a:schemeClr val="lt1"/>
                        </a:solidFill>
                        <a:latin typeface="+mn-lt"/>
                        <a:ea typeface="+mn-ea"/>
                        <a:cs typeface="+mn-cs"/>
                      </a:defRPr>
                    </a:pPr>
                    <a:r>
                      <a:rPr lang="en-US" altLang="zh-CN"/>
                      <a:t>100</a:t>
                    </a:r>
                    <a:r>
                      <a:t>%</a:t>
                    </a:r>
                  </a:p>
                </c:rich>
              </c:tx>
              <c:dLblPos val="ctr"/>
              <c:showLegendKey val="false"/>
              <c:showVal val="false"/>
              <c:showCatName val="false"/>
              <c:showSerName val="false"/>
              <c:showPercent val="true"/>
              <c:showBubbleSize val="false"/>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true"/>
                  <a:lstStyle/>
                  <a:p>
                    <a:pPr defTabSz="914400">
                      <a:defRPr lang="zh-CN" sz="1000" b="1" i="0" u="none" strike="noStrike" kern="1200" baseline="0">
                        <a:solidFill>
                          <a:schemeClr val="lt1"/>
                        </a:solidFill>
                        <a:latin typeface="+mn-lt"/>
                        <a:ea typeface="+mn-ea"/>
                        <a:cs typeface="+mn-cs"/>
                      </a:defRPr>
                    </a:pPr>
                    <a:r>
                      <a:rPr lang="en-US" altLang="zh-CN"/>
                      <a:t>0</a:t>
                    </a:r>
                    <a:r>
                      <a:t>%</a:t>
                    </a:r>
                  </a:p>
                </c:rich>
              </c:tx>
              <c:dLblPos val="ctr"/>
              <c:showLegendKey val="false"/>
              <c:showVal val="false"/>
              <c:showCatName val="false"/>
              <c:showSerName val="false"/>
              <c:showPercent val="true"/>
              <c:showBubbleSize val="false"/>
              <c:extLst>
                <c:ext xmlns:c15="http://schemas.microsoft.com/office/drawing/2012/chart" uri="{CE6537A1-D6FC-4f65-9D91-7224C49458BB}"/>
              </c:extLst>
            </c:dLbl>
            <c:dLbl>
              <c:idx val="2"/>
              <c:layout/>
              <c:tx>
                <c:rich>
                  <a:bodyPr rot="0" spcFirstLastPara="0" vertOverflow="ellipsis" vert="horz" wrap="square" lIns="38100" tIns="19050" rIns="38100" bIns="19050" anchor="ctr" anchorCtr="true"/>
                  <a:lstStyle/>
                  <a:p>
                    <a:pPr defTabSz="914400">
                      <a:defRPr lang="zh-CN" sz="1000" b="1" i="0" u="none" strike="noStrike" kern="1200" baseline="0">
                        <a:solidFill>
                          <a:schemeClr val="lt1"/>
                        </a:solidFill>
                        <a:latin typeface="+mn-lt"/>
                        <a:ea typeface="+mn-ea"/>
                        <a:cs typeface="+mn-cs"/>
                      </a:defRPr>
                    </a:pPr>
                    <a:r>
                      <a:t>0%</a:t>
                    </a:r>
                  </a:p>
                </c:rich>
              </c:tx>
              <c:dLblPos val="ctr"/>
              <c:showLegendKey val="false"/>
              <c:showVal val="false"/>
              <c:showCatName val="false"/>
              <c:showSerName val="false"/>
              <c:showPercent val="true"/>
              <c:showBubbleSize val="false"/>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p>
            </c:txPr>
            <c:dLblPos val="ctr"/>
            <c:showLegendKey val="false"/>
            <c:showVal val="false"/>
            <c:showCatName val="false"/>
            <c:showSerName val="false"/>
            <c:showPercent val="true"/>
            <c:showBubbleSize val="false"/>
            <c:showLeaderLines val="true"/>
            <c:extLst>
              <c:ext xmlns:c15="http://schemas.microsoft.com/office/drawing/2012/chart" uri="{CE6537A1-D6FC-4f65-9D91-7224C49458BB}">
                <c15:layout/>
                <c15:showLeaderLines val="true"/>
                <c15:leaderLines>
                  <c:spPr>
                    <a:ln w="9525">
                      <a:solidFill>
                        <a:schemeClr val="dk1">
                          <a:lumMod val="50000"/>
                          <a:lumOff val="50000"/>
                        </a:schemeClr>
                      </a:solidFill>
                    </a:ln>
                    <a:effectLst/>
                  </c:spPr>
                </c15:leaderLines>
              </c:ext>
            </c:extLst>
          </c:dLbls>
          <c:cat>
            <c:strRef>
              <c:f>Sheet1!$A$2:$A$4</c:f>
              <c:strCache>
                <c:ptCount val="3"/>
                <c:pt idx="0">
                  <c:v>财政拨款</c:v>
                </c:pt>
                <c:pt idx="1">
                  <c:v>事业收入</c:v>
                </c:pt>
                <c:pt idx="2">
                  <c:v>其他收入</c:v>
                </c:pt>
              </c:strCache>
            </c:strRef>
          </c:cat>
          <c:val>
            <c:numRef>
              <c:f>Sheet1!$B$2:$B$4</c:f>
              <c:numCache>
                <c:formatCode>General</c:formatCode>
                <c:ptCount val="3"/>
                <c:pt idx="0">
                  <c:v>100</c:v>
                </c:pt>
                <c:pt idx="1">
                  <c:v>0</c:v>
                </c:pt>
                <c:pt idx="2">
                  <c:v>0</c:v>
                </c:pt>
              </c:numCache>
            </c:numRef>
          </c:val>
        </c:ser>
        <c:dLbls>
          <c:showLegendKey val="false"/>
          <c:showVal val="false"/>
          <c:showCatName val="false"/>
          <c:showSerName val="false"/>
          <c:showPercent val="true"/>
          <c:showBubbleSize val="false"/>
          <c:showLeaderLines val="true"/>
        </c:dLbls>
        <c:firstSliceAng val="0"/>
      </c:pieChart>
      <c:spPr>
        <a:noFill/>
        <a:ln>
          <a:noFill/>
        </a:ln>
        <a:effectLst/>
      </c:spPr>
    </c:plotArea>
    <c:legend>
      <c:legendPos val="r"/>
      <c:layout/>
      <c:overlay val="false"/>
      <c:spPr>
        <a:solidFill>
          <a:schemeClr val="lt1">
            <a:lumMod val="95000"/>
            <a:alpha val="39000"/>
          </a:schemeClr>
        </a:solidFill>
        <a:ln>
          <a:noFill/>
        </a:ln>
        <a:effectLst/>
      </c:spPr>
      <c:txPr>
        <a:bodyPr rot="0" spcFirstLastPara="0" vertOverflow="ellipsis" vert="horz" wrap="square" anchor="ctr" anchorCtr="true"/>
        <a:lstStyle/>
        <a:p>
          <a:pPr>
            <a:defRPr lang="zh-CN" sz="900" b="0" i="0" u="none" strike="noStrike" kern="1200" baseline="0">
              <a:solidFill>
                <a:schemeClr val="dk1">
                  <a:lumMod val="75000"/>
                  <a:lumOff val="25000"/>
                </a:schemeClr>
              </a:solidFill>
              <a:latin typeface="+mn-lt"/>
              <a:ea typeface="+mn-ea"/>
              <a:cs typeface="+mn-cs"/>
            </a:defRPr>
          </a:pPr>
        </a:p>
      </c:txPr>
    </c:legend>
    <c:plotVisOnly val="true"/>
    <c:dispBlanksAs val="gap"/>
    <c:showDLblsOverMax val="false"/>
  </c:chart>
  <c:spPr>
    <a:gradFill flip="none" rotWithShape="true">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800" b="1" i="0" u="none" strike="noStrike" kern="1200" baseline="0">
                <a:solidFill>
                  <a:schemeClr val="dk1">
                    <a:lumMod val="75000"/>
                    <a:lumOff val="25000"/>
                  </a:schemeClr>
                </a:solidFill>
                <a:latin typeface="+mn-lt"/>
                <a:ea typeface="+mn-ea"/>
                <a:cs typeface="+mn-cs"/>
              </a:defRPr>
            </a:pPr>
            <a:r>
              <a:t>2017年度支出情况</a:t>
            </a:r>
          </a:p>
        </c:rich>
      </c:tx>
      <c:layout/>
      <c:overlay val="false"/>
      <c:spPr>
        <a:noFill/>
        <a:ln>
          <a:noFill/>
        </a:ln>
        <a:effectLst/>
      </c:spPr>
    </c:title>
    <c:autoTitleDeleted val="false"/>
    <c:plotArea>
      <c:layout/>
      <c:pieChart>
        <c:varyColors val="true"/>
        <c:ser>
          <c:idx val="0"/>
          <c:order val="0"/>
          <c:tx>
            <c:strRef>
              <c:f>Sheet1!$B$1</c:f>
              <c:strCache>
                <c:ptCount val="1"/>
                <c:pt idx="0">
                  <c:v>2017年度支出情况</c:v>
                </c:pt>
              </c:strCache>
            </c:strRef>
          </c:tx>
          <c:spPr/>
          <c:explosion val="0"/>
          <c:dPt>
            <c:idx val="0"/>
            <c:bubble3D val="false"/>
            <c:spPr>
              <a:solidFill>
                <a:schemeClr val="accent1"/>
              </a:solidFill>
              <a:ln>
                <a:noFill/>
              </a:ln>
              <a:effectLst>
                <a:outerShdw blurRad="254000" sx="102000" sy="102000" algn="ctr" rotWithShape="0">
                  <a:prstClr val="black">
                    <a:alpha val="20000"/>
                  </a:prstClr>
                </a:outerShdw>
              </a:effectLst>
            </c:spPr>
          </c:dPt>
          <c:dPt>
            <c:idx val="1"/>
            <c:bubble3D val="false"/>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p>
            </c:txPr>
            <c:dLblPos val="ctr"/>
            <c:showLegendKey val="false"/>
            <c:showVal val="false"/>
            <c:showCatName val="false"/>
            <c:showSerName val="false"/>
            <c:showPercent val="true"/>
            <c:showBubbleSize val="false"/>
            <c:showLeaderLines val="true"/>
            <c:extLst>
              <c:ext xmlns:c15="http://schemas.microsoft.com/office/drawing/2012/chart" uri="{CE6537A1-D6FC-4f65-9D91-7224C49458BB}">
                <c15:layout/>
                <c15:showLeaderLines val="true"/>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0.7374</c:v>
                </c:pt>
                <c:pt idx="1">
                  <c:v>0.2626</c:v>
                </c:pt>
              </c:numCache>
            </c:numRef>
          </c:val>
        </c:ser>
        <c:dLbls>
          <c:showLegendKey val="false"/>
          <c:showVal val="false"/>
          <c:showCatName val="false"/>
          <c:showSerName val="false"/>
          <c:showPercent val="true"/>
          <c:showBubbleSize val="false"/>
          <c:showLeaderLines val="true"/>
        </c:dLbls>
        <c:firstSliceAng val="0"/>
      </c:pieChart>
      <c:spPr>
        <a:noFill/>
        <a:ln>
          <a:noFill/>
        </a:ln>
        <a:effectLst/>
      </c:spPr>
    </c:plotArea>
    <c:legend>
      <c:legendPos val="r"/>
      <c:layout/>
      <c:overlay val="false"/>
      <c:spPr>
        <a:solidFill>
          <a:schemeClr val="lt1">
            <a:lumMod val="95000"/>
            <a:alpha val="39000"/>
          </a:schemeClr>
        </a:solidFill>
        <a:ln>
          <a:noFill/>
        </a:ln>
        <a:effectLst/>
      </c:spPr>
      <c:txPr>
        <a:bodyPr rot="0" spcFirstLastPara="0" vertOverflow="ellipsis" vert="horz" wrap="square" anchor="ctr" anchorCtr="true"/>
        <a:lstStyle/>
        <a:p>
          <a:pPr>
            <a:defRPr lang="zh-CN" sz="900" b="0" i="0" u="none" strike="noStrike" kern="1200" baseline="0">
              <a:solidFill>
                <a:schemeClr val="dk1">
                  <a:lumMod val="75000"/>
                  <a:lumOff val="25000"/>
                </a:schemeClr>
              </a:solidFill>
              <a:latin typeface="+mn-lt"/>
              <a:ea typeface="+mn-ea"/>
              <a:cs typeface="+mn-cs"/>
            </a:defRPr>
          </a:pPr>
        </a:p>
      </c:txPr>
    </c:legend>
    <c:plotVisOnly val="true"/>
    <c:dispBlanksAs val="gap"/>
    <c:showDLblsOverMax val="false"/>
  </c:chart>
  <c:spPr>
    <a:gradFill flip="none" rotWithShape="true">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true">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true">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false"/>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false"/>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true">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true">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false"/>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false"/>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16</Pages>
  <Words>1142</Words>
  <Characters>6514</Characters>
  <Lines>54</Lines>
  <Paragraphs>15</Paragraphs>
  <TotalTime>6</TotalTime>
  <ScaleCrop>false</ScaleCrop>
  <LinksUpToDate>false</LinksUpToDate>
  <CharactersWithSpaces>7641</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2018-09-07T11:15:00Z</dcterms:created>
  <dc:creator>办公室</dc:creator>
  <cp:lastModifiedBy>uos</cp:lastModifiedBy>
  <dcterms:modified xsi:type="dcterms:W3CDTF">2023-06-02T18:32:56Z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