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石家庄市藁城区发展和改革局</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5" w:type="first"/>
          <w:footerReference r:id="rId6" w:type="first"/>
          <w:headerReference r:id="rId4"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p>
      <w:pPr>
        <w:rPr>
          <w:rFonts w:ascii="黑体" w:hAnsi="黑体" w:eastAsia="黑体" w:cs="黑体"/>
          <w:sz w:val="56"/>
          <w:szCs w:val="72"/>
        </w:rPr>
        <w:sectPr>
          <w:headerReference r:id="rId8" w:type="first"/>
          <w:footerReference r:id="rId10" w:type="first"/>
          <w:headerReference r:id="rId7" w:type="default"/>
          <w:footerReference r:id="rId9" w:type="default"/>
          <w:type w:val="continuous"/>
          <w:pgSz w:w="11906" w:h="16838"/>
          <w:pgMar w:top="2041" w:right="1531" w:bottom="2041" w:left="1531" w:header="851" w:footer="992" w:gutter="0"/>
          <w:cols w:space="0" w:num="1"/>
          <w:titlePg/>
          <w:docGrid w:type="lines" w:linePitch="312" w:charSpace="0"/>
        </w:sectPr>
      </w:pPr>
    </w:p>
    <w:p>
      <w:pP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rPr>
          <w:rFonts w:ascii="Times New Roman" w:hAnsi="Times New Roman" w:eastAsia="黑体" w:cs="Times New Roman"/>
          <w:sz w:val="32"/>
          <w:szCs w:val="32"/>
        </w:rPr>
        <w:sectPr>
          <w:headerReference r:id="rId12" w:type="first"/>
          <w:footerReference r:id="rId14" w:type="first"/>
          <w:headerReference r:id="rId11" w:type="default"/>
          <w:footerReference r:id="rId13"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30"/>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(一)</w:t>
      </w:r>
      <w:r>
        <w:rPr>
          <w:rFonts w:hint="eastAsia" w:ascii="仿宋" w:hAnsi="仿宋" w:eastAsia="仿宋" w:cs="Times New Roman"/>
          <w:bCs/>
          <w:sz w:val="32"/>
          <w:szCs w:val="32"/>
        </w:rPr>
        <w:tab/>
      </w:r>
      <w:r>
        <w:rPr>
          <w:rFonts w:hint="eastAsia" w:ascii="仿宋" w:hAnsi="仿宋" w:eastAsia="仿宋" w:cs="Times New Roman"/>
          <w:bCs/>
          <w:sz w:val="32"/>
          <w:szCs w:val="32"/>
        </w:rPr>
        <w:t xml:space="preserve">价格总水平调控和价格总管理 </w:t>
      </w:r>
      <w:r>
        <w:rPr>
          <w:rFonts w:hint="eastAsia" w:ascii="仿宋" w:hAnsi="仿宋" w:eastAsia="仿宋" w:cs="Times New Roman"/>
          <w:bCs/>
          <w:sz w:val="32"/>
          <w:szCs w:val="32"/>
        </w:rPr>
        <w:tab/>
      </w:r>
      <w:r>
        <w:rPr>
          <w:rFonts w:hint="eastAsia" w:ascii="仿宋" w:hAnsi="仿宋" w:eastAsia="仿宋" w:cs="Times New Roman"/>
          <w:bCs/>
          <w:sz w:val="32"/>
          <w:szCs w:val="32"/>
        </w:rPr>
        <w:t>根据国民经济发展需要和社会承受能力，拟订全区价格总水平年度调控计划和中长期调控目标，监测预测全区价格总水平及其结构变动趋势，提出调控建议。保持市场价格总水平基本稳定,努力保障改善民生，促进经济持续健康发展和社会和谐稳定。</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(二)</w:t>
      </w:r>
      <w:r>
        <w:rPr>
          <w:rFonts w:hint="eastAsia" w:ascii="仿宋" w:hAnsi="仿宋" w:eastAsia="仿宋" w:cs="Times New Roman"/>
          <w:bCs/>
          <w:sz w:val="32"/>
          <w:szCs w:val="32"/>
        </w:rPr>
        <w:tab/>
      </w:r>
      <w:r>
        <w:rPr>
          <w:rFonts w:hint="eastAsia" w:ascii="仿宋" w:hAnsi="仿宋" w:eastAsia="仿宋" w:cs="Times New Roman"/>
          <w:bCs/>
          <w:sz w:val="32"/>
          <w:szCs w:val="32"/>
        </w:rPr>
        <w:t>指导推进和综合协调经济体制改革</w:t>
      </w:r>
      <w:r>
        <w:rPr>
          <w:rFonts w:hint="eastAsia" w:ascii="仿宋" w:hAnsi="仿宋" w:eastAsia="仿宋" w:cs="Times New Roman"/>
          <w:bCs/>
          <w:sz w:val="32"/>
          <w:szCs w:val="32"/>
        </w:rPr>
        <w:tab/>
      </w:r>
      <w:r>
        <w:rPr>
          <w:rFonts w:hint="eastAsia" w:ascii="仿宋" w:hAnsi="仿宋" w:eastAsia="仿宋" w:cs="Times New Roman"/>
          <w:bCs/>
          <w:sz w:val="32"/>
          <w:szCs w:val="32"/>
        </w:rPr>
        <w:t>研究全区经济体制改革的重大问题，组织拟订综合性经济体制改革方案；协调有关专项经济体制改革，协调有关专项经济体制改革，会同有关部门搞好重要专项经济体制改革之间是链接，指导区级经济体制改革试点工作；协调解决经济体制改革进程中的重大问题。</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(三)</w:t>
      </w:r>
      <w:r>
        <w:rPr>
          <w:rFonts w:hint="eastAsia" w:ascii="仿宋" w:hAnsi="仿宋" w:eastAsia="仿宋" w:cs="Times New Roman"/>
          <w:bCs/>
          <w:sz w:val="32"/>
          <w:szCs w:val="32"/>
        </w:rPr>
        <w:tab/>
      </w:r>
      <w:r>
        <w:rPr>
          <w:rFonts w:hint="eastAsia" w:ascii="仿宋" w:hAnsi="仿宋" w:eastAsia="仿宋" w:cs="Times New Roman"/>
          <w:bCs/>
          <w:sz w:val="32"/>
          <w:szCs w:val="32"/>
        </w:rPr>
        <w:t>价格监督检查</w:t>
      </w:r>
      <w:r>
        <w:rPr>
          <w:rFonts w:hint="eastAsia" w:ascii="仿宋" w:hAnsi="仿宋" w:eastAsia="仿宋" w:cs="Times New Roman"/>
          <w:bCs/>
          <w:sz w:val="32"/>
          <w:szCs w:val="32"/>
        </w:rPr>
        <w:tab/>
      </w:r>
      <w:r>
        <w:rPr>
          <w:rFonts w:hint="eastAsia" w:ascii="仿宋" w:hAnsi="仿宋" w:eastAsia="仿宋" w:cs="Times New Roman"/>
          <w:bCs/>
          <w:sz w:val="32"/>
          <w:szCs w:val="32"/>
        </w:rPr>
        <w:t>组织价格和收费监督检查；推进价格诚信制度建设；依法办理价格举报案件；推行明码标价和价格、收费公示制度，对市场放开商品实施价格监管，加强反价格欺诈工作。治理价格违法行为，规范收费环境和价格秩序；确保价格行政执法、处罚、审理程序合法；推行明码标价，促进明码实价；促进经营者价格自律，推进价格诚信制度建设。</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(四)</w:t>
      </w:r>
      <w:r>
        <w:rPr>
          <w:rFonts w:hint="eastAsia" w:ascii="仿宋" w:hAnsi="仿宋" w:eastAsia="仿宋" w:cs="Times New Roman"/>
          <w:bCs/>
          <w:sz w:val="32"/>
          <w:szCs w:val="32"/>
        </w:rPr>
        <w:tab/>
      </w:r>
      <w:r>
        <w:rPr>
          <w:rFonts w:hint="eastAsia" w:ascii="仿宋" w:hAnsi="仿宋" w:eastAsia="仿宋" w:cs="Times New Roman"/>
          <w:bCs/>
          <w:sz w:val="32"/>
          <w:szCs w:val="32"/>
        </w:rPr>
        <w:t>物价政务管理</w:t>
      </w:r>
      <w:r>
        <w:rPr>
          <w:rFonts w:hint="eastAsia" w:ascii="仿宋" w:hAnsi="仿宋" w:eastAsia="仿宋" w:cs="Times New Roman"/>
          <w:bCs/>
          <w:sz w:val="32"/>
          <w:szCs w:val="32"/>
        </w:rPr>
        <w:tab/>
      </w:r>
      <w:r>
        <w:rPr>
          <w:rFonts w:hint="eastAsia" w:ascii="仿宋" w:hAnsi="仿宋" w:eastAsia="仿宋" w:cs="Times New Roman"/>
          <w:bCs/>
          <w:sz w:val="32"/>
          <w:szCs w:val="32"/>
        </w:rPr>
        <w:t>负责物价系统综合业务管理和机关综合事务管理。建立舆情应急处置机制，健全价格舆情监测系统，提高行政效率。</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(五)</w:t>
      </w:r>
      <w:r>
        <w:rPr>
          <w:rFonts w:hint="eastAsia" w:ascii="仿宋" w:hAnsi="仿宋" w:eastAsia="仿宋" w:cs="Times New Roman"/>
          <w:bCs/>
          <w:sz w:val="32"/>
          <w:szCs w:val="32"/>
        </w:rPr>
        <w:tab/>
      </w:r>
      <w:r>
        <w:rPr>
          <w:rFonts w:hint="eastAsia" w:ascii="仿宋" w:hAnsi="仿宋" w:eastAsia="仿宋" w:cs="Times New Roman"/>
          <w:bCs/>
          <w:sz w:val="32"/>
          <w:szCs w:val="32"/>
        </w:rPr>
        <w:t>固定资产投资调控与管理</w:t>
      </w:r>
      <w:r>
        <w:rPr>
          <w:rFonts w:hint="eastAsia" w:ascii="仿宋" w:hAnsi="仿宋" w:eastAsia="仿宋" w:cs="Times New Roman"/>
          <w:bCs/>
          <w:sz w:val="32"/>
          <w:szCs w:val="32"/>
        </w:rPr>
        <w:tab/>
      </w:r>
      <w:r>
        <w:rPr>
          <w:rFonts w:hint="eastAsia" w:ascii="仿宋" w:hAnsi="仿宋" w:eastAsia="仿宋" w:cs="Times New Roman"/>
          <w:bCs/>
          <w:sz w:val="32"/>
          <w:szCs w:val="32"/>
        </w:rPr>
        <w:t>拟订社会固定资产投资总规模和投资结构的调控目标、政策及措施，衔接政府投资和重大建设项目的专项规划；按规定权限审批、核准、审核建设项目；配合上级组织开展重点建设项目稽察,指导协调招投标工作。提升公共设施水平，提高公共服务能力，促进经济和社会发展。</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(六)</w:t>
      </w:r>
      <w:r>
        <w:rPr>
          <w:rFonts w:hint="eastAsia" w:ascii="仿宋" w:hAnsi="仿宋" w:eastAsia="仿宋" w:cs="Times New Roman"/>
          <w:bCs/>
          <w:sz w:val="32"/>
          <w:szCs w:val="32"/>
        </w:rPr>
        <w:tab/>
      </w:r>
      <w:r>
        <w:rPr>
          <w:rFonts w:hint="eastAsia" w:ascii="仿宋" w:hAnsi="仿宋" w:eastAsia="仿宋" w:cs="Times New Roman"/>
          <w:bCs/>
          <w:sz w:val="32"/>
          <w:szCs w:val="32"/>
        </w:rPr>
        <w:t>重点项目建设</w:t>
      </w:r>
      <w:r>
        <w:rPr>
          <w:rFonts w:hint="eastAsia" w:ascii="仿宋" w:hAnsi="仿宋" w:eastAsia="仿宋" w:cs="Times New Roman"/>
          <w:bCs/>
          <w:sz w:val="32"/>
          <w:szCs w:val="32"/>
        </w:rPr>
        <w:tab/>
      </w:r>
      <w:r>
        <w:rPr>
          <w:rFonts w:hint="eastAsia" w:ascii="仿宋" w:hAnsi="仿宋" w:eastAsia="仿宋" w:cs="Times New Roman"/>
          <w:bCs/>
          <w:sz w:val="32"/>
          <w:szCs w:val="32"/>
        </w:rPr>
        <w:t>规划重大项目建设和生产力布局，拟订和实施重点项目规划；组织报批实施区级以上重点项目。科学规划项目布局，协调推进重点项目建设。</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(七)</w:t>
      </w:r>
      <w:r>
        <w:rPr>
          <w:rFonts w:hint="eastAsia" w:ascii="仿宋" w:hAnsi="仿宋" w:eastAsia="仿宋" w:cs="Times New Roman"/>
          <w:bCs/>
          <w:sz w:val="32"/>
          <w:szCs w:val="32"/>
        </w:rPr>
        <w:tab/>
      </w:r>
      <w:r>
        <w:rPr>
          <w:rFonts w:hint="eastAsia" w:ascii="仿宋" w:hAnsi="仿宋" w:eastAsia="仿宋" w:cs="Times New Roman"/>
          <w:bCs/>
          <w:sz w:val="32"/>
          <w:szCs w:val="32"/>
        </w:rPr>
        <w:t>经济和社会运行监测、调节与协调</w:t>
      </w:r>
      <w:r>
        <w:rPr>
          <w:rFonts w:hint="eastAsia" w:ascii="仿宋" w:hAnsi="仿宋" w:eastAsia="仿宋" w:cs="Times New Roman"/>
          <w:bCs/>
          <w:sz w:val="32"/>
          <w:szCs w:val="32"/>
        </w:rPr>
        <w:tab/>
      </w:r>
      <w:r>
        <w:rPr>
          <w:rFonts w:hint="eastAsia" w:ascii="仿宋" w:hAnsi="仿宋" w:eastAsia="仿宋" w:cs="Times New Roman"/>
          <w:bCs/>
          <w:sz w:val="32"/>
          <w:szCs w:val="32"/>
        </w:rPr>
        <w:t>综合协调和监测调节经济社会协调发展，研究拟订重大调控政策建议并组织实施；研究提出促进就业、调整收入分配、完善社会保障与经济协调发展的政策措施，推进社会公共服务均等化；制定并组织实施产业政策；组织实施全区国民经济、装备动员。做好经济运行监测分析，协调经济社会运行平稳有序和健康发展。</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(八)</w:t>
      </w:r>
      <w:r>
        <w:rPr>
          <w:rFonts w:hint="eastAsia" w:ascii="仿宋" w:hAnsi="仿宋" w:eastAsia="仿宋" w:cs="Times New Roman"/>
          <w:bCs/>
          <w:sz w:val="32"/>
          <w:szCs w:val="32"/>
        </w:rPr>
        <w:tab/>
      </w:r>
      <w:r>
        <w:rPr>
          <w:rFonts w:hint="eastAsia" w:ascii="仿宋" w:hAnsi="仿宋" w:eastAsia="仿宋" w:cs="Times New Roman"/>
          <w:bCs/>
          <w:sz w:val="32"/>
          <w:szCs w:val="32"/>
        </w:rPr>
        <w:t>经济和能源发展、资源综合利用及环境保护  拟订全区能源发展规划并组织实施协调能源发展和改革中的重大问题；推进可持续战略，负责节能减排的综合协调工作。不断优化全区能源结构，加强能源保障，促进节能和能源综合利用，进一步改善生态环境。</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(九)</w:t>
      </w:r>
      <w:r>
        <w:rPr>
          <w:rFonts w:hint="eastAsia" w:ascii="仿宋" w:hAnsi="仿宋" w:eastAsia="仿宋" w:cs="Times New Roman"/>
          <w:bCs/>
          <w:sz w:val="32"/>
          <w:szCs w:val="32"/>
        </w:rPr>
        <w:tab/>
      </w:r>
      <w:r>
        <w:rPr>
          <w:rFonts w:hint="eastAsia" w:ascii="仿宋" w:hAnsi="仿宋" w:eastAsia="仿宋" w:cs="Times New Roman"/>
          <w:bCs/>
          <w:sz w:val="32"/>
          <w:szCs w:val="32"/>
        </w:rPr>
        <w:t>发展和改革政务管理</w:t>
      </w:r>
      <w:r>
        <w:rPr>
          <w:rFonts w:hint="eastAsia" w:ascii="仿宋" w:hAnsi="仿宋" w:eastAsia="仿宋" w:cs="Times New Roman"/>
          <w:bCs/>
          <w:sz w:val="32"/>
          <w:szCs w:val="32"/>
        </w:rPr>
        <w:tab/>
      </w:r>
      <w:r>
        <w:rPr>
          <w:rFonts w:hint="eastAsia" w:ascii="仿宋" w:hAnsi="仿宋" w:eastAsia="仿宋" w:cs="Times New Roman"/>
          <w:bCs/>
          <w:sz w:val="32"/>
          <w:szCs w:val="32"/>
        </w:rPr>
        <w:t>保障发展改革一般性日常业务开展和机关事务的基本运转。保障发展改革一般性日常业务开展和机关事务的基本运转。</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(十)</w:t>
      </w:r>
      <w:r>
        <w:rPr>
          <w:rFonts w:hint="eastAsia" w:ascii="仿宋" w:hAnsi="仿宋" w:eastAsia="仿宋" w:cs="Times New Roman"/>
          <w:bCs/>
          <w:sz w:val="32"/>
          <w:szCs w:val="32"/>
        </w:rPr>
        <w:tab/>
      </w:r>
      <w:r>
        <w:rPr>
          <w:rFonts w:hint="eastAsia" w:ascii="仿宋" w:hAnsi="仿宋" w:eastAsia="仿宋" w:cs="Times New Roman"/>
          <w:bCs/>
          <w:sz w:val="32"/>
          <w:szCs w:val="32"/>
        </w:rPr>
        <w:t>对内商贸管理</w:t>
      </w:r>
      <w:r>
        <w:rPr>
          <w:rFonts w:hint="eastAsia" w:ascii="仿宋" w:hAnsi="仿宋" w:eastAsia="仿宋" w:cs="Times New Roman"/>
          <w:bCs/>
          <w:sz w:val="32"/>
          <w:szCs w:val="32"/>
        </w:rPr>
        <w:tab/>
      </w:r>
      <w:r>
        <w:rPr>
          <w:rFonts w:hint="eastAsia" w:ascii="仿宋" w:hAnsi="仿宋" w:eastAsia="仿宋" w:cs="Times New Roman"/>
          <w:bCs/>
          <w:sz w:val="32"/>
          <w:szCs w:val="32"/>
        </w:rPr>
        <w:t>拟定全区国内贸易发展规划，推进农村市场体系建设，推动流通标准化和现代流通方式的发展，组织实施重要生产资料流通管理的责任。按照区委、区政府关于搞活商贸流通的相关要求，完成任务分解、资金安排等相关工作。</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(十一)</w:t>
      </w:r>
      <w:r>
        <w:rPr>
          <w:rFonts w:hint="eastAsia" w:ascii="仿宋" w:hAnsi="仿宋" w:eastAsia="仿宋" w:cs="Times New Roman"/>
          <w:bCs/>
          <w:sz w:val="32"/>
          <w:szCs w:val="32"/>
        </w:rPr>
        <w:tab/>
      </w:r>
      <w:r>
        <w:rPr>
          <w:rFonts w:hint="eastAsia" w:ascii="仿宋" w:hAnsi="仿宋" w:eastAsia="仿宋" w:cs="Times New Roman"/>
          <w:bCs/>
          <w:sz w:val="32"/>
          <w:szCs w:val="32"/>
        </w:rPr>
        <w:t>对外贸易管理</w:t>
      </w:r>
      <w:r>
        <w:rPr>
          <w:rFonts w:hint="eastAsia" w:ascii="仿宋" w:hAnsi="仿宋" w:eastAsia="仿宋" w:cs="Times New Roman"/>
          <w:bCs/>
          <w:sz w:val="32"/>
          <w:szCs w:val="32"/>
        </w:rPr>
        <w:tab/>
      </w:r>
      <w:r>
        <w:rPr>
          <w:rFonts w:hint="eastAsia" w:ascii="仿宋" w:hAnsi="仿宋" w:eastAsia="仿宋" w:cs="Times New Roman"/>
          <w:bCs/>
          <w:sz w:val="32"/>
          <w:szCs w:val="32"/>
        </w:rPr>
        <w:t>实施对外经济合作及外商投资计划，协调大宗进出口商品，依法监督技术引进、设备进口等工作，拟订全县服务贸易发展规划并组织实施。</w:t>
      </w:r>
      <w:r>
        <w:rPr>
          <w:rFonts w:hint="eastAsia" w:ascii="仿宋" w:hAnsi="仿宋" w:eastAsia="仿宋" w:cs="Times New Roman"/>
          <w:bCs/>
          <w:sz w:val="32"/>
          <w:szCs w:val="32"/>
        </w:rPr>
        <w:tab/>
      </w:r>
      <w:r>
        <w:rPr>
          <w:rFonts w:hint="eastAsia" w:ascii="仿宋" w:hAnsi="仿宋" w:eastAsia="仿宋" w:cs="Times New Roman"/>
          <w:bCs/>
          <w:sz w:val="32"/>
          <w:szCs w:val="32"/>
        </w:rPr>
        <w:t>促进对外贸易稳定增长，优化产品结构。</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(十二)</w:t>
      </w:r>
      <w:r>
        <w:rPr>
          <w:rFonts w:hint="eastAsia" w:ascii="仿宋" w:hAnsi="仿宋" w:eastAsia="仿宋" w:cs="Times New Roman"/>
          <w:bCs/>
          <w:sz w:val="32"/>
          <w:szCs w:val="32"/>
        </w:rPr>
        <w:tab/>
      </w:r>
      <w:r>
        <w:rPr>
          <w:rFonts w:hint="eastAsia" w:ascii="仿宋" w:hAnsi="仿宋" w:eastAsia="仿宋" w:cs="Times New Roman"/>
          <w:bCs/>
          <w:sz w:val="32"/>
          <w:szCs w:val="32"/>
        </w:rPr>
        <w:t>商贸政务管理</w:t>
      </w:r>
      <w:r>
        <w:rPr>
          <w:rFonts w:hint="eastAsia" w:ascii="仿宋" w:hAnsi="仿宋" w:eastAsia="仿宋" w:cs="Times New Roman"/>
          <w:bCs/>
          <w:sz w:val="32"/>
          <w:szCs w:val="32"/>
        </w:rPr>
        <w:tab/>
      </w:r>
      <w:r>
        <w:rPr>
          <w:rFonts w:hint="eastAsia" w:ascii="仿宋" w:hAnsi="仿宋" w:eastAsia="仿宋" w:cs="Times New Roman"/>
          <w:bCs/>
          <w:sz w:val="32"/>
          <w:szCs w:val="32"/>
        </w:rPr>
        <w:t>负责机关综合业务管理和机关综合事务管理</w:t>
      </w:r>
      <w:r>
        <w:rPr>
          <w:rFonts w:hint="eastAsia" w:ascii="仿宋" w:hAnsi="仿宋" w:eastAsia="仿宋" w:cs="Times New Roman"/>
          <w:bCs/>
          <w:sz w:val="32"/>
          <w:szCs w:val="32"/>
        </w:rPr>
        <w:tab/>
      </w:r>
      <w:r>
        <w:rPr>
          <w:rFonts w:hint="eastAsia" w:ascii="仿宋" w:hAnsi="仿宋" w:eastAsia="仿宋" w:cs="Times New Roman"/>
          <w:bCs/>
          <w:sz w:val="32"/>
          <w:szCs w:val="32"/>
        </w:rPr>
        <w:t>统筹协调全县打击侵权假冒工作，完善开发区建设发展管理体系，增强网上办事能力，确保商务顺利完成。</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(十三)</w:t>
      </w:r>
      <w:r>
        <w:rPr>
          <w:rFonts w:hint="eastAsia" w:ascii="仿宋" w:hAnsi="仿宋" w:eastAsia="仿宋" w:cs="Times New Roman"/>
          <w:bCs/>
          <w:sz w:val="32"/>
          <w:szCs w:val="32"/>
        </w:rPr>
        <w:tab/>
      </w:r>
      <w:r>
        <w:rPr>
          <w:rFonts w:hint="eastAsia" w:ascii="仿宋" w:hAnsi="仿宋" w:eastAsia="仿宋" w:cs="Times New Roman"/>
          <w:bCs/>
          <w:sz w:val="32"/>
          <w:szCs w:val="32"/>
        </w:rPr>
        <w:t>粮食调控管理</w:t>
      </w:r>
      <w:r>
        <w:rPr>
          <w:rFonts w:hint="eastAsia" w:ascii="仿宋" w:hAnsi="仿宋" w:eastAsia="仿宋" w:cs="Times New Roman"/>
          <w:bCs/>
          <w:sz w:val="32"/>
          <w:szCs w:val="32"/>
        </w:rPr>
        <w:tab/>
      </w:r>
      <w:r>
        <w:rPr>
          <w:rFonts w:hint="eastAsia" w:ascii="仿宋" w:hAnsi="仿宋" w:eastAsia="仿宋" w:cs="Times New Roman"/>
          <w:bCs/>
          <w:sz w:val="32"/>
          <w:szCs w:val="32"/>
        </w:rPr>
        <w:t>落实粮食购销政策，落实粮食最低收购价政策，保证军供等政策性粮食供应，负责区储粮行政管理，确保粮食流通规范有序</w:t>
      </w:r>
      <w:r>
        <w:rPr>
          <w:rFonts w:hint="eastAsia" w:ascii="仿宋" w:hAnsi="仿宋" w:eastAsia="仿宋" w:cs="Times New Roman"/>
          <w:bCs/>
          <w:sz w:val="32"/>
          <w:szCs w:val="32"/>
        </w:rPr>
        <w:tab/>
      </w:r>
      <w:r>
        <w:rPr>
          <w:rFonts w:hint="eastAsia" w:ascii="仿宋" w:hAnsi="仿宋" w:eastAsia="仿宋" w:cs="Times New Roman"/>
          <w:bCs/>
          <w:sz w:val="32"/>
          <w:szCs w:val="32"/>
        </w:rPr>
        <w:t>确保夏秋粮收购政策落实到位，不出现“卖粮难”；落实国家供应政策，确保军需民用；落实粮食储备政策，确保数量真实、质量良好、存储安全。</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(十四)</w:t>
      </w:r>
      <w:r>
        <w:rPr>
          <w:rFonts w:hint="eastAsia" w:ascii="仿宋" w:hAnsi="仿宋" w:eastAsia="仿宋" w:cs="Times New Roman"/>
          <w:bCs/>
          <w:sz w:val="32"/>
          <w:szCs w:val="32"/>
        </w:rPr>
        <w:tab/>
      </w:r>
      <w:r>
        <w:rPr>
          <w:rFonts w:hint="eastAsia" w:ascii="仿宋" w:hAnsi="仿宋" w:eastAsia="仿宋" w:cs="Times New Roman"/>
          <w:bCs/>
          <w:sz w:val="32"/>
          <w:szCs w:val="32"/>
        </w:rPr>
        <w:t>粮食质量安全监管</w:t>
      </w:r>
      <w:r>
        <w:rPr>
          <w:rFonts w:hint="eastAsia" w:ascii="仿宋" w:hAnsi="仿宋" w:eastAsia="仿宋" w:cs="Times New Roman"/>
          <w:bCs/>
          <w:sz w:val="32"/>
          <w:szCs w:val="32"/>
        </w:rPr>
        <w:tab/>
      </w:r>
      <w:r>
        <w:rPr>
          <w:rFonts w:hint="eastAsia" w:ascii="仿宋" w:hAnsi="仿宋" w:eastAsia="仿宋" w:cs="Times New Roman"/>
          <w:bCs/>
          <w:sz w:val="32"/>
          <w:szCs w:val="32"/>
        </w:rPr>
        <w:t>指导全区粮食储存保管及安全生产，负责对粮食收购、储存环节的粮食质量安全和原粮卫生进行监督管理</w:t>
      </w:r>
      <w:r>
        <w:rPr>
          <w:rFonts w:hint="eastAsia" w:ascii="仿宋" w:hAnsi="仿宋" w:eastAsia="仿宋" w:cs="Times New Roman"/>
          <w:bCs/>
          <w:sz w:val="32"/>
          <w:szCs w:val="32"/>
        </w:rPr>
        <w:tab/>
      </w:r>
      <w:r>
        <w:rPr>
          <w:rFonts w:hint="eastAsia" w:ascii="仿宋" w:hAnsi="仿宋" w:eastAsia="仿宋" w:cs="Times New Roman"/>
          <w:bCs/>
          <w:sz w:val="32"/>
          <w:szCs w:val="32"/>
        </w:rPr>
        <w:t>建立健全质检体系，提升检测能力，政策性粮食监管率实现100%，扩大社会粮食监管范围。</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(十五)</w:t>
      </w:r>
      <w:r>
        <w:rPr>
          <w:rFonts w:hint="eastAsia" w:ascii="仿宋" w:hAnsi="仿宋" w:eastAsia="仿宋" w:cs="Times New Roman"/>
          <w:bCs/>
          <w:sz w:val="32"/>
          <w:szCs w:val="32"/>
        </w:rPr>
        <w:tab/>
      </w:r>
      <w:r>
        <w:rPr>
          <w:rFonts w:hint="eastAsia" w:ascii="仿宋" w:hAnsi="仿宋" w:eastAsia="仿宋" w:cs="Times New Roman"/>
          <w:bCs/>
          <w:sz w:val="32"/>
          <w:szCs w:val="32"/>
        </w:rPr>
        <w:t>粮食流通行政执法</w:t>
      </w:r>
      <w:r>
        <w:rPr>
          <w:rFonts w:hint="eastAsia" w:ascii="仿宋" w:hAnsi="仿宋" w:eastAsia="仿宋" w:cs="Times New Roman"/>
          <w:bCs/>
          <w:sz w:val="32"/>
          <w:szCs w:val="32"/>
        </w:rPr>
        <w:tab/>
      </w:r>
      <w:r>
        <w:rPr>
          <w:rFonts w:hint="eastAsia" w:ascii="仿宋" w:hAnsi="仿宋" w:eastAsia="仿宋" w:cs="Times New Roman"/>
          <w:bCs/>
          <w:sz w:val="32"/>
          <w:szCs w:val="32"/>
        </w:rPr>
        <w:t>对社会粮食流通进行行政执法，依法实施行政处罚；指导行业监督检查和行业执法工作，促进行政机关依法行政，企业合法经营，维护粮食流通市场秩序，保护粮食生产者、经营者和消费者合法权益。</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(十六)</w:t>
      </w:r>
      <w:r>
        <w:rPr>
          <w:rFonts w:hint="eastAsia" w:ascii="仿宋" w:hAnsi="仿宋" w:eastAsia="仿宋" w:cs="Times New Roman"/>
          <w:bCs/>
          <w:sz w:val="32"/>
          <w:szCs w:val="32"/>
        </w:rPr>
        <w:tab/>
      </w:r>
      <w:r>
        <w:rPr>
          <w:rFonts w:hint="eastAsia" w:ascii="仿宋" w:hAnsi="仿宋" w:eastAsia="仿宋" w:cs="Times New Roman"/>
          <w:bCs/>
          <w:sz w:val="32"/>
          <w:szCs w:val="32"/>
        </w:rPr>
        <w:t>粮食政务管理</w:t>
      </w:r>
      <w:r>
        <w:rPr>
          <w:rFonts w:hint="eastAsia" w:ascii="仿宋" w:hAnsi="仿宋" w:eastAsia="仿宋" w:cs="Times New Roman"/>
          <w:bCs/>
          <w:sz w:val="32"/>
          <w:szCs w:val="32"/>
        </w:rPr>
        <w:tab/>
      </w:r>
      <w:r>
        <w:rPr>
          <w:rFonts w:hint="eastAsia" w:ascii="仿宋" w:hAnsi="仿宋" w:eastAsia="仿宋" w:cs="Times New Roman"/>
          <w:bCs/>
          <w:sz w:val="32"/>
          <w:szCs w:val="32"/>
        </w:rPr>
        <w:t>负责粮食系统综合业务管理和机关综合事务管理，确保机关正常运转，各项业务顺利推进，适应粮食事业发展需要。</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(十七)</w:t>
      </w:r>
      <w:r>
        <w:rPr>
          <w:rFonts w:hint="eastAsia" w:ascii="仿宋" w:hAnsi="仿宋" w:eastAsia="仿宋" w:cs="Times New Roman"/>
          <w:bCs/>
          <w:sz w:val="32"/>
          <w:szCs w:val="32"/>
        </w:rPr>
        <w:tab/>
      </w:r>
      <w:r>
        <w:rPr>
          <w:rFonts w:hint="eastAsia" w:ascii="仿宋" w:hAnsi="仿宋" w:eastAsia="仿宋" w:cs="Times New Roman"/>
          <w:bCs/>
          <w:sz w:val="32"/>
          <w:szCs w:val="32"/>
        </w:rPr>
        <w:t>物资下属企业管理</w:t>
      </w:r>
      <w:r>
        <w:rPr>
          <w:rFonts w:hint="eastAsia" w:ascii="仿宋" w:hAnsi="仿宋" w:eastAsia="仿宋" w:cs="Times New Roman"/>
          <w:bCs/>
          <w:sz w:val="32"/>
          <w:szCs w:val="32"/>
        </w:rPr>
        <w:tab/>
      </w:r>
      <w:r>
        <w:rPr>
          <w:rFonts w:hint="eastAsia" w:ascii="仿宋" w:hAnsi="仿宋" w:eastAsia="仿宋" w:cs="Times New Roman"/>
          <w:bCs/>
          <w:sz w:val="32"/>
          <w:szCs w:val="32"/>
        </w:rPr>
        <w:t>负责系统维稳业务及下属企业管理，尽最大力量把问题解决到基层，避免群体访和超级访。保障工作准确高效运行，相关工作顺利开展。</w:t>
      </w:r>
    </w:p>
    <w:p>
      <w:pPr>
        <w:widowControl/>
        <w:spacing w:line="580" w:lineRule="exact"/>
        <w:ind w:firstLine="640" w:firstLineChars="200"/>
      </w:pPr>
      <w:r>
        <w:rPr>
          <w:rFonts w:hint="eastAsia" w:ascii="仿宋" w:hAnsi="仿宋" w:eastAsia="仿宋" w:cs="Times New Roman"/>
          <w:bCs/>
          <w:sz w:val="32"/>
          <w:szCs w:val="32"/>
        </w:rPr>
        <w:t>(十八)</w:t>
      </w:r>
      <w:r>
        <w:rPr>
          <w:rFonts w:hint="eastAsia" w:ascii="仿宋" w:hAnsi="仿宋" w:eastAsia="仿宋" w:cs="Times New Roman"/>
          <w:bCs/>
          <w:sz w:val="32"/>
          <w:szCs w:val="32"/>
        </w:rPr>
        <w:tab/>
      </w:r>
      <w:r>
        <w:rPr>
          <w:rFonts w:hint="eastAsia" w:ascii="仿宋" w:hAnsi="仿宋" w:eastAsia="仿宋" w:cs="Times New Roman"/>
          <w:bCs/>
          <w:sz w:val="32"/>
          <w:szCs w:val="32"/>
        </w:rPr>
        <w:t>物资政务管理</w:t>
      </w:r>
      <w:r>
        <w:rPr>
          <w:rFonts w:hint="eastAsia" w:ascii="仿宋" w:hAnsi="仿宋" w:eastAsia="仿宋" w:cs="Times New Roman"/>
          <w:bCs/>
          <w:sz w:val="32"/>
          <w:szCs w:val="32"/>
        </w:rPr>
        <w:tab/>
      </w:r>
      <w:r>
        <w:rPr>
          <w:rFonts w:hint="eastAsia" w:ascii="仿宋" w:hAnsi="仿宋" w:eastAsia="仿宋" w:cs="Times New Roman"/>
          <w:bCs/>
          <w:sz w:val="32"/>
          <w:szCs w:val="32"/>
        </w:rPr>
        <w:t>负责系统综合业务管理和机关综合事务管理。依法行政，构建人民群众满意、勤政廉洁的政府部门；保障工作正常高效运行，相关工作顺利开展。</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石家庄市藁城区发展和改革局</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bl>
    <w:p>
      <w:pPr>
        <w:widowControl/>
        <w:spacing w:after="160" w:line="580" w:lineRule="exact"/>
        <w:rPr>
          <w:rFonts w:ascii="Times New Roman" w:hAnsi="Times New Roman" w:eastAsia="黑体" w:cs="Times New Roman"/>
          <w:sz w:val="32"/>
          <w:szCs w:val="32"/>
        </w:rPr>
        <w:sectPr>
          <w:footerReference r:id="rId17" w:type="first"/>
          <w:headerReference r:id="rId15" w:type="default"/>
          <w:footerReference r:id="rId16"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8"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30"/>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本部门2019年度收支总计（含结转和结余）8012.13万元。与2018年度决算相比，收支各减少3</w:t>
      </w:r>
      <w:r>
        <w:rPr>
          <w:rFonts w:ascii="仿宋_GB2312" w:hAnsi="Times New Roman" w:eastAsia="仿宋_GB2312" w:cs="DengXian-Regular"/>
          <w:sz w:val="32"/>
          <w:szCs w:val="32"/>
        </w:rPr>
        <w:t>563.26</w:t>
      </w:r>
      <w:r>
        <w:rPr>
          <w:rFonts w:hint="eastAsia" w:ascii="仿宋_GB2312" w:hAnsi="Times New Roman" w:eastAsia="仿宋_GB2312" w:cs="DengXian-Regular"/>
          <w:sz w:val="32"/>
          <w:szCs w:val="32"/>
        </w:rPr>
        <w:t>万元，减少3</w:t>
      </w:r>
      <w:r>
        <w:rPr>
          <w:rFonts w:ascii="仿宋_GB2312" w:hAnsi="Times New Roman" w:eastAsia="仿宋_GB2312" w:cs="DengXian-Regular"/>
          <w:sz w:val="32"/>
          <w:szCs w:val="32"/>
        </w:rPr>
        <w:t>0.78</w:t>
      </w:r>
      <w:r>
        <w:rPr>
          <w:rFonts w:hint="eastAsia" w:ascii="仿宋_GB2312" w:hAnsi="Times New Roman" w:eastAsia="仿宋_GB2312" w:cs="DengXian-Regular"/>
          <w:sz w:val="32"/>
          <w:szCs w:val="32"/>
        </w:rPr>
        <w:t>%，主要原因是2</w:t>
      </w:r>
      <w:r>
        <w:rPr>
          <w:rFonts w:ascii="仿宋_GB2312" w:hAnsi="Times New Roman" w:eastAsia="仿宋_GB2312" w:cs="DengXian-Regular"/>
          <w:sz w:val="32"/>
          <w:szCs w:val="32"/>
        </w:rPr>
        <w:t>018</w:t>
      </w:r>
      <w:r>
        <w:rPr>
          <w:rFonts w:hint="eastAsia" w:ascii="仿宋_GB2312" w:hAnsi="Times New Roman" w:eastAsia="仿宋_GB2312" w:cs="DengXian-Regular"/>
          <w:sz w:val="32"/>
          <w:szCs w:val="32"/>
        </w:rPr>
        <w:t>年存在大额项目，2019年相比2</w:t>
      </w:r>
      <w:r>
        <w:rPr>
          <w:rFonts w:ascii="仿宋_GB2312" w:hAnsi="Times New Roman" w:eastAsia="仿宋_GB2312" w:cs="DengXian-Regular"/>
          <w:sz w:val="32"/>
          <w:szCs w:val="32"/>
        </w:rPr>
        <w:t>018</w:t>
      </w:r>
      <w:r>
        <w:rPr>
          <w:rFonts w:hint="eastAsia" w:ascii="仿宋_GB2312" w:hAnsi="Times New Roman" w:eastAsia="仿宋_GB2312" w:cs="DengXian-Regular"/>
          <w:sz w:val="32"/>
          <w:szCs w:val="32"/>
        </w:rPr>
        <w:t>年项目资金减少。</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本部门2019年度本年收入合计4946.95万元，其中：财政拨款收入4946.95万元，占100%。</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本部门2019年度本年支出合计7814.08万元，其中：基本支出1387.98万元，占17.76%；项目支出6426.1万元，占82.24%。</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drawing>
          <wp:anchor distT="0" distB="0" distL="114300" distR="114300" simplePos="0" relativeHeight="251696128" behindDoc="0" locked="0" layoutInCell="1" allowOverlap="1">
            <wp:simplePos x="0" y="0"/>
            <wp:positionH relativeFrom="column">
              <wp:posOffset>980440</wp:posOffset>
            </wp:positionH>
            <wp:positionV relativeFrom="paragraph">
              <wp:posOffset>205740</wp:posOffset>
            </wp:positionV>
            <wp:extent cx="4413885" cy="3399790"/>
            <wp:effectExtent l="0" t="0" r="5715" b="10160"/>
            <wp:wrapTopAndBottom/>
            <wp:docPr id="33" name="图表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rPr>
          <w:rFonts w:hint="eastAsia"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本部门2019年度形成的财政拨款收支均为一般公共预算财政拨款，其中本年收入4946.95万元,比2018年度减少6628.44万元，减少57.26%，主要是项目支出减少。</w:t>
      </w:r>
    </w:p>
    <w:p>
      <w:pPr>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drawing>
          <wp:anchor distT="0" distB="0" distL="114300" distR="114300" simplePos="0" relativeHeight="251693056" behindDoc="0" locked="0" layoutInCell="1" allowOverlap="1">
            <wp:simplePos x="0" y="0"/>
            <wp:positionH relativeFrom="column">
              <wp:posOffset>835660</wp:posOffset>
            </wp:positionH>
            <wp:positionV relativeFrom="paragraph">
              <wp:posOffset>241300</wp:posOffset>
            </wp:positionV>
            <wp:extent cx="4065905" cy="3020060"/>
            <wp:effectExtent l="4445" t="4445" r="6350" b="23495"/>
            <wp:wrapSquare wrapText="bothSides"/>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snapToGrid w:val="0"/>
        <w:spacing w:line="580" w:lineRule="exact"/>
        <w:rPr>
          <w:rFonts w:ascii="楷体_GB2312" w:hAnsi="Times New Roman" w:eastAsia="楷体_GB2312" w:cs="DengXian-Bold"/>
          <w:b/>
          <w:bCs/>
          <w:sz w:val="32"/>
          <w:szCs w:val="32"/>
        </w:rPr>
      </w:pPr>
    </w:p>
    <w:p>
      <w:pPr>
        <w:snapToGrid w:val="0"/>
        <w:spacing w:line="580" w:lineRule="exact"/>
        <w:rPr>
          <w:rFonts w:ascii="楷体_GB2312" w:hAnsi="Times New Roman" w:eastAsia="楷体_GB2312" w:cs="DengXian-Bold"/>
          <w:b/>
          <w:bCs/>
          <w:color w:val="FFFFFF" w:themeColor="background1"/>
          <w:sz w:val="32"/>
          <w:szCs w:val="32"/>
          <w14:textFill>
            <w14:solidFill>
              <w14:schemeClr w14:val="bg1"/>
            </w14:solidFill>
          </w14:textFill>
        </w:rPr>
      </w:pPr>
    </w:p>
    <w:p>
      <w:pPr>
        <w:snapToGrid w:val="0"/>
        <w:spacing w:line="580" w:lineRule="exact"/>
        <w:rPr>
          <w:rFonts w:ascii="楷体_GB2312" w:hAnsi="Times New Roman" w:eastAsia="楷体_GB2312" w:cs="DengXian-Bold"/>
          <w:b/>
          <w:bCs/>
          <w:sz w:val="32"/>
          <w:szCs w:val="32"/>
        </w:rPr>
      </w:pPr>
    </w:p>
    <w:p>
      <w:pPr>
        <w:snapToGrid w:val="0"/>
        <w:spacing w:line="580" w:lineRule="exact"/>
        <w:rPr>
          <w:rFonts w:ascii="楷体_GB2312" w:hAnsi="Times New Roman" w:eastAsia="楷体_GB2312" w:cs="DengXian-Bold"/>
          <w:b/>
          <w:bCs/>
          <w:sz w:val="32"/>
          <w:szCs w:val="32"/>
        </w:rPr>
      </w:pPr>
    </w:p>
    <w:p>
      <w:pPr>
        <w:snapToGrid w:val="0"/>
        <w:spacing w:line="580" w:lineRule="exact"/>
        <w:rPr>
          <w:rFonts w:ascii="楷体_GB2312" w:hAnsi="Times New Roman" w:eastAsia="楷体_GB2312" w:cs="DengXian-Bold"/>
          <w:b/>
          <w:bCs/>
          <w:sz w:val="32"/>
          <w:szCs w:val="32"/>
        </w:rPr>
      </w:pPr>
    </w:p>
    <w:p>
      <w:pPr>
        <w:snapToGrid w:val="0"/>
        <w:spacing w:line="580" w:lineRule="exact"/>
        <w:rPr>
          <w:rFonts w:ascii="楷体_GB2312" w:hAnsi="Times New Roman" w:eastAsia="楷体_GB2312" w:cs="DengXian-Bold"/>
          <w:b/>
          <w:bCs/>
          <w:sz w:val="32"/>
          <w:szCs w:val="32"/>
        </w:rPr>
      </w:pPr>
    </w:p>
    <w:p>
      <w:pPr>
        <w:snapToGrid w:val="0"/>
        <w:spacing w:line="580" w:lineRule="exact"/>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4946.95万元，完成年初预算的249.12%,比年初预算增加2961.22万元，决算数大于预算数主要原因是中途追加了部分项目，如2019年重点研发专项项目资金（省校科技合作开发）150万元、关于拨付2017年万家乐燃气炉具部分乡镇剩余财政补贴资金509.54万元等。</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94080" behindDoc="0" locked="0" layoutInCell="1" allowOverlap="1">
            <wp:simplePos x="0" y="0"/>
            <wp:positionH relativeFrom="column">
              <wp:posOffset>999490</wp:posOffset>
            </wp:positionH>
            <wp:positionV relativeFrom="paragraph">
              <wp:posOffset>361315</wp:posOffset>
            </wp:positionV>
            <wp:extent cx="3642360" cy="2926715"/>
            <wp:effectExtent l="4445" t="4445" r="10795" b="21590"/>
            <wp:wrapSquare wrapText="bothSides"/>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7814.08万元，主要用于以下方面：一般公共服务支出2003.38万元，占比25.64%、科学技术支出290万元，占比3.71%、节能环保支出1856.91万元，占比23.76%、农林水支出218万元，占比2.79%、资源勘探信息支出155万元，占比1.98%、商业服务业支出723.79万元，占比9.26%、粮油物资储备支出6万元，占比0.076%、其他支出2561万元，占比32.77%。</w:t>
      </w:r>
    </w:p>
    <w:p>
      <w:pPr>
        <w:adjustRightInd w:val="0"/>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drawing>
          <wp:anchor distT="0" distB="0" distL="114300" distR="114300" simplePos="0" relativeHeight="251695104" behindDoc="0" locked="0" layoutInCell="1" allowOverlap="1">
            <wp:simplePos x="0" y="0"/>
            <wp:positionH relativeFrom="column">
              <wp:posOffset>836930</wp:posOffset>
            </wp:positionH>
            <wp:positionV relativeFrom="paragraph">
              <wp:posOffset>240030</wp:posOffset>
            </wp:positionV>
            <wp:extent cx="4333875" cy="4467225"/>
            <wp:effectExtent l="38100" t="0" r="47625" b="9525"/>
            <wp:wrapSquare wrapText="bothSides"/>
            <wp:docPr id="224" name="图表 2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年度财政拨款基本支出1387.98万元，其中：人员经费 1312.1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75.88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本部门2019年度“三公”经费支出共计0.69万元，完成预算的31.36%,较预算减少1.51万元，降低68.64%，主要是认真贯彻落实中央八项规定精神和厉行节约要求，全年实际支出比预算有所节约；较2018年度</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0.69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机构改革合并</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人员和事务增加。</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因公出国（境）费支出0万元。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公务用车购置及运行维护费支出0.69万元。</w:t>
      </w:r>
      <w:r>
        <w:rPr>
          <w:rFonts w:hint="eastAsia" w:ascii="仿宋_GB2312" w:hAnsi="Times New Roman" w:eastAsia="仿宋_GB2312" w:cs="DengXian-Regular"/>
          <w:sz w:val="32"/>
          <w:szCs w:val="32"/>
        </w:rPr>
        <w:t>本部门2019年度公务用车购置及运行维护费较预算减少1.51万元，降低68.64%,主要是认真贯彻落实中央八项规定精神和厉行节约要求</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全年实际支出比预算有所节约；较上年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0.69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机构改革合并，人员和事务增加</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本部门2019年度公务用车购置量0辆，发生“公务用车购置”经费支出0万元。公务用车购置费支出较年初预算持平、与2018年度决算支出持平。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本部门2019年度单位公务用车保有量1辆。公车运行维护费支出较预算减少1.51万元，降低68.64%,主要是认真贯彻落实中央八项规定</w:t>
      </w:r>
      <w:bookmarkStart w:id="1" w:name="_GoBack"/>
      <w:bookmarkEnd w:id="1"/>
      <w:r>
        <w:rPr>
          <w:rFonts w:hint="eastAsia" w:ascii="仿宋_GB2312" w:hAnsi="Times New Roman" w:eastAsia="仿宋_GB2312" w:cs="DengXian-Regular"/>
          <w:sz w:val="32"/>
          <w:szCs w:val="32"/>
        </w:rPr>
        <w:t>精神和厉行节约要求，全年实际支出比预算有所节约；较上</w:t>
      </w:r>
      <w:r>
        <w:rPr>
          <w:rFonts w:hint="eastAsia" w:ascii="仿宋_GB2312" w:hAnsi="Times New Roman" w:eastAsia="仿宋_GB2312" w:cs="DengXian-Regular"/>
          <w:sz w:val="32"/>
          <w:szCs w:val="32"/>
          <w:lang w:eastAsia="zh-CN"/>
        </w:rPr>
        <w:t>年增加</w:t>
      </w:r>
      <w:r>
        <w:rPr>
          <w:rFonts w:hint="eastAsia" w:ascii="仿宋_GB2312" w:hAnsi="Times New Roman" w:eastAsia="仿宋_GB2312" w:cs="DengXian-Regular"/>
          <w:sz w:val="32"/>
          <w:szCs w:val="32"/>
          <w:lang w:val="en-US" w:eastAsia="zh-CN"/>
        </w:rPr>
        <w:t>0.69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机构改革合并，人员和事务增加</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根据预算绩效管理要求，本部门组织对2019年度一般公共预算项目支出全面开展绩效自评，其中，一级项目0个，二级项目</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2444</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38</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重点项目跑办</w:t>
      </w:r>
      <w:r>
        <w:rPr>
          <w:rFonts w:hint="eastAsia" w:ascii="仿宋_GB2312" w:hAnsi="仿宋_GB2312" w:eastAsia="仿宋_GB2312" w:cs="仿宋_GB2312"/>
          <w:sz w:val="32"/>
          <w:szCs w:val="32"/>
        </w:rPr>
        <w:t>经费”“</w:t>
      </w:r>
      <w:r>
        <w:rPr>
          <w:rFonts w:hint="eastAsia" w:ascii="仿宋_GB2312" w:hAnsi="仿宋_GB2312" w:eastAsia="仿宋_GB2312" w:cs="仿宋_GB2312"/>
          <w:sz w:val="32"/>
          <w:szCs w:val="32"/>
          <w:lang w:eastAsia="zh-CN"/>
        </w:rPr>
        <w:t>招商引资</w:t>
      </w:r>
      <w:r>
        <w:rPr>
          <w:rFonts w:hint="eastAsia" w:ascii="仿宋_GB2312" w:hAnsi="仿宋_GB2312" w:eastAsia="仿宋_GB2312" w:cs="仿宋_GB2312"/>
          <w:sz w:val="32"/>
          <w:szCs w:val="32"/>
        </w:rPr>
        <w:t>工作经费”等</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2444</w:t>
      </w:r>
      <w:r>
        <w:rPr>
          <w:rFonts w:hint="eastAsia" w:ascii="仿宋_GB2312" w:hAnsi="仿宋_GB2312" w:eastAsia="仿宋_GB2312" w:cs="仿宋_GB2312"/>
          <w:sz w:val="32"/>
          <w:szCs w:val="32"/>
        </w:rPr>
        <w:t>万元，政府性基金预算支出0万元。从评价情况来看，本单位对部门全面规范绩效预算编制、严格预算执行管理、推进绩效评价工作等方面进行了自评，考核结果为优秀。根据预算绩效管理要求，本单位组织对2019年度一般公共预算项目支出全面开展绩效自评，涉及</w:t>
      </w:r>
      <w:r>
        <w:rPr>
          <w:rFonts w:hint="eastAsia" w:ascii="仿宋_GB2312" w:hAnsi="仿宋_GB2312" w:eastAsia="仿宋_GB2312" w:cs="仿宋_GB2312"/>
          <w:sz w:val="32"/>
          <w:szCs w:val="32"/>
          <w:lang w:eastAsia="zh-CN"/>
        </w:rPr>
        <w:t>重点项目</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招商引资</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个项目，涉及资金</w:t>
      </w:r>
      <w:r>
        <w:rPr>
          <w:rFonts w:hint="eastAsia" w:ascii="仿宋_GB2312" w:hAnsi="仿宋_GB2312" w:eastAsia="仿宋_GB2312" w:cs="仿宋_GB2312"/>
          <w:sz w:val="32"/>
          <w:szCs w:val="32"/>
          <w:lang w:val="en-US" w:eastAsia="zh-CN"/>
        </w:rPr>
        <w:t>2444</w:t>
      </w:r>
      <w:r>
        <w:rPr>
          <w:rFonts w:hint="eastAsia" w:ascii="仿宋_GB2312" w:hAnsi="仿宋_GB2312" w:eastAsia="仿宋_GB2312" w:cs="仿宋_GB2312"/>
          <w:sz w:val="32"/>
          <w:szCs w:val="32"/>
        </w:rPr>
        <w:t>万元。自评总体情况良好.总体来看，我</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不断强化依法理财、科学理财的意识，以绩效为导向，预算支出管理较为规范，能按照有关规章制度开展工作；重大支出项目立项规范，资金到位及时，资金使用较合理规范，实现了部门职责绩效目标。</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 “</w:t>
      </w:r>
      <w:r>
        <w:rPr>
          <w:rFonts w:hint="eastAsia" w:ascii="仿宋_GB2312" w:hAnsi="仿宋_GB2312" w:eastAsia="仿宋_GB2312" w:cs="仿宋_GB2312"/>
          <w:sz w:val="32"/>
          <w:szCs w:val="32"/>
          <w:lang w:eastAsia="zh-CN"/>
        </w:rPr>
        <w:t>重点项目跑办</w:t>
      </w:r>
      <w:r>
        <w:rPr>
          <w:rFonts w:hint="eastAsia" w:ascii="仿宋_GB2312" w:hAnsi="仿宋_GB2312" w:eastAsia="仿宋_GB2312" w:cs="仿宋_GB2312"/>
          <w:sz w:val="32"/>
          <w:szCs w:val="32"/>
        </w:rPr>
        <w:t>经费”项目及 “</w:t>
      </w:r>
      <w:r>
        <w:rPr>
          <w:rFonts w:hint="eastAsia" w:ascii="仿宋_GB2312" w:hAnsi="仿宋_GB2312" w:eastAsia="仿宋_GB2312" w:cs="仿宋_GB2312"/>
          <w:sz w:val="32"/>
          <w:szCs w:val="32"/>
          <w:lang w:eastAsia="zh-CN"/>
        </w:rPr>
        <w:t>招商引资</w:t>
      </w:r>
      <w:r>
        <w:rPr>
          <w:rFonts w:hint="eastAsia" w:ascii="仿宋_GB2312" w:hAnsi="仿宋_GB2312" w:eastAsia="仿宋_GB2312" w:cs="仿宋_GB2312"/>
          <w:sz w:val="32"/>
          <w:szCs w:val="32"/>
        </w:rPr>
        <w:t>工作经费” 项目等</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个项目绩效自评结果。</w:t>
      </w:r>
    </w:p>
    <w:p>
      <w:pPr>
        <w:adjustRightInd w:val="0"/>
        <w:snapToGrid w:val="0"/>
        <w:spacing w:line="620" w:lineRule="exact"/>
        <w:ind w:firstLine="640" w:firstLineChars="200"/>
        <w:rPr>
          <w:rFonts w:hint="eastAsia" w:ascii="仿宋_GB2312" w:hAnsi="仿宋" w:eastAsia="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重点项目跑办</w:t>
      </w:r>
      <w:r>
        <w:rPr>
          <w:rFonts w:hint="eastAsia" w:ascii="仿宋_GB2312" w:hAnsi="仿宋_GB2312" w:eastAsia="仿宋_GB2312" w:cs="仿宋_GB2312"/>
          <w:sz w:val="32"/>
          <w:szCs w:val="32"/>
        </w:rPr>
        <w:t>经费”项目自评综述：根据年初设定的绩效目标，“</w:t>
      </w:r>
      <w:r>
        <w:rPr>
          <w:rFonts w:hint="eastAsia" w:ascii="仿宋_GB2312" w:hAnsi="仿宋_GB2312" w:eastAsia="仿宋_GB2312" w:cs="仿宋_GB2312"/>
          <w:sz w:val="32"/>
          <w:szCs w:val="32"/>
          <w:lang w:eastAsia="zh-CN"/>
        </w:rPr>
        <w:t>重点项目跑办</w:t>
      </w:r>
      <w:r>
        <w:rPr>
          <w:rFonts w:hint="eastAsia" w:ascii="仿宋_GB2312" w:hAnsi="仿宋_GB2312" w:eastAsia="仿宋_GB2312" w:cs="仿宋_GB2312"/>
          <w:sz w:val="32"/>
          <w:szCs w:val="32"/>
        </w:rPr>
        <w:t>经费”项目绩效自评得分为9</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万元，完成预算的100%。项目绩效目标完成情况：</w:t>
      </w:r>
      <w:r>
        <w:rPr>
          <w:rFonts w:hint="eastAsia" w:ascii="仿宋_GB2312" w:hAnsi="仿宋_GB2312" w:eastAsia="仿宋_GB2312" w:cs="仿宋_GB2312"/>
          <w:sz w:val="32"/>
          <w:szCs w:val="32"/>
          <w:lang w:eastAsia="zh-CN"/>
        </w:rPr>
        <w:t>一是</w:t>
      </w:r>
      <w:r>
        <w:rPr>
          <w:rFonts w:hint="eastAsia" w:ascii="仿宋" w:hAnsi="仿宋" w:eastAsia="仿宋"/>
          <w:sz w:val="32"/>
          <w:szCs w:val="32"/>
        </w:rPr>
        <w:t>业务管理情况分析。</w:t>
      </w:r>
      <w:r>
        <w:rPr>
          <w:rFonts w:hint="eastAsia" w:ascii="仿宋_GB2312" w:eastAsia="仿宋_GB2312"/>
          <w:sz w:val="32"/>
          <w:szCs w:val="32"/>
          <w:lang w:val="en-US" w:eastAsia="zh-CN"/>
        </w:rPr>
        <w:t>单位组织相关人员对项目实施过程全程管理，有效保证了管理制度健全性、制度执行有效性和项目质量可控性</w:t>
      </w:r>
      <w:r>
        <w:rPr>
          <w:rFonts w:hint="eastAsia" w:ascii="仿宋" w:hAnsi="仿宋" w:eastAsia="仿宋"/>
          <w:sz w:val="32"/>
          <w:szCs w:val="32"/>
        </w:rPr>
        <w:t>。</w:t>
      </w:r>
      <w:r>
        <w:rPr>
          <w:rFonts w:hint="eastAsia" w:ascii="仿宋" w:hAnsi="仿宋" w:eastAsia="仿宋"/>
          <w:sz w:val="32"/>
          <w:szCs w:val="32"/>
          <w:lang w:eastAsia="zh-CN"/>
        </w:rPr>
        <w:t>二是</w:t>
      </w:r>
      <w:r>
        <w:rPr>
          <w:rFonts w:hint="eastAsia" w:ascii="仿宋" w:hAnsi="仿宋" w:eastAsia="仿宋"/>
          <w:sz w:val="32"/>
          <w:szCs w:val="32"/>
        </w:rPr>
        <w:t>财务管理</w:t>
      </w:r>
      <w:r>
        <w:rPr>
          <w:rFonts w:hint="eastAsia" w:ascii="仿宋" w:hAnsi="仿宋" w:eastAsia="仿宋"/>
          <w:sz w:val="32"/>
          <w:szCs w:val="32"/>
          <w:lang w:eastAsia="zh-CN"/>
        </w:rPr>
        <w:t>情况，</w:t>
      </w:r>
      <w:r>
        <w:rPr>
          <w:rFonts w:hint="eastAsia" w:ascii="仿宋_GB2312" w:hAnsi="仿宋" w:eastAsia="仿宋_GB2312"/>
          <w:sz w:val="32"/>
          <w:szCs w:val="32"/>
        </w:rPr>
        <w:t>2019年度</w:t>
      </w:r>
      <w:r>
        <w:rPr>
          <w:rFonts w:hint="eastAsia" w:ascii="仿宋_GB2312" w:hAnsi="仿宋" w:eastAsia="仿宋_GB2312"/>
          <w:sz w:val="32"/>
          <w:szCs w:val="32"/>
          <w:lang w:eastAsia="zh-CN"/>
        </w:rPr>
        <w:t>石家庄市藁城区</w:t>
      </w:r>
      <w:r>
        <w:rPr>
          <w:rFonts w:hint="eastAsia" w:ascii="仿宋_GB2312" w:hAnsi="仿宋" w:eastAsia="仿宋_GB2312"/>
          <w:sz w:val="32"/>
          <w:szCs w:val="32"/>
          <w:lang w:val="en-US" w:eastAsia="zh-CN"/>
        </w:rPr>
        <w:t>发展和改革局</w:t>
      </w:r>
      <w:r>
        <w:rPr>
          <w:rFonts w:hint="eastAsia" w:ascii="仿宋_GB2312" w:hAnsi="仿宋" w:eastAsia="仿宋_GB2312"/>
          <w:sz w:val="32"/>
          <w:szCs w:val="32"/>
        </w:rPr>
        <w:t>严格执行财经制度和管理规定，按时完成预算执行进度，严格控制、合理利用各项经费，鼓励合法合规的经费开支，按要求进行预算管理。</w:t>
      </w:r>
    </w:p>
    <w:tbl>
      <w:tblPr>
        <w:tblStyle w:val="6"/>
        <w:tblpPr w:leftFromText="180" w:rightFromText="180" w:vertAnchor="text" w:horzAnchor="page" w:tblpX="1064" w:tblpY="1926"/>
        <w:tblOverlap w:val="never"/>
        <w:tblW w:w="10080" w:type="dxa"/>
        <w:tblInd w:w="0" w:type="dxa"/>
        <w:shd w:val="clear" w:color="auto" w:fill="auto"/>
        <w:tblLayout w:type="fixed"/>
        <w:tblCellMar>
          <w:top w:w="0" w:type="dxa"/>
          <w:left w:w="0" w:type="dxa"/>
          <w:bottom w:w="0" w:type="dxa"/>
          <w:right w:w="0" w:type="dxa"/>
        </w:tblCellMar>
      </w:tblPr>
      <w:tblGrid>
        <w:gridCol w:w="1606"/>
        <w:gridCol w:w="1500"/>
        <w:gridCol w:w="1107"/>
        <w:gridCol w:w="1410"/>
        <w:gridCol w:w="1080"/>
        <w:gridCol w:w="1320"/>
        <w:gridCol w:w="1276"/>
        <w:gridCol w:w="781"/>
      </w:tblGrid>
      <w:tr>
        <w:tblPrEx>
          <w:tblLayout w:type="fixed"/>
          <w:tblCellMar>
            <w:top w:w="0" w:type="dxa"/>
            <w:left w:w="0" w:type="dxa"/>
            <w:bottom w:w="0" w:type="dxa"/>
            <w:right w:w="0" w:type="dxa"/>
          </w:tblCellMar>
        </w:tblPrEx>
        <w:trPr>
          <w:trHeight w:val="270" w:hRule="atLeast"/>
        </w:trPr>
        <w:tc>
          <w:tcPr>
            <w:tcW w:w="10080"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shd w:val="clear" w:color="auto" w:fill="auto"/>
          <w:tblLayout w:type="fixed"/>
          <w:tblCellMar>
            <w:top w:w="0" w:type="dxa"/>
            <w:left w:w="0" w:type="dxa"/>
            <w:bottom w:w="0" w:type="dxa"/>
            <w:right w:w="0" w:type="dxa"/>
          </w:tblCellMar>
        </w:tblPrEx>
        <w:trPr>
          <w:trHeight w:val="270" w:hRule="atLeast"/>
        </w:trPr>
        <w:tc>
          <w:tcPr>
            <w:tcW w:w="10080"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Layout w:type="fixed"/>
          <w:tblCellMar>
            <w:top w:w="0" w:type="dxa"/>
            <w:left w:w="0" w:type="dxa"/>
            <w:bottom w:w="0" w:type="dxa"/>
            <w:right w:w="0" w:type="dxa"/>
          </w:tblCellMar>
        </w:tblPrEx>
        <w:trPr>
          <w:trHeight w:val="300" w:hRule="atLeast"/>
        </w:trPr>
        <w:tc>
          <w:tcPr>
            <w:tcW w:w="1008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shd w:val="clear" w:color="auto" w:fill="auto"/>
          <w:tblLayout w:type="fixed"/>
          <w:tblCellMar>
            <w:top w:w="0" w:type="dxa"/>
            <w:left w:w="0" w:type="dxa"/>
            <w:bottom w:w="0" w:type="dxa"/>
            <w:right w:w="0" w:type="dxa"/>
          </w:tblCellMar>
        </w:tblPrEx>
        <w:trPr>
          <w:trHeight w:val="270" w:hRule="atLeast"/>
        </w:trPr>
        <w:tc>
          <w:tcPr>
            <w:tcW w:w="5623" w:type="dxa"/>
            <w:gridSpan w:val="4"/>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填报单位：石家庄市藁城区发展和改革局</w:t>
            </w:r>
          </w:p>
        </w:tc>
        <w:tc>
          <w:tcPr>
            <w:tcW w:w="108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057"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Layout w:type="fixed"/>
          <w:tblCellMar>
            <w:top w:w="0" w:type="dxa"/>
            <w:left w:w="0" w:type="dxa"/>
            <w:bottom w:w="0" w:type="dxa"/>
            <w:right w:w="0" w:type="dxa"/>
          </w:tblCellMar>
        </w:tblPrEx>
        <w:trPr>
          <w:trHeight w:val="540" w:hRule="atLeast"/>
        </w:trPr>
        <w:tc>
          <w:tcPr>
            <w:tcW w:w="16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5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重点项目跑办费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37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石家庄市藁城区发展和改革局</w:t>
            </w:r>
          </w:p>
        </w:tc>
      </w:tr>
      <w:tr>
        <w:tblPrEx>
          <w:tblLayout w:type="fixed"/>
          <w:tblCellMar>
            <w:top w:w="0" w:type="dxa"/>
            <w:left w:w="0" w:type="dxa"/>
            <w:bottom w:w="0" w:type="dxa"/>
            <w:right w:w="0" w:type="dxa"/>
          </w:tblCellMar>
        </w:tblPrEx>
        <w:trPr>
          <w:trHeight w:val="270" w:hRule="atLeast"/>
        </w:trPr>
        <w:tc>
          <w:tcPr>
            <w:tcW w:w="16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6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5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Layout w:type="fixed"/>
          <w:tblCellMar>
            <w:top w:w="0" w:type="dxa"/>
            <w:left w:w="0" w:type="dxa"/>
            <w:bottom w:w="0" w:type="dxa"/>
            <w:right w:w="0" w:type="dxa"/>
          </w:tblCellMar>
        </w:tblPrEx>
        <w:trPr>
          <w:trHeight w:val="27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78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（=执行数/预算数*100%）</w:t>
            </w:r>
          </w:p>
        </w:tc>
      </w:tr>
      <w:tr>
        <w:tblPrEx>
          <w:tblLayout w:type="fixed"/>
          <w:tblCellMar>
            <w:top w:w="0" w:type="dxa"/>
            <w:left w:w="0" w:type="dxa"/>
            <w:bottom w:w="0" w:type="dxa"/>
            <w:right w:w="0" w:type="dxa"/>
          </w:tblCellMar>
        </w:tblPrEx>
        <w:trPr>
          <w:trHeight w:val="54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7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270" w:hRule="atLeast"/>
        </w:trPr>
        <w:tc>
          <w:tcPr>
            <w:tcW w:w="16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01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6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shd w:val="clear" w:color="auto" w:fill="auto"/>
          <w:tblLayout w:type="fixed"/>
          <w:tblCellMar>
            <w:top w:w="0" w:type="dxa"/>
            <w:left w:w="0" w:type="dxa"/>
            <w:bottom w:w="0" w:type="dxa"/>
            <w:right w:w="0" w:type="dxa"/>
          </w:tblCellMar>
        </w:tblPrEx>
        <w:trPr>
          <w:trHeight w:val="90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01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确保我区重点项目建设在石家庄市的领先水平</w:t>
            </w:r>
          </w:p>
        </w:tc>
        <w:tc>
          <w:tcPr>
            <w:tcW w:w="36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已完成</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Layout w:type="fixed"/>
          <w:tblCellMar>
            <w:top w:w="0" w:type="dxa"/>
            <w:left w:w="0" w:type="dxa"/>
            <w:bottom w:w="0" w:type="dxa"/>
            <w:right w:w="0" w:type="dxa"/>
          </w:tblCellMar>
        </w:tblPrEx>
        <w:trPr>
          <w:trHeight w:val="375" w:hRule="atLeast"/>
        </w:trPr>
        <w:tc>
          <w:tcPr>
            <w:tcW w:w="16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shd w:val="clear" w:color="auto" w:fill="auto"/>
          <w:tblLayout w:type="fixed"/>
          <w:tblCellMar>
            <w:top w:w="0" w:type="dxa"/>
            <w:left w:w="0" w:type="dxa"/>
            <w:bottom w:w="0" w:type="dxa"/>
            <w:right w:w="0" w:type="dxa"/>
          </w:tblCellMar>
        </w:tblPrEx>
        <w:trPr>
          <w:trHeight w:val="1095"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按要求和计划，力争我区计划开工项目全部实现开工建设</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90%-100%</w:t>
            </w:r>
          </w:p>
        </w:tc>
        <w:tc>
          <w:tcPr>
            <w:tcW w:w="12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r>
      <w:tr>
        <w:tblPrEx>
          <w:shd w:val="clear" w:color="auto" w:fill="auto"/>
          <w:tblLayout w:type="fixed"/>
          <w:tblCellMar>
            <w:top w:w="0" w:type="dxa"/>
            <w:left w:w="0" w:type="dxa"/>
            <w:bottom w:w="0" w:type="dxa"/>
            <w:right w:w="0" w:type="dxa"/>
          </w:tblCellMar>
        </w:tblPrEx>
        <w:trPr>
          <w:trHeight w:val="27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54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98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积极跑办和申报我区更多的项目列入省市重点项目建设计划</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90%-100%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Layout w:type="fixed"/>
          <w:tblCellMar>
            <w:top w:w="0" w:type="dxa"/>
            <w:left w:w="0" w:type="dxa"/>
            <w:bottom w:w="0" w:type="dxa"/>
            <w:right w:w="0" w:type="dxa"/>
          </w:tblCellMar>
        </w:tblPrEx>
        <w:trPr>
          <w:trHeight w:val="27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54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shd w:val="clear" w:color="auto" w:fill="auto"/>
          <w:tblLayout w:type="fixed"/>
          <w:tblCellMar>
            <w:top w:w="0" w:type="dxa"/>
            <w:left w:w="0" w:type="dxa"/>
            <w:bottom w:w="0" w:type="dxa"/>
            <w:right w:w="0" w:type="dxa"/>
          </w:tblCellMar>
        </w:tblPrEx>
        <w:trPr>
          <w:trHeight w:val="116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按要求和计划，力争完成上级下达的投资计划，带动我区固定资产投入</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Layout w:type="fixed"/>
          <w:tblCellMar>
            <w:top w:w="0" w:type="dxa"/>
            <w:left w:w="0" w:type="dxa"/>
            <w:bottom w:w="0" w:type="dxa"/>
            <w:right w:w="0" w:type="dxa"/>
          </w:tblCellMar>
        </w:tblPrEx>
        <w:trPr>
          <w:trHeight w:val="27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28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106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为明年争取更多的重点项目纳入省市重点项目建设计划打好基础</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90%-100%</w:t>
            </w:r>
          </w:p>
        </w:tc>
        <w:tc>
          <w:tcPr>
            <w:tcW w:w="12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r>
      <w:tr>
        <w:tblPrEx>
          <w:tblLayout w:type="fixed"/>
          <w:tblCellMar>
            <w:top w:w="0" w:type="dxa"/>
            <w:left w:w="0" w:type="dxa"/>
            <w:bottom w:w="0" w:type="dxa"/>
            <w:right w:w="0" w:type="dxa"/>
          </w:tblCellMar>
        </w:tblPrEx>
        <w:trPr>
          <w:trHeight w:val="27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27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生态效益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27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项目单位满意度</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Layout w:type="fixed"/>
          <w:tblCellMar>
            <w:top w:w="0" w:type="dxa"/>
            <w:left w:w="0" w:type="dxa"/>
            <w:bottom w:w="0" w:type="dxa"/>
            <w:right w:w="0" w:type="dxa"/>
          </w:tblCellMar>
        </w:tblPrEx>
        <w:trPr>
          <w:trHeight w:val="27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270" w:hRule="atLeast"/>
        </w:trPr>
        <w:tc>
          <w:tcPr>
            <w:tcW w:w="16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693"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w:t>
            </w:r>
          </w:p>
        </w:tc>
      </w:tr>
      <w:tr>
        <w:tblPrEx>
          <w:tblLayout w:type="fixed"/>
          <w:tblCellMar>
            <w:top w:w="0" w:type="dxa"/>
            <w:left w:w="0" w:type="dxa"/>
            <w:bottom w:w="0" w:type="dxa"/>
            <w:right w:w="0" w:type="dxa"/>
          </w:tblCellMar>
        </w:tblPrEx>
        <w:trPr>
          <w:trHeight w:val="1005" w:hRule="atLeast"/>
        </w:trPr>
        <w:tc>
          <w:tcPr>
            <w:tcW w:w="16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47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r>
        <w:tblPrEx>
          <w:shd w:val="clear" w:color="auto" w:fill="auto"/>
          <w:tblLayout w:type="fixed"/>
          <w:tblCellMar>
            <w:top w:w="0" w:type="dxa"/>
            <w:left w:w="0" w:type="dxa"/>
            <w:bottom w:w="0" w:type="dxa"/>
            <w:right w:w="0" w:type="dxa"/>
          </w:tblCellMar>
        </w:tblPrEx>
        <w:trPr>
          <w:trHeight w:val="270" w:hRule="atLeast"/>
        </w:trPr>
        <w:tc>
          <w:tcPr>
            <w:tcW w:w="3106"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填报人：任剑峰</w:t>
            </w:r>
          </w:p>
        </w:tc>
        <w:tc>
          <w:tcPr>
            <w:tcW w:w="110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3676"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联系电话：88165627</w:t>
            </w:r>
          </w:p>
        </w:tc>
        <w:tc>
          <w:tcPr>
            <w:tcW w:w="78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numPr>
          <w:ilvl w:val="0"/>
          <w:numId w:val="0"/>
        </w:numPr>
        <w:adjustRightInd w:val="0"/>
        <w:snapToGrid w:val="0"/>
        <w:spacing w:line="580" w:lineRule="exact"/>
        <w:rPr>
          <w:rFonts w:ascii="仿宋_GB2312" w:hAnsi="仿宋_GB2312" w:eastAsia="仿宋_GB2312" w:cs="仿宋_GB2312"/>
          <w:sz w:val="32"/>
          <w:szCs w:val="32"/>
        </w:rPr>
      </w:pPr>
    </w:p>
    <w:p>
      <w:pPr>
        <w:adjustRightInd w:val="0"/>
        <w:snapToGrid w:val="0"/>
        <w:spacing w:line="580" w:lineRule="exact"/>
        <w:rPr>
          <w:rFonts w:ascii="仿宋_GB2312" w:hAnsi="仿宋_GB2312" w:eastAsia="仿宋_GB2312" w:cs="仿宋_GB2312"/>
          <w:sz w:val="32"/>
          <w:szCs w:val="32"/>
        </w:rPr>
      </w:pPr>
    </w:p>
    <w:p>
      <w:pPr>
        <w:adjustRightInd w:val="0"/>
        <w:snapToGrid w:val="0"/>
        <w:spacing w:line="580" w:lineRule="exact"/>
        <w:rPr>
          <w:rFonts w:ascii="仿宋_GB2312" w:hAnsi="仿宋_GB2312" w:eastAsia="仿宋_GB2312" w:cs="仿宋_GB2312"/>
          <w:sz w:val="32"/>
          <w:szCs w:val="32"/>
        </w:rPr>
      </w:pPr>
    </w:p>
    <w:p>
      <w:pPr>
        <w:adjustRightInd w:val="0"/>
        <w:snapToGrid w:val="0"/>
        <w:spacing w:line="580" w:lineRule="exact"/>
        <w:rPr>
          <w:rFonts w:ascii="仿宋_GB2312" w:hAnsi="仿宋_GB2312" w:eastAsia="仿宋_GB2312" w:cs="仿宋_GB2312"/>
          <w:sz w:val="32"/>
          <w:szCs w:val="32"/>
        </w:rPr>
      </w:pPr>
    </w:p>
    <w:p>
      <w:pPr>
        <w:adjustRightInd w:val="0"/>
        <w:snapToGrid w:val="0"/>
        <w:spacing w:line="580" w:lineRule="exact"/>
        <w:rPr>
          <w:rFonts w:ascii="仿宋_GB2312" w:hAnsi="仿宋_GB2312" w:eastAsia="仿宋_GB2312" w:cs="仿宋_GB2312"/>
          <w:sz w:val="32"/>
          <w:szCs w:val="32"/>
        </w:rPr>
      </w:pPr>
    </w:p>
    <w:p>
      <w:pPr>
        <w:adjustRightInd w:val="0"/>
        <w:snapToGrid w:val="0"/>
        <w:spacing w:line="620" w:lineRule="exact"/>
        <w:ind w:firstLine="640" w:firstLineChars="200"/>
        <w:rPr>
          <w:rFonts w:ascii="仿宋" w:hAnsi="仿宋" w:eastAsia="仿宋"/>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招商引资</w:t>
      </w:r>
      <w:r>
        <w:rPr>
          <w:rFonts w:hint="eastAsia" w:ascii="仿宋_GB2312" w:hAnsi="仿宋_GB2312" w:eastAsia="仿宋_GB2312" w:cs="仿宋_GB2312"/>
          <w:sz w:val="32"/>
          <w:szCs w:val="32"/>
        </w:rPr>
        <w:t>工作经费”项目自评综述：根据年初设定的绩效目标，“</w:t>
      </w:r>
      <w:r>
        <w:rPr>
          <w:rFonts w:hint="eastAsia" w:ascii="仿宋_GB2312" w:hAnsi="仿宋_GB2312" w:eastAsia="仿宋_GB2312" w:cs="仿宋_GB2312"/>
          <w:sz w:val="32"/>
          <w:szCs w:val="32"/>
          <w:lang w:eastAsia="zh-CN"/>
        </w:rPr>
        <w:t>招商引资</w:t>
      </w:r>
      <w:r>
        <w:rPr>
          <w:rFonts w:hint="eastAsia" w:ascii="仿宋_GB2312" w:hAnsi="仿宋_GB2312" w:eastAsia="仿宋_GB2312" w:cs="仿宋_GB2312"/>
          <w:sz w:val="32"/>
          <w:szCs w:val="32"/>
        </w:rPr>
        <w:t>工作经费”项目绩效自评得分为9</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43.69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87.38</w:t>
      </w:r>
      <w:r>
        <w:rPr>
          <w:rFonts w:hint="eastAsia" w:ascii="仿宋_GB2312" w:hAnsi="仿宋_GB2312" w:eastAsia="仿宋_GB2312" w:cs="仿宋_GB2312"/>
          <w:sz w:val="32"/>
          <w:szCs w:val="32"/>
        </w:rPr>
        <w:t>%。项目绩效目标完成情况：一是</w:t>
      </w:r>
      <w:r>
        <w:rPr>
          <w:rFonts w:hint="eastAsia" w:ascii="仿宋" w:hAnsi="仿宋" w:eastAsia="仿宋"/>
          <w:sz w:val="32"/>
          <w:szCs w:val="32"/>
        </w:rPr>
        <w:t>业务管理情况分析。</w:t>
      </w:r>
      <w:r>
        <w:rPr>
          <w:rFonts w:hint="eastAsia" w:ascii="仿宋" w:hAnsi="仿宋" w:eastAsia="仿宋"/>
          <w:sz w:val="32"/>
          <w:szCs w:val="32"/>
          <w:lang w:eastAsia="zh-CN"/>
        </w:rPr>
        <w:t>单位组织相关人员对项目实施过程全程管理，有效保证了管理制度健全性、制度执行有效性和项目质量可控性</w:t>
      </w:r>
      <w:r>
        <w:rPr>
          <w:rFonts w:hint="eastAsia" w:ascii="仿宋" w:hAnsi="仿宋" w:eastAsia="仿宋"/>
          <w:sz w:val="32"/>
          <w:szCs w:val="32"/>
        </w:rPr>
        <w:t>。</w:t>
      </w:r>
    </w:p>
    <w:p>
      <w:pPr>
        <w:adjustRightInd w:val="0"/>
        <w:snapToGrid w:val="0"/>
        <w:spacing w:line="620" w:lineRule="exact"/>
        <w:rPr>
          <w:rFonts w:hint="eastAsia" w:ascii="仿宋" w:hAnsi="仿宋" w:eastAsia="仿宋"/>
          <w:sz w:val="32"/>
          <w:szCs w:val="32"/>
        </w:rPr>
      </w:pPr>
      <w:r>
        <w:rPr>
          <w:rFonts w:hint="eastAsia" w:ascii="仿宋" w:hAnsi="仿宋" w:eastAsia="仿宋"/>
          <w:sz w:val="32"/>
          <w:szCs w:val="32"/>
          <w:lang w:eastAsia="zh-CN"/>
        </w:rPr>
        <w:t>二是</w:t>
      </w:r>
      <w:r>
        <w:rPr>
          <w:rFonts w:hint="eastAsia" w:ascii="仿宋" w:hAnsi="仿宋" w:eastAsia="仿宋"/>
          <w:sz w:val="32"/>
          <w:szCs w:val="32"/>
        </w:rPr>
        <w:t>财务管理</w:t>
      </w:r>
      <w:r>
        <w:rPr>
          <w:rFonts w:hint="eastAsia" w:ascii="仿宋" w:hAnsi="仿宋" w:eastAsia="仿宋"/>
          <w:sz w:val="32"/>
          <w:szCs w:val="32"/>
          <w:lang w:eastAsia="zh-CN"/>
        </w:rPr>
        <w:t>情况，</w:t>
      </w:r>
      <w:r>
        <w:rPr>
          <w:rFonts w:hint="eastAsia" w:ascii="仿宋" w:hAnsi="仿宋" w:eastAsia="仿宋"/>
          <w:sz w:val="32"/>
          <w:szCs w:val="32"/>
          <w:lang w:val="en-US" w:eastAsia="zh-CN"/>
        </w:rPr>
        <w:t>2019年度石家庄市藁城区发展和改革局严格执行财经制度和管理制定，按时完成预算执行进度，严格控制、合理利用各项经费，鼓励合法合规的经费开支，按要求进行预算管理</w:t>
      </w:r>
      <w:r>
        <w:rPr>
          <w:rFonts w:hint="eastAsia" w:ascii="仿宋" w:hAnsi="仿宋" w:eastAsia="仿宋"/>
          <w:sz w:val="32"/>
          <w:szCs w:val="32"/>
        </w:rPr>
        <w:t>。</w:t>
      </w:r>
    </w:p>
    <w:tbl>
      <w:tblPr>
        <w:tblStyle w:val="6"/>
        <w:tblpPr w:leftFromText="180" w:rightFromText="180" w:vertAnchor="text" w:horzAnchor="page" w:tblpX="1124" w:tblpY="2585"/>
        <w:tblOverlap w:val="never"/>
        <w:tblW w:w="9345" w:type="dxa"/>
        <w:tblInd w:w="0" w:type="dxa"/>
        <w:shd w:val="clear" w:color="auto" w:fill="auto"/>
        <w:tblLayout w:type="fixed"/>
        <w:tblCellMar>
          <w:top w:w="0" w:type="dxa"/>
          <w:left w:w="0" w:type="dxa"/>
          <w:bottom w:w="0" w:type="dxa"/>
          <w:right w:w="0" w:type="dxa"/>
        </w:tblCellMar>
      </w:tblPr>
      <w:tblGrid>
        <w:gridCol w:w="1712"/>
        <w:gridCol w:w="1426"/>
        <w:gridCol w:w="1024"/>
        <w:gridCol w:w="1310"/>
        <w:gridCol w:w="1219"/>
        <w:gridCol w:w="1321"/>
        <w:gridCol w:w="643"/>
        <w:gridCol w:w="690"/>
      </w:tblGrid>
      <w:tr>
        <w:tblPrEx>
          <w:shd w:val="clear" w:color="auto" w:fill="auto"/>
          <w:tblLayout w:type="fixed"/>
          <w:tblCellMar>
            <w:top w:w="0" w:type="dxa"/>
            <w:left w:w="0" w:type="dxa"/>
            <w:bottom w:w="0" w:type="dxa"/>
            <w:right w:w="0" w:type="dxa"/>
          </w:tblCellMar>
        </w:tblPrEx>
        <w:trPr>
          <w:trHeight w:val="270" w:hRule="atLeast"/>
        </w:trPr>
        <w:tc>
          <w:tcPr>
            <w:tcW w:w="9345"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Layout w:type="fixed"/>
          <w:tblCellMar>
            <w:top w:w="0" w:type="dxa"/>
            <w:left w:w="0" w:type="dxa"/>
            <w:bottom w:w="0" w:type="dxa"/>
            <w:right w:w="0" w:type="dxa"/>
          </w:tblCellMar>
        </w:tblPrEx>
        <w:trPr>
          <w:trHeight w:val="270" w:hRule="atLeast"/>
        </w:trPr>
        <w:tc>
          <w:tcPr>
            <w:tcW w:w="9345"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Layout w:type="fixed"/>
          <w:tblCellMar>
            <w:top w:w="0" w:type="dxa"/>
            <w:left w:w="0" w:type="dxa"/>
            <w:bottom w:w="0" w:type="dxa"/>
            <w:right w:w="0" w:type="dxa"/>
          </w:tblCellMar>
        </w:tblPrEx>
        <w:trPr>
          <w:trHeight w:val="300" w:hRule="atLeast"/>
        </w:trPr>
        <w:tc>
          <w:tcPr>
            <w:tcW w:w="934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tblPrEx>
          <w:shd w:val="clear" w:color="auto" w:fill="auto"/>
          <w:tblLayout w:type="fixed"/>
          <w:tblCellMar>
            <w:top w:w="0" w:type="dxa"/>
            <w:left w:w="0" w:type="dxa"/>
            <w:bottom w:w="0" w:type="dxa"/>
            <w:right w:w="0" w:type="dxa"/>
          </w:tblCellMar>
        </w:tblPrEx>
        <w:trPr>
          <w:trHeight w:val="270" w:hRule="atLeast"/>
        </w:trPr>
        <w:tc>
          <w:tcPr>
            <w:tcW w:w="171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3760"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石家庄市藁城区发展和改革局</w:t>
            </w:r>
          </w:p>
        </w:tc>
        <w:tc>
          <w:tcPr>
            <w:tcW w:w="121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33"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shd w:val="clear" w:color="auto" w:fill="auto"/>
          <w:tblLayout w:type="fixed"/>
          <w:tblCellMar>
            <w:top w:w="0" w:type="dxa"/>
            <w:left w:w="0" w:type="dxa"/>
            <w:bottom w:w="0" w:type="dxa"/>
            <w:right w:w="0" w:type="dxa"/>
          </w:tblCellMar>
        </w:tblPrEx>
        <w:trPr>
          <w:trHeight w:val="540" w:hRule="atLeast"/>
        </w:trPr>
        <w:tc>
          <w:tcPr>
            <w:tcW w:w="17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4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3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藁城区招商引资第三方服务项目</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654"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石家庄市藁城区发展和改革局</w:t>
            </w:r>
          </w:p>
        </w:tc>
      </w:tr>
      <w:tr>
        <w:tblPrEx>
          <w:shd w:val="clear" w:color="auto" w:fill="auto"/>
          <w:tblLayout w:type="fixed"/>
          <w:tblCellMar>
            <w:top w:w="0" w:type="dxa"/>
            <w:left w:w="0" w:type="dxa"/>
            <w:bottom w:w="0" w:type="dxa"/>
            <w:right w:w="0" w:type="dxa"/>
          </w:tblCellMar>
        </w:tblPrEx>
        <w:trPr>
          <w:trHeight w:val="270" w:hRule="atLeast"/>
        </w:trPr>
        <w:tc>
          <w:tcPr>
            <w:tcW w:w="17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5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shd w:val="clear" w:color="auto" w:fill="auto"/>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3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（=执行数/预算数*100%）</w:t>
            </w:r>
          </w:p>
        </w:tc>
      </w:tr>
      <w:tr>
        <w:tblPrEx>
          <w:shd w:val="clear" w:color="auto" w:fill="auto"/>
          <w:tblLayout w:type="fixed"/>
          <w:tblCellMar>
            <w:top w:w="0" w:type="dxa"/>
            <w:left w:w="0" w:type="dxa"/>
            <w:bottom w:w="0" w:type="dxa"/>
            <w:right w:w="0" w:type="dxa"/>
          </w:tblCellMar>
        </w:tblPrEx>
        <w:trPr>
          <w:trHeight w:val="54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3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7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7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18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shd w:val="clear" w:color="auto" w:fill="auto"/>
          <w:tblLayout w:type="fixed"/>
          <w:tblCellMar>
            <w:top w:w="0" w:type="dxa"/>
            <w:left w:w="0" w:type="dxa"/>
            <w:bottom w:w="0" w:type="dxa"/>
            <w:right w:w="0" w:type="dxa"/>
          </w:tblCellMar>
        </w:tblPrEx>
        <w:trPr>
          <w:trHeight w:val="84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确保我区招商引资第三方服务项目建设在石家庄市的领先水平</w:t>
            </w:r>
          </w:p>
        </w:tc>
        <w:tc>
          <w:tcPr>
            <w:tcW w:w="318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已完成</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Layout w:type="fixed"/>
          <w:tblCellMar>
            <w:top w:w="0" w:type="dxa"/>
            <w:left w:w="0" w:type="dxa"/>
            <w:bottom w:w="0" w:type="dxa"/>
            <w:right w:w="0" w:type="dxa"/>
          </w:tblCellMar>
        </w:tblPrEx>
        <w:trPr>
          <w:trHeight w:val="375" w:hRule="atLeast"/>
        </w:trPr>
        <w:tc>
          <w:tcPr>
            <w:tcW w:w="17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4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5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3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Layout w:type="fixed"/>
          <w:tblCellMar>
            <w:top w:w="0" w:type="dxa"/>
            <w:left w:w="0" w:type="dxa"/>
            <w:bottom w:w="0" w:type="dxa"/>
            <w:right w:w="0" w:type="dxa"/>
          </w:tblCellMar>
        </w:tblPrEx>
        <w:trPr>
          <w:trHeight w:val="1095"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5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围绕京津、长三角、珠三角经济发达地区，做好招商第三方平台建设</w:t>
            </w:r>
          </w:p>
        </w:tc>
        <w:tc>
          <w:tcPr>
            <w:tcW w:w="13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5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52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全部第三方招商平台，年内保证完成各项考核指标要求</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4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shd w:val="clear" w:color="auto" w:fill="auto"/>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2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4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2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4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5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54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5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3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Layout w:type="fixed"/>
          <w:tblCellMar>
            <w:top w:w="0" w:type="dxa"/>
            <w:left w:w="0" w:type="dxa"/>
            <w:bottom w:w="0" w:type="dxa"/>
            <w:right w:w="0" w:type="dxa"/>
          </w:tblCellMar>
        </w:tblPrEx>
        <w:trPr>
          <w:trHeight w:val="54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2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按年度招商计划，全部达到各项考核指标要求，并付注实施。</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4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shd w:val="clear" w:color="auto" w:fill="auto"/>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2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4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2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4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2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4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2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4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8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2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4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52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按招商信息和签约项目情况，加快项目推进和履约落地进度</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90%-100%</w:t>
            </w:r>
          </w:p>
        </w:tc>
        <w:tc>
          <w:tcPr>
            <w:tcW w:w="64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r>
      <w:tr>
        <w:tblPrEx>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2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4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2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4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生态效益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0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项目单位满意度</w:t>
            </w:r>
          </w:p>
        </w:tc>
        <w:tc>
          <w:tcPr>
            <w:tcW w:w="13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shd w:val="clear" w:color="auto" w:fill="auto"/>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270" w:hRule="atLeast"/>
        </w:trPr>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43"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Layout w:type="fixed"/>
          <w:tblCellMar>
            <w:top w:w="0" w:type="dxa"/>
            <w:left w:w="0" w:type="dxa"/>
            <w:bottom w:w="0" w:type="dxa"/>
            <w:right w:w="0" w:type="dxa"/>
          </w:tblCellMar>
        </w:tblPrEx>
        <w:trPr>
          <w:trHeight w:val="1005" w:hRule="atLeast"/>
        </w:trPr>
        <w:tc>
          <w:tcPr>
            <w:tcW w:w="17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633"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（主要填写项目绩效存在问题及原因分析，下一步拟采取的纠偏措施及对策建议，项目绩效目标指标设定存在的问题及修改完善措施）</w:t>
            </w:r>
          </w:p>
        </w:tc>
      </w:tr>
      <w:tr>
        <w:tblPrEx>
          <w:shd w:val="clear" w:color="auto" w:fill="auto"/>
          <w:tblLayout w:type="fixed"/>
          <w:tblCellMar>
            <w:top w:w="0" w:type="dxa"/>
            <w:left w:w="0" w:type="dxa"/>
            <w:bottom w:w="0" w:type="dxa"/>
            <w:right w:w="0" w:type="dxa"/>
          </w:tblCellMar>
        </w:tblPrEx>
        <w:trPr>
          <w:trHeight w:val="270" w:hRule="atLeast"/>
        </w:trPr>
        <w:tc>
          <w:tcPr>
            <w:tcW w:w="171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填报人：李志华</w:t>
            </w:r>
          </w:p>
        </w:tc>
        <w:tc>
          <w:tcPr>
            <w:tcW w:w="142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24"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19"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32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adjustRightInd w:val="0"/>
        <w:snapToGrid w:val="0"/>
        <w:spacing w:line="620" w:lineRule="exact"/>
        <w:rPr>
          <w:rFonts w:hint="eastAsia" w:ascii="仿宋" w:hAnsi="仿宋" w:eastAsia="仿宋"/>
          <w:sz w:val="32"/>
          <w:szCs w:val="32"/>
        </w:rPr>
      </w:pPr>
    </w:p>
    <w:p>
      <w:pPr>
        <w:adjustRightInd w:val="0"/>
        <w:snapToGrid w:val="0"/>
        <w:spacing w:line="580" w:lineRule="exact"/>
        <w:rPr>
          <w:rFonts w:ascii="仿宋_GB2312" w:hAnsi="仿宋_GB2312" w:eastAsia="仿宋_GB2312" w:cs="仿宋_GB2312"/>
          <w:sz w:val="32"/>
          <w:szCs w:val="32"/>
        </w:rPr>
      </w:pPr>
    </w:p>
    <w:p>
      <w:pPr>
        <w:adjustRightInd w:val="0"/>
        <w:snapToGrid w:val="0"/>
        <w:spacing w:line="580" w:lineRule="exact"/>
        <w:rPr>
          <w:rFonts w:ascii="仿宋_GB2312" w:hAnsi="仿宋_GB2312" w:eastAsia="仿宋_GB2312" w:cs="仿宋_GB2312"/>
          <w:sz w:val="32"/>
          <w:szCs w:val="32"/>
        </w:rPr>
      </w:pPr>
    </w:p>
    <w:p>
      <w:pPr>
        <w:numPr>
          <w:ilvl w:val="0"/>
          <w:numId w:val="0"/>
        </w:num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物价检查所价格认定</w:t>
      </w:r>
      <w:r>
        <w:rPr>
          <w:rFonts w:hint="eastAsia" w:ascii="仿宋_GB2312" w:hAnsi="仿宋_GB2312" w:eastAsia="仿宋_GB2312" w:cs="仿宋_GB2312"/>
          <w:sz w:val="32"/>
          <w:szCs w:val="32"/>
        </w:rPr>
        <w:t>经费”项目自评综述：根据年初设定的绩效目标，“</w:t>
      </w:r>
      <w:r>
        <w:rPr>
          <w:rFonts w:hint="eastAsia" w:ascii="仿宋_GB2312" w:hAnsi="仿宋_GB2312" w:eastAsia="仿宋_GB2312" w:cs="仿宋_GB2312"/>
          <w:sz w:val="32"/>
          <w:szCs w:val="32"/>
          <w:lang w:eastAsia="zh-CN"/>
        </w:rPr>
        <w:t>物价检查所价格认定</w:t>
      </w:r>
      <w:r>
        <w:rPr>
          <w:rFonts w:hint="eastAsia" w:ascii="仿宋_GB2312" w:hAnsi="仿宋_GB2312" w:eastAsia="仿宋_GB2312" w:cs="仿宋_GB2312"/>
          <w:sz w:val="32"/>
          <w:szCs w:val="32"/>
        </w:rPr>
        <w:t>经费”项目绩效自评得分为90分（绩效自评表附后）。全年预算数为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万元，完成预算的100%。项目绩效目标完成情况：</w:t>
      </w:r>
      <w:r>
        <w:rPr>
          <w:rFonts w:hint="eastAsia" w:ascii="仿宋_GB2312" w:eastAsia="仿宋_GB2312"/>
          <w:sz w:val="32"/>
          <w:szCs w:val="32"/>
          <w:lang w:val="en-US" w:eastAsia="zh-CN"/>
        </w:rPr>
        <w:t>价格认定经</w:t>
      </w:r>
      <w:r>
        <w:rPr>
          <w:rFonts w:hint="eastAsia" w:ascii="仿宋_GB2312" w:eastAsia="仿宋_GB2312"/>
          <w:sz w:val="32"/>
          <w:szCs w:val="32"/>
          <w:lang w:eastAsia="zh-CN"/>
        </w:rPr>
        <w:t>费</w:t>
      </w:r>
      <w:r>
        <w:rPr>
          <w:rFonts w:hint="eastAsia" w:ascii="仿宋_GB2312" w:eastAsia="仿宋_GB2312"/>
          <w:sz w:val="32"/>
          <w:szCs w:val="32"/>
          <w:lang w:val="en-US" w:eastAsia="zh-CN"/>
        </w:rPr>
        <w:t>项目</w:t>
      </w:r>
      <w:r>
        <w:rPr>
          <w:rFonts w:hint="eastAsia" w:ascii="仿宋_GB2312" w:eastAsia="仿宋_GB2312"/>
          <w:sz w:val="32"/>
          <w:szCs w:val="32"/>
          <w:lang w:eastAsia="zh-CN"/>
        </w:rPr>
        <w:t>的</w:t>
      </w:r>
      <w:r>
        <w:rPr>
          <w:rFonts w:hint="eastAsia" w:ascii="仿宋_GB2312" w:eastAsia="仿宋_GB2312"/>
          <w:sz w:val="32"/>
          <w:szCs w:val="32"/>
          <w:lang w:val="en-US" w:eastAsia="zh-CN"/>
        </w:rPr>
        <w:t>价格认定结论准确</w:t>
      </w:r>
      <w:r>
        <w:rPr>
          <w:rFonts w:hint="eastAsia" w:ascii="仿宋_GB2312" w:eastAsia="仿宋_GB2312"/>
          <w:sz w:val="32"/>
          <w:szCs w:val="32"/>
          <w:lang w:eastAsia="zh-CN"/>
        </w:rPr>
        <w:t>率、</w:t>
      </w:r>
      <w:r>
        <w:rPr>
          <w:rFonts w:hint="eastAsia" w:ascii="仿宋_GB2312" w:eastAsia="仿宋_GB2312"/>
          <w:sz w:val="32"/>
          <w:szCs w:val="32"/>
          <w:lang w:val="en-US" w:eastAsia="zh-CN"/>
        </w:rPr>
        <w:t>价格认定结论办结</w:t>
      </w:r>
      <w:r>
        <w:rPr>
          <w:rFonts w:hint="eastAsia" w:ascii="仿宋_GB2312" w:eastAsia="仿宋_GB2312"/>
          <w:sz w:val="32"/>
          <w:szCs w:val="32"/>
          <w:lang w:eastAsia="zh-CN"/>
        </w:rPr>
        <w:t>率</w:t>
      </w:r>
      <w:r>
        <w:rPr>
          <w:rFonts w:hint="eastAsia" w:ascii="仿宋_GB2312" w:eastAsia="仿宋_GB2312"/>
          <w:sz w:val="32"/>
          <w:szCs w:val="32"/>
          <w:lang w:val="en-US" w:eastAsia="zh-CN"/>
        </w:rPr>
        <w:t>均达到98%以上。</w:t>
      </w:r>
    </w:p>
    <w:p>
      <w:pPr>
        <w:numPr>
          <w:ilvl w:val="0"/>
          <w:numId w:val="0"/>
        </w:numPr>
        <w:adjustRightInd w:val="0"/>
        <w:snapToGrid w:val="0"/>
        <w:spacing w:line="580" w:lineRule="exact"/>
        <w:rPr>
          <w:rFonts w:ascii="仿宋_GB2312" w:hAnsi="仿宋_GB2312" w:eastAsia="仿宋_GB2312" w:cs="仿宋_GB2312"/>
          <w:sz w:val="32"/>
          <w:szCs w:val="32"/>
        </w:rPr>
      </w:pPr>
    </w:p>
    <w:tbl>
      <w:tblPr>
        <w:tblStyle w:val="6"/>
        <w:tblpPr w:leftFromText="180" w:rightFromText="180" w:vertAnchor="text" w:horzAnchor="page" w:tblpX="1724" w:tblpY="269"/>
        <w:tblOverlap w:val="never"/>
        <w:tblW w:w="8874" w:type="dxa"/>
        <w:tblInd w:w="0" w:type="dxa"/>
        <w:shd w:val="clear" w:color="auto" w:fill="auto"/>
        <w:tblLayout w:type="fixed"/>
        <w:tblCellMar>
          <w:top w:w="0" w:type="dxa"/>
          <w:left w:w="0" w:type="dxa"/>
          <w:bottom w:w="0" w:type="dxa"/>
          <w:right w:w="0" w:type="dxa"/>
        </w:tblCellMar>
      </w:tblPr>
      <w:tblGrid>
        <w:gridCol w:w="645"/>
        <w:gridCol w:w="1981"/>
        <w:gridCol w:w="441"/>
        <w:gridCol w:w="1989"/>
        <w:gridCol w:w="1753"/>
        <w:gridCol w:w="876"/>
        <w:gridCol w:w="543"/>
        <w:gridCol w:w="646"/>
      </w:tblGrid>
      <w:tr>
        <w:tblPrEx>
          <w:tblLayout w:type="fixed"/>
          <w:tblCellMar>
            <w:top w:w="0" w:type="dxa"/>
            <w:left w:w="0" w:type="dxa"/>
            <w:bottom w:w="0" w:type="dxa"/>
            <w:right w:w="0" w:type="dxa"/>
          </w:tblCellMar>
        </w:tblPrEx>
        <w:trPr>
          <w:trHeight w:val="270" w:hRule="atLeast"/>
        </w:trPr>
        <w:tc>
          <w:tcPr>
            <w:tcW w:w="8874"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shd w:val="clear" w:color="auto" w:fill="auto"/>
          <w:tblLayout w:type="fixed"/>
          <w:tblCellMar>
            <w:top w:w="0" w:type="dxa"/>
            <w:left w:w="0" w:type="dxa"/>
            <w:bottom w:w="0" w:type="dxa"/>
            <w:right w:w="0" w:type="dxa"/>
          </w:tblCellMar>
        </w:tblPrEx>
        <w:trPr>
          <w:trHeight w:val="270" w:hRule="atLeast"/>
        </w:trPr>
        <w:tc>
          <w:tcPr>
            <w:tcW w:w="8874"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Layout w:type="fixed"/>
          <w:tblCellMar>
            <w:top w:w="0" w:type="dxa"/>
            <w:left w:w="0" w:type="dxa"/>
            <w:bottom w:w="0" w:type="dxa"/>
            <w:right w:w="0" w:type="dxa"/>
          </w:tblCellMar>
        </w:tblPrEx>
        <w:trPr>
          <w:trHeight w:val="300" w:hRule="atLeast"/>
        </w:trPr>
        <w:tc>
          <w:tcPr>
            <w:tcW w:w="8874"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Layout w:type="fixed"/>
          <w:tblCellMar>
            <w:top w:w="0" w:type="dxa"/>
            <w:left w:w="0" w:type="dxa"/>
            <w:bottom w:w="0" w:type="dxa"/>
            <w:right w:w="0" w:type="dxa"/>
          </w:tblCellMar>
        </w:tblPrEx>
        <w:trPr>
          <w:trHeight w:val="270" w:hRule="atLeast"/>
        </w:trPr>
        <w:tc>
          <w:tcPr>
            <w:tcW w:w="64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98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石家庄市藁城区发展和改革局价格认证中心</w:t>
            </w:r>
          </w:p>
        </w:tc>
        <w:tc>
          <w:tcPr>
            <w:tcW w:w="44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98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5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9"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shd w:val="clear" w:color="auto" w:fill="auto"/>
          <w:tblLayout w:type="fixed"/>
          <w:tblCellMar>
            <w:top w:w="0" w:type="dxa"/>
            <w:left w:w="0" w:type="dxa"/>
            <w:bottom w:w="0" w:type="dxa"/>
            <w:right w:w="0" w:type="dxa"/>
          </w:tblCellMar>
        </w:tblPrEx>
        <w:trPr>
          <w:trHeight w:val="54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价格认定经费</w:t>
            </w:r>
          </w:p>
        </w:tc>
        <w:tc>
          <w:tcPr>
            <w:tcW w:w="17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06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石家庄市藁城区发展和改革局</w:t>
            </w:r>
          </w:p>
        </w:tc>
      </w:tr>
      <w:tr>
        <w:tblPrEx>
          <w:tblLayout w:type="fixed"/>
          <w:tblCellMar>
            <w:top w:w="0" w:type="dxa"/>
            <w:left w:w="0" w:type="dxa"/>
            <w:bottom w:w="0" w:type="dxa"/>
            <w:right w:w="0" w:type="dxa"/>
          </w:tblCellMar>
        </w:tblPrEx>
        <w:trPr>
          <w:trHeight w:val="270" w:hRule="atLeast"/>
        </w:trPr>
        <w:tc>
          <w:tcPr>
            <w:tcW w:w="6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2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4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4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7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64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shd w:val="clear" w:color="auto" w:fill="auto"/>
          <w:tblLayout w:type="fixed"/>
          <w:tblCellMar>
            <w:top w:w="0" w:type="dxa"/>
            <w:left w:w="0" w:type="dxa"/>
            <w:bottom w:w="0" w:type="dxa"/>
            <w:right w:w="0" w:type="dxa"/>
          </w:tblCellMar>
        </w:tblPrEx>
        <w:trPr>
          <w:trHeight w:val="54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4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9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7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4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7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6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4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17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shd w:val="clear" w:color="auto" w:fill="auto"/>
          <w:tblLayout w:type="fixed"/>
          <w:tblCellMar>
            <w:top w:w="0" w:type="dxa"/>
            <w:left w:w="0" w:type="dxa"/>
            <w:bottom w:w="0" w:type="dxa"/>
            <w:right w:w="0" w:type="dxa"/>
          </w:tblCellMar>
        </w:tblPrEx>
        <w:trPr>
          <w:trHeight w:val="114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依法、公正、科学、效率的出具价格认定结论，有效提供公共服务，维护公共利益，保障纪检监察、司法和行政工作的顺利进行。</w:t>
            </w:r>
          </w:p>
        </w:tc>
        <w:tc>
          <w:tcPr>
            <w:tcW w:w="317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依法、公正、科学、效率的出具价格认定结论，有效提供公共服务，维护公共利益，保障纪检监察、司法和行政工作的顺利进行。</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Layout w:type="fixed"/>
          <w:tblCellMar>
            <w:top w:w="0" w:type="dxa"/>
            <w:left w:w="0" w:type="dxa"/>
            <w:bottom w:w="0" w:type="dxa"/>
            <w:right w:w="0" w:type="dxa"/>
          </w:tblCellMar>
        </w:tblPrEx>
        <w:trPr>
          <w:trHeight w:val="375" w:hRule="atLeast"/>
        </w:trPr>
        <w:tc>
          <w:tcPr>
            <w:tcW w:w="6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9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4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shd w:val="clear" w:color="auto" w:fill="auto"/>
          <w:tblLayout w:type="fixed"/>
          <w:tblCellMar>
            <w:top w:w="0" w:type="dxa"/>
            <w:left w:w="0" w:type="dxa"/>
            <w:bottom w:w="0" w:type="dxa"/>
            <w:right w:w="0" w:type="dxa"/>
          </w:tblCellMar>
        </w:tblPrEx>
        <w:trPr>
          <w:trHeight w:val="1095"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44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价格认定结论准确率</w:t>
            </w: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shd w:val="clear" w:color="auto" w:fill="auto"/>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价格认定结论办结率</w:t>
            </w: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54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4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shd w:val="clear" w:color="auto" w:fill="auto"/>
          <w:tblLayout w:type="fixed"/>
          <w:tblCellMar>
            <w:top w:w="0" w:type="dxa"/>
            <w:left w:w="0" w:type="dxa"/>
            <w:bottom w:w="0" w:type="dxa"/>
            <w:right w:w="0" w:type="dxa"/>
          </w:tblCellMar>
        </w:tblPrEx>
        <w:trPr>
          <w:trHeight w:val="26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44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18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有效提供公共服务，维护公共利益，保障纪检监察、司法和行政工作的顺利进行。</w:t>
            </w: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tblPrEx>
          <w:shd w:val="clear" w:color="auto" w:fill="auto"/>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60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44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使用人员满意度</w:t>
            </w: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shd w:val="clear" w:color="auto" w:fill="auto"/>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270" w:hRule="atLeast"/>
        </w:trPr>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583"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6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Layout w:type="fixed"/>
          <w:tblCellMar>
            <w:top w:w="0" w:type="dxa"/>
            <w:left w:w="0" w:type="dxa"/>
            <w:bottom w:w="0" w:type="dxa"/>
            <w:right w:w="0" w:type="dxa"/>
          </w:tblCellMar>
        </w:tblPrEx>
        <w:trPr>
          <w:trHeight w:val="800" w:hRule="atLeast"/>
        </w:trPr>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229"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价格认定经费切实用在价格认定的工作上，不得挤占、挪用。</w:t>
            </w:r>
          </w:p>
        </w:tc>
      </w:tr>
      <w:tr>
        <w:tblPrEx>
          <w:tblLayout w:type="fixed"/>
          <w:tblCellMar>
            <w:top w:w="0" w:type="dxa"/>
            <w:left w:w="0" w:type="dxa"/>
            <w:bottom w:w="0" w:type="dxa"/>
            <w:right w:w="0" w:type="dxa"/>
          </w:tblCellMar>
        </w:tblPrEx>
        <w:trPr>
          <w:trHeight w:val="270" w:hRule="atLeast"/>
        </w:trPr>
        <w:tc>
          <w:tcPr>
            <w:tcW w:w="64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98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吕伟</w:t>
            </w:r>
          </w:p>
        </w:tc>
        <w:tc>
          <w:tcPr>
            <w:tcW w:w="44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98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53"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87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88047390</w:t>
            </w:r>
          </w:p>
        </w:tc>
        <w:tc>
          <w:tcPr>
            <w:tcW w:w="54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keepNext/>
        <w:keepLines/>
        <w:numPr>
          <w:ilvl w:val="0"/>
          <w:numId w:val="3"/>
        </w:numPr>
        <w:snapToGrid w:val="0"/>
        <w:spacing w:line="580" w:lineRule="exact"/>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numPr>
          <w:ilvl w:val="0"/>
          <w:numId w:val="0"/>
        </w:numPr>
        <w:snapToGrid w:val="0"/>
        <w:spacing w:line="580" w:lineRule="exact"/>
        <w:outlineLvl w:val="1"/>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本部门无</w:t>
      </w:r>
      <w:r>
        <w:rPr>
          <w:rFonts w:hint="eastAsia" w:ascii="仿宋_GB2312" w:hAnsi="仿宋_GB2312" w:eastAsia="仿宋_GB2312" w:cs="仿宋_GB2312"/>
          <w:b w:val="0"/>
          <w:bCs w:val="0"/>
          <w:sz w:val="32"/>
          <w:szCs w:val="32"/>
        </w:rPr>
        <w:t>财政评价项目</w:t>
      </w:r>
      <w:r>
        <w:rPr>
          <w:rFonts w:hint="eastAsia" w:ascii="仿宋_GB2312" w:hAnsi="仿宋_GB2312" w:eastAsia="仿宋_GB2312" w:cs="仿宋_GB2312"/>
          <w:b w:val="0"/>
          <w:bCs w:val="0"/>
          <w:sz w:val="32"/>
          <w:szCs w:val="32"/>
          <w:lang w:eastAsia="zh-CN"/>
        </w:rPr>
        <w:t>。</w:t>
      </w:r>
    </w:p>
    <w:p>
      <w:pPr>
        <w:adjustRightInd w:val="0"/>
        <w:snapToGrid w:val="0"/>
        <w:spacing w:line="580" w:lineRule="exact"/>
        <w:rPr>
          <w:rFonts w:ascii="仿宋_GB2312" w:hAnsi="仿宋_GB2312" w:eastAsia="仿宋_GB2312" w:cs="仿宋_GB2312"/>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ascii="仿宋_GB2312" w:hAnsi="Times New Roman" w:eastAsia="仿宋_GB2312" w:cs="DengXian-Regular"/>
          <w:sz w:val="32"/>
          <w:szCs w:val="32"/>
        </w:rPr>
        <w:t>75.88</w:t>
      </w:r>
      <w:r>
        <w:rPr>
          <w:rFonts w:hint="eastAsia" w:ascii="仿宋_GB2312" w:hAnsi="Times New Roman" w:eastAsia="仿宋_GB2312" w:cs="DengXian-Regular"/>
          <w:sz w:val="32"/>
          <w:szCs w:val="32"/>
        </w:rPr>
        <w:t>万元，比2018年度减少4</w:t>
      </w:r>
      <w:r>
        <w:rPr>
          <w:rFonts w:ascii="仿宋_GB2312" w:hAnsi="Times New Roman" w:eastAsia="仿宋_GB2312" w:cs="DengXian-Regular"/>
          <w:sz w:val="32"/>
          <w:szCs w:val="32"/>
        </w:rPr>
        <w:t>4.31</w:t>
      </w:r>
      <w:r>
        <w:rPr>
          <w:rFonts w:hint="eastAsia" w:ascii="仿宋_GB2312" w:hAnsi="Times New Roman" w:eastAsia="仿宋_GB2312" w:cs="DengXian-Regular"/>
          <w:sz w:val="32"/>
          <w:szCs w:val="32"/>
        </w:rPr>
        <w:t>万元，减少3</w:t>
      </w:r>
      <w:r>
        <w:rPr>
          <w:rFonts w:ascii="仿宋_GB2312" w:hAnsi="Times New Roman" w:eastAsia="仿宋_GB2312" w:cs="DengXian-Regular"/>
          <w:sz w:val="32"/>
          <w:szCs w:val="32"/>
        </w:rPr>
        <w:t>6.87</w:t>
      </w:r>
      <w:r>
        <w:rPr>
          <w:rFonts w:hint="eastAsia" w:ascii="仿宋_GB2312" w:hAnsi="Times New Roman" w:eastAsia="仿宋_GB2312" w:cs="DengXian-Regular"/>
          <w:sz w:val="32"/>
          <w:szCs w:val="32"/>
        </w:rPr>
        <w:t>%。主要原因是压减行政开支。</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本部门2019年度无政府采购支出。</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辆，比上年</w:t>
      </w:r>
      <w:r>
        <w:rPr>
          <w:rFonts w:hint="eastAsia" w:ascii="仿宋_GB2312" w:hAnsi="Times New Roman" w:eastAsia="仿宋_GB2312" w:cs="DengXian-Regular"/>
          <w:sz w:val="32"/>
          <w:szCs w:val="32"/>
          <w:lang w:eastAsia="zh-CN"/>
        </w:rPr>
        <w:t>无增减</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w:t>
      </w:r>
      <w:r>
        <w:rPr>
          <w:rFonts w:hint="eastAsia" w:ascii="仿宋_GB2312" w:hAnsi="Times New Roman" w:eastAsia="仿宋_GB2312" w:cs="DengXian-Regular"/>
          <w:sz w:val="32"/>
          <w:szCs w:val="32"/>
          <w:lang w:eastAsia="zh-CN"/>
        </w:rPr>
        <w:t>无增减</w:t>
      </w:r>
      <w:r>
        <w:rPr>
          <w:rFonts w:hint="eastAsia" w:ascii="仿宋_GB2312" w:hAnsi="Times New Roman"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w:t>
      </w:r>
      <w:r>
        <w:rPr>
          <w:rFonts w:hint="eastAsia" w:ascii="仿宋_GB2312" w:hAnsi="Times New Roman" w:eastAsia="仿宋_GB2312" w:cs="DengXian-Regular"/>
          <w:sz w:val="32"/>
          <w:szCs w:val="32"/>
          <w:lang w:eastAsia="zh-CN"/>
        </w:rPr>
        <w:t>无增减</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本部门2019年度部门政府性基金预算财政拨款、部门国有资本经营预算财政拨款无收支及结转结余情况，故08、09表以空表列示。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0" w:type="first"/>
          <w:footerReference r:id="rId22" w:type="first"/>
          <w:headerReference r:id="rId19" w:type="default"/>
          <w:footerReference r:id="rId21"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30"/>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3"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4"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30"/>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3261"/>
        <w:gridCol w:w="425"/>
        <w:gridCol w:w="972"/>
        <w:gridCol w:w="3474"/>
        <w:gridCol w:w="541"/>
        <w:gridCol w:w="844"/>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05" w:hRule="atLeast"/>
          <w:jc w:val="center"/>
        </w:trPr>
        <w:tc>
          <w:tcPr>
            <w:tcW w:w="32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7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421" w:hRule="atLeast"/>
          <w:jc w:val="center"/>
        </w:trPr>
        <w:tc>
          <w:tcPr>
            <w:tcW w:w="326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部门：石家庄市藁城区发展和改革局</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7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770"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4,946.95</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4,946.95</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182"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4,946.95</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4,946.95</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3,065.18</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3,065.18</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8,012.13</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cs="Arial"/>
                <w:color w:val="000000"/>
                <w:sz w:val="22"/>
              </w:rPr>
              <w:t>8,012.13</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10316" w:type="dxa"/>
        <w:jc w:val="center"/>
        <w:tblInd w:w="0" w:type="dxa"/>
        <w:tblLayout w:type="fixed"/>
        <w:tblCellMar>
          <w:top w:w="0" w:type="dxa"/>
          <w:left w:w="0" w:type="dxa"/>
          <w:bottom w:w="0" w:type="dxa"/>
          <w:right w:w="0" w:type="dxa"/>
        </w:tblCellMar>
      </w:tblPr>
      <w:tblGrid>
        <w:gridCol w:w="3230"/>
        <w:gridCol w:w="36"/>
        <w:gridCol w:w="36"/>
        <w:gridCol w:w="2890"/>
        <w:gridCol w:w="888"/>
        <w:gridCol w:w="888"/>
        <w:gridCol w:w="459"/>
        <w:gridCol w:w="459"/>
        <w:gridCol w:w="459"/>
        <w:gridCol w:w="498"/>
        <w:gridCol w:w="473"/>
      </w:tblGrid>
      <w:tr>
        <w:tblPrEx>
          <w:tblLayout w:type="fixed"/>
          <w:tblCellMar>
            <w:top w:w="0" w:type="dxa"/>
            <w:left w:w="0" w:type="dxa"/>
            <w:bottom w:w="0" w:type="dxa"/>
            <w:right w:w="0" w:type="dxa"/>
          </w:tblCellMar>
        </w:tblPrEx>
        <w:trPr>
          <w:trHeight w:val="670" w:hRule="atLeast"/>
          <w:jc w:val="center"/>
        </w:trPr>
        <w:tc>
          <w:tcPr>
            <w:tcW w:w="10316"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Layout w:type="fixed"/>
          <w:tblCellMar>
            <w:top w:w="0" w:type="dxa"/>
            <w:left w:w="0" w:type="dxa"/>
            <w:bottom w:w="0" w:type="dxa"/>
            <w:right w:w="0" w:type="dxa"/>
          </w:tblCellMar>
        </w:tblPrEx>
        <w:trPr>
          <w:trHeight w:val="357" w:hRule="atLeast"/>
          <w:jc w:val="center"/>
        </w:trPr>
        <w:tc>
          <w:tcPr>
            <w:tcW w:w="32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bookmarkStart w:id="0" w:name="_Hlk54441300"/>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7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Layout w:type="fixed"/>
          <w:tblCellMar>
            <w:top w:w="0" w:type="dxa"/>
            <w:left w:w="0" w:type="dxa"/>
            <w:bottom w:w="0" w:type="dxa"/>
            <w:right w:w="0" w:type="dxa"/>
          </w:tblCellMar>
        </w:tblPrEx>
        <w:trPr>
          <w:trHeight w:val="357" w:hRule="atLeast"/>
          <w:jc w:val="center"/>
        </w:trPr>
        <w:tc>
          <w:tcPr>
            <w:tcW w:w="323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部门：石家庄市藁城区发展和改革局</w:t>
            </w: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3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bookmarkEnd w:id="0"/>
      <w:tr>
        <w:tblPrEx>
          <w:tblLayout w:type="fixed"/>
          <w:tblCellMar>
            <w:top w:w="0" w:type="dxa"/>
            <w:left w:w="0" w:type="dxa"/>
            <w:bottom w:w="0" w:type="dxa"/>
            <w:right w:w="0" w:type="dxa"/>
          </w:tblCellMar>
        </w:tblPrEx>
        <w:trPr>
          <w:trHeight w:val="385" w:hRule="atLeast"/>
          <w:jc w:val="center"/>
        </w:trPr>
        <w:tc>
          <w:tcPr>
            <w:tcW w:w="619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88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88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45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45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45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49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47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Layout w:type="fixed"/>
          <w:tblCellMar>
            <w:top w:w="0" w:type="dxa"/>
            <w:left w:w="0" w:type="dxa"/>
            <w:bottom w:w="0" w:type="dxa"/>
            <w:right w:w="0" w:type="dxa"/>
          </w:tblCellMar>
        </w:tblPrEx>
        <w:trPr>
          <w:trHeight w:val="380" w:hRule="atLeast"/>
          <w:jc w:val="center"/>
        </w:trPr>
        <w:tc>
          <w:tcPr>
            <w:tcW w:w="33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89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8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7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33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9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7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33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9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7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619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8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4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4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Layout w:type="fixed"/>
          <w:tblCellMar>
            <w:top w:w="0" w:type="dxa"/>
            <w:left w:w="0" w:type="dxa"/>
            <w:bottom w:w="0" w:type="dxa"/>
            <w:right w:w="0" w:type="dxa"/>
          </w:tblCellMar>
        </w:tblPrEx>
        <w:trPr>
          <w:trHeight w:val="385" w:hRule="atLeast"/>
          <w:jc w:val="center"/>
        </w:trPr>
        <w:tc>
          <w:tcPr>
            <w:tcW w:w="619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cs="Arial"/>
                <w:b/>
                <w:bCs/>
                <w:color w:val="000000"/>
                <w:sz w:val="22"/>
              </w:rPr>
              <w:t>4,946.95</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cs="Arial"/>
                <w:b/>
                <w:bCs/>
                <w:color w:val="000000"/>
                <w:sz w:val="22"/>
              </w:rPr>
              <w:t>4,946.95</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一般公共服务支出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2,020.99</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2,020.99</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发展与改革事务</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1,827.59</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1,827.59</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2010401</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行政运行</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1,394.28</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1,394.28</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2010402</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一般行政管理事务</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75.00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75.00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2010404</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战略规划与实施</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260.00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260.00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2010406</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社会事业发展规划</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54.85</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54.85</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2010408</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物价管理</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13.00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13.00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2010450</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事业运行</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10.46</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10.46</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2010499</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其他发展与改革事务支出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20.00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20.00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ascii="宋体" w:hAnsi="宋体" w:eastAsia="宋体" w:cs="宋体"/>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20113</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商贸事务</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193.40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193.40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2011303</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机关服务</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2011307</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国内贸易管理</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64.00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64.00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ascii="宋体" w:hAnsi="宋体" w:eastAsia="宋体" w:cs="宋体"/>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2011350</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 xml:space="preserve">  事业运行</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124.40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124.40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206</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科学技术支出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290.00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290.00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20604</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技术研究与开发</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150.00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150.00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2060402</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 xml:space="preserve">  应用技术研究与开发</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150.00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150.00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20699</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其他科学技术支出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140.00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140.00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2069999</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 xml:space="preserve">  其他科学技术支出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140.00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140.00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211</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节能环保支出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1,856.92</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1,856.92</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21103</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污染防治</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1,856.92</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1,856.92</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2110301</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 xml:space="preserve">  大气</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1,856.92</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1,856.92</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213</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农林水支出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218.00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218.00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21301</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农业</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218.00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218.00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2130121</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 xml:space="preserve">  农业结构调整补贴</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218.00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218.00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215</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资源勘探信息等支出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156.00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156.00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21502</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制造业</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150.00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150.00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2150299</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 xml:space="preserve">  其他制造业支出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150.00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150.00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21508</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支持中小企业发展和管理支出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6.00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6.00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2150805</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 xml:space="preserve">  中小企业发展专项</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6.00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6.00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216</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商业服务业等支出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399.05</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399.05</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21602</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商业流通事务</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223.79</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223.79</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2160299</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 xml:space="preserve">  其他商业流通事务支出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223.79</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223.79</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21606</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涉外发展服务支出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175.26</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175.26</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2160699</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 xml:space="preserve">  其他涉外发展服务支出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175.26</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175.26</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222</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粮油物资储备支出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6.00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6.00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22201</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粮油事务</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6.00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6.00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2220105</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 xml:space="preserve">  粮食信息统计</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2220106</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 xml:space="preserve">  粮食专项业务活动</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4.00</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4.00</w:t>
            </w: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10316"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717" w:type="dxa"/>
        <w:jc w:val="center"/>
        <w:tblInd w:w="0" w:type="dxa"/>
        <w:tblLayout w:type="fixed"/>
        <w:tblCellMar>
          <w:top w:w="0" w:type="dxa"/>
          <w:left w:w="0" w:type="dxa"/>
          <w:bottom w:w="0" w:type="dxa"/>
          <w:right w:w="0" w:type="dxa"/>
        </w:tblCellMar>
      </w:tblPr>
      <w:tblGrid>
        <w:gridCol w:w="1105"/>
        <w:gridCol w:w="3006"/>
        <w:gridCol w:w="888"/>
        <w:gridCol w:w="1134"/>
        <w:gridCol w:w="992"/>
        <w:gridCol w:w="850"/>
        <w:gridCol w:w="993"/>
        <w:gridCol w:w="749"/>
      </w:tblGrid>
      <w:tr>
        <w:tblPrEx>
          <w:tblLayout w:type="fixed"/>
          <w:tblCellMar>
            <w:top w:w="0" w:type="dxa"/>
            <w:left w:w="0" w:type="dxa"/>
            <w:bottom w:w="0" w:type="dxa"/>
            <w:right w:w="0" w:type="dxa"/>
          </w:tblCellMar>
        </w:tblPrEx>
        <w:trPr>
          <w:trHeight w:val="612" w:hRule="atLeast"/>
          <w:jc w:val="center"/>
        </w:trPr>
        <w:tc>
          <w:tcPr>
            <w:tcW w:w="9717" w:type="dxa"/>
            <w:gridSpan w:val="8"/>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r>
              <w:rPr>
                <w:rFonts w:hint="eastAsia" w:ascii="黑体" w:hAnsi="宋体" w:eastAsia="黑体" w:cs="黑体"/>
                <w:color w:val="000000"/>
                <w:kern w:val="0"/>
                <w:sz w:val="32"/>
                <w:szCs w:val="32"/>
                <w:lang w:bidi="ar"/>
              </w:rPr>
              <w:t>支出决算表</w:t>
            </w:r>
          </w:p>
          <w:tbl>
            <w:tblPr>
              <w:tblStyle w:val="6"/>
              <w:tblW w:w="9687" w:type="dxa"/>
              <w:jc w:val="center"/>
              <w:tblInd w:w="0" w:type="dxa"/>
              <w:tblLayout w:type="fixed"/>
              <w:tblCellMar>
                <w:top w:w="0" w:type="dxa"/>
                <w:left w:w="0" w:type="dxa"/>
                <w:bottom w:w="0" w:type="dxa"/>
                <w:right w:w="0" w:type="dxa"/>
              </w:tblCellMar>
            </w:tblPr>
            <w:tblGrid>
              <w:gridCol w:w="3230"/>
              <w:gridCol w:w="36"/>
              <w:gridCol w:w="36"/>
              <w:gridCol w:w="2627"/>
              <w:gridCol w:w="779"/>
              <w:gridCol w:w="779"/>
              <w:gridCol w:w="385"/>
              <w:gridCol w:w="385"/>
              <w:gridCol w:w="459"/>
              <w:gridCol w:w="971"/>
            </w:tblGrid>
            <w:tr>
              <w:tblPrEx>
                <w:tblLayout w:type="fixed"/>
                <w:tblCellMar>
                  <w:top w:w="0" w:type="dxa"/>
                  <w:left w:w="0" w:type="dxa"/>
                  <w:bottom w:w="0" w:type="dxa"/>
                  <w:right w:w="0" w:type="dxa"/>
                </w:tblCellMar>
              </w:tblPrEx>
              <w:trPr>
                <w:trHeight w:val="357" w:hRule="atLeast"/>
                <w:jc w:val="center"/>
              </w:trPr>
              <w:tc>
                <w:tcPr>
                  <w:tcW w:w="32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7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7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8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8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7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w:t>
                  </w:r>
                  <w:r>
                    <w:rPr>
                      <w:rFonts w:ascii="宋体" w:hAnsi="宋体" w:eastAsia="宋体" w:cs="宋体"/>
                      <w:color w:val="000000"/>
                      <w:kern w:val="0"/>
                      <w:sz w:val="20"/>
                      <w:szCs w:val="20"/>
                      <w:lang w:bidi="ar"/>
                    </w:rPr>
                    <w:t>3</w:t>
                  </w:r>
                  <w:r>
                    <w:rPr>
                      <w:rFonts w:hint="eastAsia" w:ascii="宋体" w:hAnsi="宋体" w:eastAsia="宋体" w:cs="宋体"/>
                      <w:color w:val="000000"/>
                      <w:kern w:val="0"/>
                      <w:sz w:val="20"/>
                      <w:szCs w:val="20"/>
                      <w:lang w:bidi="ar"/>
                    </w:rPr>
                    <w:t>表</w:t>
                  </w:r>
                </w:p>
              </w:tc>
            </w:tr>
            <w:tr>
              <w:tblPrEx>
                <w:tblLayout w:type="fixed"/>
                <w:tblCellMar>
                  <w:top w:w="0" w:type="dxa"/>
                  <w:left w:w="0" w:type="dxa"/>
                  <w:bottom w:w="0" w:type="dxa"/>
                  <w:right w:w="0" w:type="dxa"/>
                </w:tblCellMar>
              </w:tblPrEx>
              <w:trPr>
                <w:trHeight w:val="357" w:hRule="atLeast"/>
                <w:jc w:val="center"/>
              </w:trPr>
              <w:tc>
                <w:tcPr>
                  <w:tcW w:w="323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部门：石家庄市藁城区发展和改革局</w:t>
                  </w: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7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7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8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8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3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bl>
          <w:p>
            <w:pPr>
              <w:widowControl/>
              <w:jc w:val="center"/>
              <w:textAlignment w:val="center"/>
              <w:rPr>
                <w:rFonts w:hint="eastAsia" w:ascii="黑体" w:hAnsi="宋体" w:eastAsia="黑体" w:cs="黑体"/>
                <w:color w:val="000000"/>
                <w:sz w:val="32"/>
                <w:szCs w:val="32"/>
              </w:rPr>
            </w:pPr>
          </w:p>
        </w:tc>
      </w:tr>
      <w:tr>
        <w:tblPrEx>
          <w:tblLayout w:type="fixed"/>
          <w:tblCellMar>
            <w:top w:w="0" w:type="dxa"/>
            <w:left w:w="0" w:type="dxa"/>
            <w:bottom w:w="0" w:type="dxa"/>
            <w:right w:w="0" w:type="dxa"/>
          </w:tblCellMar>
        </w:tblPrEx>
        <w:trPr>
          <w:trHeight w:val="323" w:hRule="atLeast"/>
          <w:jc w:val="center"/>
        </w:trPr>
        <w:tc>
          <w:tcPr>
            <w:tcW w:w="411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88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3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9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8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99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74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Layout w:type="fixed"/>
          <w:tblCellMar>
            <w:top w:w="0" w:type="dxa"/>
            <w:left w:w="0" w:type="dxa"/>
            <w:bottom w:w="0" w:type="dxa"/>
            <w:right w:w="0" w:type="dxa"/>
          </w:tblCellMar>
        </w:tblPrEx>
        <w:trPr>
          <w:trHeight w:val="319" w:hRule="atLeast"/>
          <w:jc w:val="center"/>
        </w:trPr>
        <w:tc>
          <w:tcPr>
            <w:tcW w:w="1105"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00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8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00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00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4111"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8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23" w:hRule="atLeast"/>
          <w:jc w:val="center"/>
        </w:trPr>
        <w:tc>
          <w:tcPr>
            <w:tcW w:w="4111"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cs="Arial"/>
                <w:b/>
                <w:bCs/>
                <w:color w:val="000000"/>
                <w:sz w:val="22"/>
              </w:rPr>
              <w:t>7,814.08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cs="Arial"/>
                <w:b/>
                <w:bCs/>
                <w:color w:val="000000"/>
                <w:sz w:val="22"/>
              </w:rPr>
              <w:t>1,387.98</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cs="Arial"/>
                <w:b/>
                <w:bCs/>
                <w:color w:val="000000"/>
                <w:sz w:val="22"/>
              </w:rPr>
              <w:t>6,426.10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一般公共服务支出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2,003.38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1,387.98</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615.39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发展与改革事务</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1,809.98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1,387.98</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421.99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2010401</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行政运行</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1,387.98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1,387.98</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2010402</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一般行政管理事务</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68.69</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68.69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2010404</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战略规划与实施</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255.00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255.00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2010406</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社会事业发展规划</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54.85</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54.85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2010408</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物价管理</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13.00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13.00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2010450</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事业运行</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10.46</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10.46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2010499</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其他发展与改革事务支出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20.00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20.00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20113</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商贸事务</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193.40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193.40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2011303</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机关服务</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2011307</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国内贸易管理</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64.00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64.00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2011350</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事业运行</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124.40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124.40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206</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科学技术支出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290.00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290.00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20604</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技术研究与开发</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150.00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150.00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2060402</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应用技术研究与开发</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150.00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150.00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20699</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其他科学技术支出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140.00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140.00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2069999</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其他科学技术支出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140.00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140.00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211</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节能环保支出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1,856.92</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1,856.92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21103</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污染防治</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1,856.92</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1,856.92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2110301</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大气</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1,856.92</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1,856.92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213</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农林水支出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218.00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218.00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21301</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农业</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218.00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218.00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2130121</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农业结构调整补贴</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218.00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218.00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215</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资源勘探信息等支出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155.00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155.00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21502</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制造业</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150.00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150.00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2150299</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其他制造业支出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150.00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150.00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21508</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支持中小企业发展和管理支出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2150805</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中小企业发展专项</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216</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商业服务业等支出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723.79</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723.79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21602</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商业流通事务</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223.79</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223.79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2160299</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其他商业流通事务支出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223.79</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223.79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21699</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其他商业服务业等支出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2169999</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其他商业服务业等支出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222</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粮油物资储备支出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22201</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粮油事务</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2220105</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 xml:space="preserve">  粮食信息统计</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2220106</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 xml:space="preserve">  粮食专项业务活动</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4.00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4.00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229</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其他支出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2,561.00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2,561.00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22999</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其他支出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2,561.00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2,561.00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cs="Arial"/>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2299901</w:t>
            </w:r>
          </w:p>
        </w:tc>
        <w:tc>
          <w:tcPr>
            <w:tcW w:w="3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cs="Arial"/>
                <w:color w:val="000000"/>
                <w:sz w:val="22"/>
              </w:rPr>
            </w:pPr>
            <w:r>
              <w:rPr>
                <w:rFonts w:hint="eastAsia" w:cs="Arial"/>
                <w:color w:val="000000"/>
                <w:sz w:val="22"/>
              </w:rPr>
              <w:t xml:space="preserve">  其他支出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2,561.00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r>
              <w:rPr>
                <w:rFonts w:hint="eastAsia" w:cs="Arial"/>
                <w:color w:val="000000"/>
                <w:sz w:val="22"/>
              </w:rPr>
              <w:t>2,561.00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c>
          <w:tcPr>
            <w:tcW w:w="7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cs="Arial"/>
                <w:color w:val="000000"/>
                <w:sz w:val="22"/>
              </w:rPr>
            </w:pPr>
          </w:p>
        </w:tc>
      </w:tr>
      <w:tr>
        <w:tblPrEx>
          <w:tblLayout w:type="fixed"/>
          <w:tblCellMar>
            <w:top w:w="0" w:type="dxa"/>
            <w:left w:w="0" w:type="dxa"/>
            <w:bottom w:w="0" w:type="dxa"/>
            <w:right w:w="0" w:type="dxa"/>
          </w:tblCellMar>
        </w:tblPrEx>
        <w:trPr>
          <w:trHeight w:val="323" w:hRule="atLeast"/>
          <w:jc w:val="center"/>
        </w:trPr>
        <w:tc>
          <w:tcPr>
            <w:tcW w:w="9717"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10250" w:type="dxa"/>
        <w:jc w:val="center"/>
        <w:tblInd w:w="0" w:type="dxa"/>
        <w:tblLayout w:type="fixed"/>
        <w:tblCellMar>
          <w:top w:w="0" w:type="dxa"/>
          <w:left w:w="0" w:type="dxa"/>
          <w:bottom w:w="0" w:type="dxa"/>
          <w:right w:w="0" w:type="dxa"/>
        </w:tblCellMar>
      </w:tblPr>
      <w:tblGrid>
        <w:gridCol w:w="2922"/>
        <w:gridCol w:w="425"/>
        <w:gridCol w:w="887"/>
        <w:gridCol w:w="2946"/>
        <w:gridCol w:w="507"/>
        <w:gridCol w:w="887"/>
        <w:gridCol w:w="887"/>
        <w:gridCol w:w="789"/>
      </w:tblGrid>
      <w:tr>
        <w:tblPrEx>
          <w:tblLayout w:type="fixed"/>
          <w:tblCellMar>
            <w:top w:w="0" w:type="dxa"/>
            <w:left w:w="0" w:type="dxa"/>
            <w:bottom w:w="0" w:type="dxa"/>
            <w:right w:w="0" w:type="dxa"/>
          </w:tblCellMar>
        </w:tblPrEx>
        <w:trPr>
          <w:trHeight w:val="406" w:hRule="atLeast"/>
          <w:jc w:val="center"/>
        </w:trPr>
        <w:tc>
          <w:tcPr>
            <w:tcW w:w="1025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kern w:val="0"/>
                <w:sz w:val="32"/>
                <w:szCs w:val="32"/>
                <w:lang w:bidi="ar"/>
              </w:rPr>
            </w:pPr>
          </w:p>
          <w:p>
            <w:pPr>
              <w:jc w:val="center"/>
              <w:rPr>
                <w:rFonts w:ascii="黑体" w:hAnsi="宋体" w:eastAsia="黑体" w:cs="黑体"/>
                <w:color w:val="000000"/>
                <w:kern w:val="0"/>
                <w:sz w:val="32"/>
                <w:szCs w:val="32"/>
                <w:lang w:bidi="ar"/>
              </w:rPr>
            </w:pPr>
            <w:r>
              <w:rPr>
                <w:rFonts w:hint="eastAsia" w:ascii="黑体" w:hAnsi="宋体" w:eastAsia="黑体" w:cs="黑体"/>
                <w:color w:val="000000"/>
                <w:kern w:val="0"/>
                <w:sz w:val="32"/>
                <w:szCs w:val="32"/>
                <w:lang w:bidi="ar"/>
              </w:rPr>
              <w:t>财政拨款收入支出决算总表</w:t>
            </w:r>
          </w:p>
          <w:tbl>
            <w:tblPr>
              <w:tblStyle w:val="6"/>
              <w:tblW w:w="10220" w:type="dxa"/>
              <w:jc w:val="center"/>
              <w:tblInd w:w="0" w:type="dxa"/>
              <w:tblLayout w:type="fixed"/>
              <w:tblCellMar>
                <w:top w:w="0" w:type="dxa"/>
                <w:left w:w="0" w:type="dxa"/>
                <w:bottom w:w="0" w:type="dxa"/>
                <w:right w:w="0" w:type="dxa"/>
              </w:tblCellMar>
            </w:tblPr>
            <w:tblGrid>
              <w:gridCol w:w="3230"/>
              <w:gridCol w:w="46"/>
              <w:gridCol w:w="46"/>
              <w:gridCol w:w="2865"/>
              <w:gridCol w:w="858"/>
              <w:gridCol w:w="858"/>
              <w:gridCol w:w="443"/>
              <w:gridCol w:w="443"/>
              <w:gridCol w:w="459"/>
              <w:gridCol w:w="972"/>
            </w:tblGrid>
            <w:tr>
              <w:tblPrEx>
                <w:tblLayout w:type="fixed"/>
                <w:tblCellMar>
                  <w:top w:w="0" w:type="dxa"/>
                  <w:left w:w="0" w:type="dxa"/>
                  <w:bottom w:w="0" w:type="dxa"/>
                  <w:right w:w="0" w:type="dxa"/>
                </w:tblCellMar>
              </w:tblPrEx>
              <w:trPr>
                <w:trHeight w:val="357" w:hRule="atLeast"/>
                <w:jc w:val="center"/>
              </w:trPr>
              <w:tc>
                <w:tcPr>
                  <w:tcW w:w="32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4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4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w:t>
                  </w:r>
                  <w:r>
                    <w:rPr>
                      <w:rFonts w:ascii="宋体" w:hAnsi="宋体" w:eastAsia="宋体" w:cs="宋体"/>
                      <w:color w:val="000000"/>
                      <w:kern w:val="0"/>
                      <w:sz w:val="20"/>
                      <w:szCs w:val="20"/>
                      <w:lang w:bidi="ar"/>
                    </w:rPr>
                    <w:t>4</w:t>
                  </w:r>
                  <w:r>
                    <w:rPr>
                      <w:rFonts w:hint="eastAsia" w:ascii="宋体" w:hAnsi="宋体" w:eastAsia="宋体" w:cs="宋体"/>
                      <w:color w:val="000000"/>
                      <w:kern w:val="0"/>
                      <w:sz w:val="20"/>
                      <w:szCs w:val="20"/>
                      <w:lang w:bidi="ar"/>
                    </w:rPr>
                    <w:t>表</w:t>
                  </w:r>
                </w:p>
              </w:tc>
            </w:tr>
            <w:tr>
              <w:tblPrEx>
                <w:tblLayout w:type="fixed"/>
                <w:tblCellMar>
                  <w:top w:w="0" w:type="dxa"/>
                  <w:left w:w="0" w:type="dxa"/>
                  <w:bottom w:w="0" w:type="dxa"/>
                  <w:right w:w="0" w:type="dxa"/>
                </w:tblCellMar>
              </w:tblPrEx>
              <w:trPr>
                <w:trHeight w:val="357" w:hRule="atLeast"/>
                <w:jc w:val="center"/>
              </w:trPr>
              <w:tc>
                <w:tcPr>
                  <w:tcW w:w="323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部门：石家庄市藁城区发展和改革局</w:t>
                  </w:r>
                </w:p>
              </w:tc>
              <w:tc>
                <w:tcPr>
                  <w:tcW w:w="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4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4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3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bl>
          <w:p>
            <w:pPr>
              <w:jc w:val="center"/>
              <w:rPr>
                <w:rFonts w:hint="eastAsia" w:ascii="黑体" w:hAnsi="宋体" w:eastAsia="黑体" w:cs="黑体"/>
                <w:color w:val="000000"/>
                <w:sz w:val="32"/>
                <w:szCs w:val="32"/>
              </w:rPr>
            </w:pPr>
          </w:p>
        </w:tc>
      </w:tr>
      <w:tr>
        <w:tblPrEx>
          <w:tblLayout w:type="fixed"/>
          <w:tblCellMar>
            <w:top w:w="0" w:type="dxa"/>
            <w:left w:w="0" w:type="dxa"/>
            <w:bottom w:w="0" w:type="dxa"/>
            <w:right w:w="0" w:type="dxa"/>
          </w:tblCellMar>
        </w:tblPrEx>
        <w:trPr>
          <w:trHeight w:val="90" w:hRule="atLeast"/>
          <w:jc w:val="center"/>
        </w:trPr>
        <w:tc>
          <w:tcPr>
            <w:tcW w:w="423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6016"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Layout w:type="fixed"/>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8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87"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8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Layout w:type="fixed"/>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8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4,946.95</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2,003.38</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2,003.38</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683"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290.00</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290.00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1,856.92</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1,856.92</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218.00</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218.00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155.00</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155.00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723.79</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723.79</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6.00</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6.00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2,561.00</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2,561.00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4,946.95</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7,814.08</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7,814.08</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3,065.18</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198.05</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198.05</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3,065.18</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　</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　</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　</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　</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　</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　</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　</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8,012.13</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8,012.13</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8,012.13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025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tbl>
      <w:tblPr>
        <w:tblStyle w:val="6"/>
        <w:tblW w:w="9992" w:type="dxa"/>
        <w:jc w:val="center"/>
        <w:tblInd w:w="0" w:type="dxa"/>
        <w:tblLayout w:type="fixed"/>
        <w:tblCellMar>
          <w:top w:w="0" w:type="dxa"/>
          <w:left w:w="0" w:type="dxa"/>
          <w:bottom w:w="0" w:type="dxa"/>
          <w:right w:w="0" w:type="dxa"/>
        </w:tblCellMar>
      </w:tblPr>
      <w:tblGrid>
        <w:gridCol w:w="3230"/>
        <w:gridCol w:w="36"/>
        <w:gridCol w:w="36"/>
        <w:gridCol w:w="2890"/>
        <w:gridCol w:w="1450"/>
        <w:gridCol w:w="1235"/>
        <w:gridCol w:w="1115"/>
      </w:tblGrid>
      <w:tr>
        <w:tblPrEx>
          <w:tblLayout w:type="fixed"/>
          <w:tblCellMar>
            <w:top w:w="0" w:type="dxa"/>
            <w:left w:w="0" w:type="dxa"/>
            <w:bottom w:w="0" w:type="dxa"/>
            <w:right w:w="0" w:type="dxa"/>
          </w:tblCellMar>
        </w:tblPrEx>
        <w:trPr>
          <w:trHeight w:val="600" w:hRule="atLeast"/>
          <w:jc w:val="center"/>
        </w:trPr>
        <w:tc>
          <w:tcPr>
            <w:tcW w:w="9992"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both"/>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32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5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Layout w:type="fixed"/>
          <w:tblCellMar>
            <w:top w:w="0" w:type="dxa"/>
            <w:left w:w="0" w:type="dxa"/>
            <w:bottom w:w="0" w:type="dxa"/>
            <w:right w:w="0" w:type="dxa"/>
          </w:tblCellMar>
        </w:tblPrEx>
        <w:trPr>
          <w:trHeight w:val="255" w:hRule="atLeast"/>
          <w:jc w:val="center"/>
        </w:trPr>
        <w:tc>
          <w:tcPr>
            <w:tcW w:w="323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部门：石家庄市藁城区发展和改革局</w:t>
            </w: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5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619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380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312" w:hRule="atLeast"/>
          <w:jc w:val="center"/>
        </w:trPr>
        <w:tc>
          <w:tcPr>
            <w:tcW w:w="33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89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4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23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1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12" w:hRule="atLeast"/>
          <w:jc w:val="center"/>
        </w:trPr>
        <w:tc>
          <w:tcPr>
            <w:tcW w:w="33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9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4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1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33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9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4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1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619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619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cs="Arial"/>
                <w:b/>
                <w:bCs/>
                <w:color w:val="000000"/>
                <w:sz w:val="22"/>
              </w:rPr>
              <w:t>7,814.08</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cs="Arial"/>
                <w:b/>
                <w:bCs/>
                <w:color w:val="000000"/>
                <w:sz w:val="22"/>
              </w:rPr>
              <w:t>1,387.98</w:t>
            </w: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cs="Arial"/>
                <w:b/>
                <w:bCs/>
                <w:color w:val="000000"/>
                <w:sz w:val="22"/>
              </w:rPr>
              <w:t>6,426.10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一般公共服务支出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2,003.38</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1,387.98</w:t>
            </w: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615.39</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发展与改革事务</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1,809.98</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1,387.98</w:t>
            </w: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421.99</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2010401</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行政运行</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1,387.98</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1,387.98</w:t>
            </w: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2010402</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一般行政管理事务</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68.69</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68.69</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2010404</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战略规划与实施</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255.00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255.00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2010406</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社会事业发展规划</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54.85</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54.85</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2010408</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物价管理</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13.00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13.00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2010450</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事业运行</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10.46</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10.46</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2010499</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其他发展与改革事务支出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20.00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20.00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20113</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商贸事务</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193.40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193.40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2011303</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机关服务</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2011307</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国内贸易管理</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64.00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64.00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2011350</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事业运行</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124.40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124.40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206</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科学技术支出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290.00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290.00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20604</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技术研究与开发</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150.00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150.00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2060402</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应用技术研究与开发</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150.00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150.00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20699</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其他科学技术支出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140.00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140.00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2069999</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其他科学技术支出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140.00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140.00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211</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节能环保支出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1,856.92</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1,856.92</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21103</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污染防治</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1,856.92</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1,856.92</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2110301</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大气</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1,856.92</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1,856.92</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213</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农林水支出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218.00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218.00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21301</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农业</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218.00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218.00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2130121</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农业结构调整补贴</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218.00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218.00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215</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资源勘探信息等支出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155.00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155.00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21502</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制造业</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150.00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150.00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2150299</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其他制造业支出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150.00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150.00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21508</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支持中小企业发展和管理支出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2150805</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中小企业发展专项</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216</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商业服务业等支出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723.79</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723.79</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21602</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商业流通事务</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223.79</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223.79</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2160299</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其他商业流通事务支出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223.79</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223.79</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21699</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其他商业服务业等支出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2169999</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其他商业服务业等支出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500.00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222</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粮油物资储备支出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22201</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粮油事务</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6.00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2220105</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粮食信息统计</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2220106</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粮食专项业务活动</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4.00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4.00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229</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其他支出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2,561.00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2,561.00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22999</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其他支出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2,561.00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2,561.00</w:t>
            </w: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2299901</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cs="Arial"/>
                <w:color w:val="000000"/>
                <w:sz w:val="22"/>
              </w:rPr>
              <w:t xml:space="preserve">  其他支出</w:t>
            </w:r>
          </w:p>
        </w:tc>
        <w:tc>
          <w:tcPr>
            <w:tcW w:w="14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2,561.00</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2,561.00</w:t>
            </w:r>
          </w:p>
        </w:tc>
      </w:tr>
    </w:tbl>
    <w:p>
      <w:r>
        <w:rPr>
          <w:rFonts w:hint="eastAsia" w:ascii="宋体" w:hAnsi="宋体" w:eastAsia="宋体" w:cs="宋体"/>
          <w:color w:val="000000"/>
          <w:kern w:val="0"/>
          <w:sz w:val="22"/>
          <w:lang w:bidi="ar"/>
        </w:rPr>
        <w:t>注：本表反映部门本年度一般公共预算财政拨款支出情况。</w:t>
      </w:r>
      <w:r>
        <w:br w:type="page"/>
      </w:r>
    </w:p>
    <w:tbl>
      <w:tblPr>
        <w:tblStyle w:val="6"/>
        <w:tblW w:w="10104" w:type="dxa"/>
        <w:jc w:val="center"/>
        <w:tblInd w:w="0" w:type="dxa"/>
        <w:tblLayout w:type="fixed"/>
        <w:tblCellMar>
          <w:top w:w="0" w:type="dxa"/>
          <w:left w:w="0" w:type="dxa"/>
          <w:bottom w:w="0" w:type="dxa"/>
          <w:right w:w="0" w:type="dxa"/>
        </w:tblCellMar>
      </w:tblPr>
      <w:tblGrid>
        <w:gridCol w:w="896"/>
        <w:gridCol w:w="1932"/>
        <w:gridCol w:w="887"/>
        <w:gridCol w:w="655"/>
        <w:gridCol w:w="1599"/>
        <w:gridCol w:w="768"/>
        <w:gridCol w:w="744"/>
        <w:gridCol w:w="1891"/>
        <w:gridCol w:w="732"/>
      </w:tblGrid>
      <w:tr>
        <w:tblPrEx>
          <w:tblLayout w:type="fixed"/>
          <w:tblCellMar>
            <w:top w:w="0" w:type="dxa"/>
            <w:left w:w="0" w:type="dxa"/>
            <w:bottom w:w="0" w:type="dxa"/>
            <w:right w:w="0" w:type="dxa"/>
          </w:tblCellMar>
        </w:tblPrEx>
        <w:trPr>
          <w:trHeight w:val="662" w:hRule="atLeast"/>
          <w:jc w:val="center"/>
        </w:trPr>
        <w:tc>
          <w:tcPr>
            <w:tcW w:w="10104" w:type="dxa"/>
            <w:gridSpan w:val="9"/>
            <w:tcBorders>
              <w:top w:val="nil"/>
              <w:left w:val="nil"/>
              <w:bottom w:val="nil"/>
              <w:right w:val="nil"/>
            </w:tcBorders>
            <w:shd w:val="clear" w:color="auto" w:fill="auto"/>
            <w:tcMar>
              <w:top w:w="15" w:type="dxa"/>
              <w:left w:w="15" w:type="dxa"/>
              <w:right w:w="15" w:type="dxa"/>
            </w:tcMar>
            <w:vAlign w:val="center"/>
          </w:tcPr>
          <w:p>
            <w:pPr>
              <w:widowControl/>
              <w:jc w:val="both"/>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r>
              <w:rPr>
                <w:rFonts w:hint="eastAsia" w:ascii="黑体" w:hAnsi="宋体" w:eastAsia="黑体" w:cs="黑体"/>
                <w:color w:val="000000"/>
                <w:kern w:val="0"/>
                <w:sz w:val="32"/>
                <w:szCs w:val="32"/>
                <w:lang w:bidi="ar"/>
              </w:rPr>
              <w:t>一般公共预算财政拨款基本支出决算表</w:t>
            </w:r>
          </w:p>
          <w:tbl>
            <w:tblPr>
              <w:tblStyle w:val="6"/>
              <w:tblW w:w="10074" w:type="dxa"/>
              <w:jc w:val="center"/>
              <w:tblInd w:w="0" w:type="dxa"/>
              <w:tblLayout w:type="fixed"/>
              <w:tblCellMar>
                <w:top w:w="0" w:type="dxa"/>
                <w:left w:w="0" w:type="dxa"/>
                <w:bottom w:w="0" w:type="dxa"/>
                <w:right w:w="0" w:type="dxa"/>
              </w:tblCellMar>
            </w:tblPr>
            <w:tblGrid>
              <w:gridCol w:w="3230"/>
              <w:gridCol w:w="36"/>
              <w:gridCol w:w="36"/>
              <w:gridCol w:w="2815"/>
              <w:gridCol w:w="836"/>
              <w:gridCol w:w="836"/>
              <w:gridCol w:w="427"/>
              <w:gridCol w:w="427"/>
              <w:gridCol w:w="459"/>
              <w:gridCol w:w="972"/>
            </w:tblGrid>
            <w:tr>
              <w:tblPrEx>
                <w:tblLayout w:type="fixed"/>
                <w:tblCellMar>
                  <w:top w:w="0" w:type="dxa"/>
                  <w:left w:w="0" w:type="dxa"/>
                  <w:bottom w:w="0" w:type="dxa"/>
                  <w:right w:w="0" w:type="dxa"/>
                </w:tblCellMar>
              </w:tblPrEx>
              <w:trPr>
                <w:trHeight w:val="357" w:hRule="atLeast"/>
                <w:jc w:val="center"/>
              </w:trPr>
              <w:tc>
                <w:tcPr>
                  <w:tcW w:w="32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1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w:t>
                  </w:r>
                  <w:r>
                    <w:rPr>
                      <w:rFonts w:ascii="宋体" w:hAnsi="宋体" w:eastAsia="宋体" w:cs="宋体"/>
                      <w:color w:val="000000"/>
                      <w:kern w:val="0"/>
                      <w:sz w:val="20"/>
                      <w:szCs w:val="20"/>
                      <w:lang w:bidi="ar"/>
                    </w:rPr>
                    <w:t>6</w:t>
                  </w:r>
                  <w:r>
                    <w:rPr>
                      <w:rFonts w:hint="eastAsia" w:ascii="宋体" w:hAnsi="宋体" w:eastAsia="宋体" w:cs="宋体"/>
                      <w:color w:val="000000"/>
                      <w:kern w:val="0"/>
                      <w:sz w:val="20"/>
                      <w:szCs w:val="20"/>
                      <w:lang w:bidi="ar"/>
                    </w:rPr>
                    <w:t>表</w:t>
                  </w:r>
                </w:p>
              </w:tc>
            </w:tr>
            <w:tr>
              <w:tblPrEx>
                <w:tblLayout w:type="fixed"/>
                <w:tblCellMar>
                  <w:top w:w="0" w:type="dxa"/>
                  <w:left w:w="0" w:type="dxa"/>
                  <w:bottom w:w="0" w:type="dxa"/>
                  <w:right w:w="0" w:type="dxa"/>
                </w:tblCellMar>
              </w:tblPrEx>
              <w:trPr>
                <w:trHeight w:val="357" w:hRule="atLeast"/>
                <w:jc w:val="center"/>
              </w:trPr>
              <w:tc>
                <w:tcPr>
                  <w:tcW w:w="323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部门：石家庄市藁城区发展和改革局</w:t>
                  </w: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1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3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bl>
          <w:p>
            <w:pPr>
              <w:widowControl/>
              <w:jc w:val="center"/>
              <w:textAlignment w:val="center"/>
              <w:rPr>
                <w:rFonts w:hint="eastAsia" w:ascii="黑体" w:hAnsi="宋体" w:eastAsia="黑体" w:cs="黑体"/>
                <w:color w:val="000000"/>
                <w:sz w:val="32"/>
                <w:szCs w:val="32"/>
              </w:rPr>
            </w:pPr>
          </w:p>
        </w:tc>
      </w:tr>
      <w:tr>
        <w:tblPrEx>
          <w:tblLayout w:type="fixed"/>
          <w:tblCellMar>
            <w:top w:w="0" w:type="dxa"/>
            <w:left w:w="0" w:type="dxa"/>
            <w:bottom w:w="0" w:type="dxa"/>
            <w:right w:w="0" w:type="dxa"/>
          </w:tblCellMar>
        </w:tblPrEx>
        <w:trPr>
          <w:trHeight w:val="362" w:hRule="atLeast"/>
          <w:jc w:val="center"/>
        </w:trPr>
        <w:tc>
          <w:tcPr>
            <w:tcW w:w="371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Layout w:type="fixed"/>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88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1,307.50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75.88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428.57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56.72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88.30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341.70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15.87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9.14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189.50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83.06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151.35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4.61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0.21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4.61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4.68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5.99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0.69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cs="Arial"/>
                <w:color w:val="000000"/>
                <w:sz w:val="22"/>
              </w:rPr>
              <w:t>7.58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w:t>
            </w:r>
            <w:r>
              <w:rPr>
                <w:rFonts w:ascii="宋体" w:hAnsi="宋体" w:eastAsia="宋体" w:cs="宋体"/>
                <w:color w:val="000000"/>
                <w:sz w:val="20"/>
                <w:szCs w:val="20"/>
              </w:rPr>
              <w:t>312.1</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w:t>
            </w:r>
            <w:r>
              <w:rPr>
                <w:rFonts w:ascii="宋体" w:hAnsi="宋体" w:eastAsia="宋体" w:cs="宋体"/>
                <w:color w:val="000000"/>
                <w:sz w:val="20"/>
                <w:szCs w:val="20"/>
              </w:rPr>
              <w:t>5.88</w:t>
            </w:r>
          </w:p>
        </w:tc>
      </w:tr>
    </w:tbl>
    <w:p>
      <w:pPr>
        <w:rPr>
          <w:rFonts w:hint="eastAsia" w:ascii="宋体" w:hAnsi="宋体" w:eastAsia="宋体" w:cs="宋体"/>
        </w:rPr>
      </w:pPr>
      <w:r>
        <w:rPr>
          <w:rFonts w:hint="eastAsia" w:ascii="宋体" w:hAnsi="宋体" w:eastAsia="宋体" w:cs="宋体"/>
        </w:rPr>
        <w:t>注：本表反映部门本年度一般公共预算财政拨款基本支出明细情况。</w:t>
      </w:r>
    </w:p>
    <w:p/>
    <w:p/>
    <w:p/>
    <w:p/>
    <w:p/>
    <w:p/>
    <w:p/>
    <w:p/>
    <w:p/>
    <w:p/>
    <w:p/>
    <w:p/>
    <w:p/>
    <w:p/>
    <w:p/>
    <w:p/>
    <w:p/>
    <w:p/>
    <w:p/>
    <w:p/>
    <w:tbl>
      <w:tblPr>
        <w:tblStyle w:val="6"/>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r>
              <w:rPr>
                <w:rFonts w:hint="eastAsia" w:ascii="黑体" w:hAnsi="宋体" w:eastAsia="黑体" w:cs="黑体"/>
                <w:color w:val="000000"/>
                <w:kern w:val="0"/>
                <w:sz w:val="32"/>
                <w:szCs w:val="32"/>
                <w:lang w:bidi="ar"/>
              </w:rPr>
              <w:t>一般公共预算财政拨款“三公”经费支出决算表</w:t>
            </w:r>
          </w:p>
          <w:tbl>
            <w:tblPr>
              <w:tblStyle w:val="6"/>
              <w:tblW w:w="9190" w:type="dxa"/>
              <w:jc w:val="center"/>
              <w:tblInd w:w="0" w:type="dxa"/>
              <w:tblLayout w:type="fixed"/>
              <w:tblCellMar>
                <w:top w:w="0" w:type="dxa"/>
                <w:left w:w="0" w:type="dxa"/>
                <w:bottom w:w="0" w:type="dxa"/>
                <w:right w:w="0" w:type="dxa"/>
              </w:tblCellMar>
            </w:tblPr>
            <w:tblGrid>
              <w:gridCol w:w="6043"/>
              <w:gridCol w:w="66"/>
              <w:gridCol w:w="66"/>
              <w:gridCol w:w="68"/>
              <w:gridCol w:w="68"/>
              <w:gridCol w:w="68"/>
              <w:gridCol w:w="68"/>
              <w:gridCol w:w="68"/>
              <w:gridCol w:w="2675"/>
            </w:tblGrid>
            <w:tr>
              <w:tblPrEx>
                <w:tblLayout w:type="fixed"/>
                <w:tblCellMar>
                  <w:top w:w="0" w:type="dxa"/>
                  <w:left w:w="0" w:type="dxa"/>
                  <w:bottom w:w="0" w:type="dxa"/>
                  <w:right w:w="0" w:type="dxa"/>
                </w:tblCellMar>
              </w:tblPrEx>
              <w:trPr>
                <w:trHeight w:val="255" w:hRule="atLeast"/>
                <w:jc w:val="center"/>
              </w:trPr>
              <w:tc>
                <w:tcPr>
                  <w:tcW w:w="604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75"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w:t>
                  </w:r>
                  <w:r>
                    <w:rPr>
                      <w:rFonts w:ascii="宋体" w:hAnsi="宋体" w:eastAsia="宋体" w:cs="宋体"/>
                      <w:color w:val="000000"/>
                      <w:kern w:val="0"/>
                      <w:sz w:val="20"/>
                      <w:szCs w:val="20"/>
                      <w:lang w:bidi="ar"/>
                    </w:rPr>
                    <w:t>7</w:t>
                  </w:r>
                  <w:r>
                    <w:rPr>
                      <w:rFonts w:hint="eastAsia" w:ascii="宋体" w:hAnsi="宋体" w:eastAsia="宋体" w:cs="宋体"/>
                      <w:color w:val="000000"/>
                      <w:kern w:val="0"/>
                      <w:sz w:val="20"/>
                      <w:szCs w:val="20"/>
                      <w:lang w:bidi="ar"/>
                    </w:rPr>
                    <w:t>表</w:t>
                  </w:r>
                </w:p>
              </w:tc>
            </w:tr>
            <w:tr>
              <w:tblPrEx>
                <w:tblLayout w:type="fixed"/>
                <w:tblCellMar>
                  <w:top w:w="0" w:type="dxa"/>
                  <w:left w:w="0" w:type="dxa"/>
                  <w:bottom w:w="0" w:type="dxa"/>
                  <w:right w:w="0" w:type="dxa"/>
                </w:tblCellMar>
              </w:tblPrEx>
              <w:trPr>
                <w:trHeight w:val="255" w:hRule="atLeast"/>
                <w:jc w:val="center"/>
              </w:trPr>
              <w:tc>
                <w:tcPr>
                  <w:tcW w:w="6043"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部门：石家庄市藁城区发展和改革局</w:t>
                  </w:r>
                </w:p>
              </w:tc>
              <w:tc>
                <w:tcPr>
                  <w:tcW w:w="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75"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bl>
          <w:p>
            <w:pPr>
              <w:widowControl/>
              <w:jc w:val="center"/>
              <w:textAlignment w:val="center"/>
              <w:rPr>
                <w:rFonts w:hint="eastAsia" w:ascii="黑体" w:hAnsi="宋体" w:eastAsia="黑体" w:cs="黑体"/>
                <w:color w:val="000000"/>
                <w:sz w:val="32"/>
                <w:szCs w:val="32"/>
              </w:rPr>
            </w:pP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2.20</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2.20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2.20</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0.69</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0.69</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cs="Arial"/>
                <w:color w:val="000000"/>
                <w:sz w:val="22"/>
              </w:rPr>
              <w:t>0.69</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4" w:type="dxa"/>
        <w:jc w:val="center"/>
        <w:tblInd w:w="0" w:type="dxa"/>
        <w:tblLayout w:type="fixed"/>
        <w:tblCellMar>
          <w:top w:w="0" w:type="dxa"/>
          <w:left w:w="0" w:type="dxa"/>
          <w:bottom w:w="0" w:type="dxa"/>
          <w:right w:w="0" w:type="dxa"/>
        </w:tblCellMar>
      </w:tblPr>
      <w:tblGrid>
        <w:gridCol w:w="3230"/>
        <w:gridCol w:w="36"/>
        <w:gridCol w:w="36"/>
        <w:gridCol w:w="910"/>
        <w:gridCol w:w="1096"/>
        <w:gridCol w:w="990"/>
        <w:gridCol w:w="902"/>
        <w:gridCol w:w="829"/>
        <w:gridCol w:w="768"/>
        <w:gridCol w:w="717"/>
      </w:tblGrid>
      <w:tr>
        <w:tblPrEx>
          <w:tblLayout w:type="fixed"/>
          <w:tblCellMar>
            <w:top w:w="0" w:type="dxa"/>
            <w:left w:w="0" w:type="dxa"/>
            <w:bottom w:w="0" w:type="dxa"/>
            <w:right w:w="0" w:type="dxa"/>
          </w:tblCellMar>
        </w:tblPrEx>
        <w:trPr>
          <w:trHeight w:val="780" w:hRule="atLeast"/>
          <w:jc w:val="center"/>
        </w:trPr>
        <w:tc>
          <w:tcPr>
            <w:tcW w:w="9514"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32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85"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323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部门：石家庄市藁城区发展和改革局</w:t>
            </w: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85"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421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9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9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249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71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33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91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8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7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33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33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21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421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注：本表反映部门本年度政府性基金预算财政拨款收入、支出及结转和结余情况。本部门本年度无收支及结转结余情况，按要求以空表列示。</w:t>
      </w:r>
      <w:r>
        <w:br w:type="page"/>
      </w:r>
    </w:p>
    <w:tbl>
      <w:tblPr>
        <w:tblStyle w:val="6"/>
        <w:tblW w:w="9915" w:type="dxa"/>
        <w:jc w:val="center"/>
        <w:tblInd w:w="0" w:type="dxa"/>
        <w:tblLayout w:type="fixed"/>
        <w:tblCellMar>
          <w:top w:w="0" w:type="dxa"/>
          <w:left w:w="0" w:type="dxa"/>
          <w:bottom w:w="0" w:type="dxa"/>
          <w:right w:w="0" w:type="dxa"/>
        </w:tblCellMar>
      </w:tblPr>
      <w:tblGrid>
        <w:gridCol w:w="4397"/>
        <w:gridCol w:w="49"/>
        <w:gridCol w:w="49"/>
        <w:gridCol w:w="2302"/>
        <w:gridCol w:w="640"/>
        <w:gridCol w:w="1239"/>
        <w:gridCol w:w="1239"/>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439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7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439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部门：石家庄市藁城区发展和改革局</w:t>
            </w:r>
          </w:p>
        </w:tc>
        <w:tc>
          <w:tcPr>
            <w:tcW w:w="4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7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679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3118"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449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6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2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2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679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6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2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2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679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6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2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2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44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4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4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4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4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注：本表反映部门本年度国有资本经营预算财政拨款支出情况。本部门本年度无相关支出情况，按要求以空表列示。</w:t>
      </w:r>
      <w:r>
        <w:br w:type="page"/>
      </w:r>
    </w:p>
    <w:p>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7" w:type="first"/>
      <w:headerReference r:id="rId26" w:type="default"/>
      <w:footerReference r:id="rId28"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楷体_GB2312">
    <w:altName w:val="楷体"/>
    <w:panose1 w:val="00000000000000000000"/>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A6A6B8"/>
    <w:multiLevelType w:val="singleLevel"/>
    <w:tmpl w:val="2BA6A6B8"/>
    <w:lvl w:ilvl="0" w:tentative="0">
      <w:start w:val="1"/>
      <w:numFmt w:val="chineseCounting"/>
      <w:suff w:val="nothing"/>
      <w:lvlText w:val="（%1）"/>
      <w:lvlJc w:val="left"/>
      <w:rPr>
        <w:rFonts w:hint="eastAsia"/>
      </w:rPr>
    </w:lvl>
  </w:abstractNum>
  <w:abstractNum w:abstractNumId="1">
    <w:nsid w:val="43AEF38D"/>
    <w:multiLevelType w:val="singleLevel"/>
    <w:tmpl w:val="43AEF38D"/>
    <w:lvl w:ilvl="0" w:tentative="0">
      <w:start w:val="3"/>
      <w:numFmt w:val="decimal"/>
      <w:lvlText w:val="%1."/>
      <w:lvlJc w:val="left"/>
      <w:pPr>
        <w:tabs>
          <w:tab w:val="left" w:pos="312"/>
        </w:tabs>
      </w:p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AAF1C96"/>
    <w:rsid w:val="0007063E"/>
    <w:rsid w:val="00073392"/>
    <w:rsid w:val="00073F4E"/>
    <w:rsid w:val="00083DCD"/>
    <w:rsid w:val="00086C89"/>
    <w:rsid w:val="000A39FB"/>
    <w:rsid w:val="000B3492"/>
    <w:rsid w:val="000F3882"/>
    <w:rsid w:val="00117746"/>
    <w:rsid w:val="00163F95"/>
    <w:rsid w:val="0017739D"/>
    <w:rsid w:val="00180A9A"/>
    <w:rsid w:val="001829C0"/>
    <w:rsid w:val="00184809"/>
    <w:rsid w:val="00192112"/>
    <w:rsid w:val="001B0127"/>
    <w:rsid w:val="001C12D5"/>
    <w:rsid w:val="001C69F7"/>
    <w:rsid w:val="001D6F97"/>
    <w:rsid w:val="001E284B"/>
    <w:rsid w:val="001F6D78"/>
    <w:rsid w:val="002650EC"/>
    <w:rsid w:val="002A6C46"/>
    <w:rsid w:val="002C19B5"/>
    <w:rsid w:val="003A23FF"/>
    <w:rsid w:val="003A4EE8"/>
    <w:rsid w:val="003A7A93"/>
    <w:rsid w:val="003E1CD7"/>
    <w:rsid w:val="00442CC2"/>
    <w:rsid w:val="00446244"/>
    <w:rsid w:val="00473C20"/>
    <w:rsid w:val="00494A6E"/>
    <w:rsid w:val="004D61CB"/>
    <w:rsid w:val="005011D6"/>
    <w:rsid w:val="00503F2E"/>
    <w:rsid w:val="00552226"/>
    <w:rsid w:val="00566120"/>
    <w:rsid w:val="00582E6D"/>
    <w:rsid w:val="005954D5"/>
    <w:rsid w:val="005A4B2D"/>
    <w:rsid w:val="005A53FA"/>
    <w:rsid w:val="005D1293"/>
    <w:rsid w:val="00620B89"/>
    <w:rsid w:val="00623797"/>
    <w:rsid w:val="00644D5F"/>
    <w:rsid w:val="00657F86"/>
    <w:rsid w:val="006727AD"/>
    <w:rsid w:val="00691425"/>
    <w:rsid w:val="00693043"/>
    <w:rsid w:val="006A516E"/>
    <w:rsid w:val="006B0830"/>
    <w:rsid w:val="006D7FFB"/>
    <w:rsid w:val="007007DA"/>
    <w:rsid w:val="00716E2B"/>
    <w:rsid w:val="007435E6"/>
    <w:rsid w:val="00770F18"/>
    <w:rsid w:val="00773B74"/>
    <w:rsid w:val="0078290C"/>
    <w:rsid w:val="0078578E"/>
    <w:rsid w:val="007C06CA"/>
    <w:rsid w:val="007C35ED"/>
    <w:rsid w:val="0080641D"/>
    <w:rsid w:val="008163FB"/>
    <w:rsid w:val="0082605B"/>
    <w:rsid w:val="00855C36"/>
    <w:rsid w:val="00857DBE"/>
    <w:rsid w:val="008701BC"/>
    <w:rsid w:val="00883D92"/>
    <w:rsid w:val="00884CE1"/>
    <w:rsid w:val="008939C6"/>
    <w:rsid w:val="00893EDA"/>
    <w:rsid w:val="008A4BFF"/>
    <w:rsid w:val="008A5362"/>
    <w:rsid w:val="008B4D9A"/>
    <w:rsid w:val="008B5669"/>
    <w:rsid w:val="008D7ECC"/>
    <w:rsid w:val="008F21F1"/>
    <w:rsid w:val="008F221B"/>
    <w:rsid w:val="008F5A2D"/>
    <w:rsid w:val="00921602"/>
    <w:rsid w:val="0095659E"/>
    <w:rsid w:val="00957EA1"/>
    <w:rsid w:val="00966E5B"/>
    <w:rsid w:val="009B1B69"/>
    <w:rsid w:val="009B4EF0"/>
    <w:rsid w:val="009D271F"/>
    <w:rsid w:val="009E0541"/>
    <w:rsid w:val="00A42059"/>
    <w:rsid w:val="00A821CD"/>
    <w:rsid w:val="00A929C2"/>
    <w:rsid w:val="00AD097F"/>
    <w:rsid w:val="00B245F0"/>
    <w:rsid w:val="00B421DC"/>
    <w:rsid w:val="00B6042F"/>
    <w:rsid w:val="00B63D9F"/>
    <w:rsid w:val="00B844F4"/>
    <w:rsid w:val="00BA06A1"/>
    <w:rsid w:val="00BA4A59"/>
    <w:rsid w:val="00BA770A"/>
    <w:rsid w:val="00C054DE"/>
    <w:rsid w:val="00C12BBB"/>
    <w:rsid w:val="00C679A9"/>
    <w:rsid w:val="00C7541C"/>
    <w:rsid w:val="00C9157C"/>
    <w:rsid w:val="00CC0FAA"/>
    <w:rsid w:val="00CD0736"/>
    <w:rsid w:val="00CE66FF"/>
    <w:rsid w:val="00D1570F"/>
    <w:rsid w:val="00D32830"/>
    <w:rsid w:val="00D44B54"/>
    <w:rsid w:val="00DB7153"/>
    <w:rsid w:val="00DB7F05"/>
    <w:rsid w:val="00DE2332"/>
    <w:rsid w:val="00E028C3"/>
    <w:rsid w:val="00E14F77"/>
    <w:rsid w:val="00E3076B"/>
    <w:rsid w:val="00E36978"/>
    <w:rsid w:val="00E82A1E"/>
    <w:rsid w:val="00EA05EC"/>
    <w:rsid w:val="00EC06F4"/>
    <w:rsid w:val="00EE4E36"/>
    <w:rsid w:val="00F25594"/>
    <w:rsid w:val="00F665F4"/>
    <w:rsid w:val="00FD225F"/>
    <w:rsid w:val="05B00A30"/>
    <w:rsid w:val="0B011416"/>
    <w:rsid w:val="0D7D7132"/>
    <w:rsid w:val="10C925F6"/>
    <w:rsid w:val="127D5BEA"/>
    <w:rsid w:val="19601962"/>
    <w:rsid w:val="19730FB2"/>
    <w:rsid w:val="1B9379C9"/>
    <w:rsid w:val="2E973248"/>
    <w:rsid w:val="30A02FB7"/>
    <w:rsid w:val="31C2036A"/>
    <w:rsid w:val="320D02A5"/>
    <w:rsid w:val="32D0590D"/>
    <w:rsid w:val="348E566F"/>
    <w:rsid w:val="3A226944"/>
    <w:rsid w:val="3A3B2DCA"/>
    <w:rsid w:val="3AEE6A48"/>
    <w:rsid w:val="3C1620AA"/>
    <w:rsid w:val="3D8F080F"/>
    <w:rsid w:val="40571904"/>
    <w:rsid w:val="44CE1FA4"/>
    <w:rsid w:val="487F73ED"/>
    <w:rsid w:val="498D0366"/>
    <w:rsid w:val="4A347EAE"/>
    <w:rsid w:val="5099697A"/>
    <w:rsid w:val="52600405"/>
    <w:rsid w:val="529B4319"/>
    <w:rsid w:val="547810A8"/>
    <w:rsid w:val="57773DD6"/>
    <w:rsid w:val="578B79AB"/>
    <w:rsid w:val="5CCD3FD5"/>
    <w:rsid w:val="61FA5F9D"/>
    <w:rsid w:val="62153C4E"/>
    <w:rsid w:val="64CD6910"/>
    <w:rsid w:val="64E41A2C"/>
    <w:rsid w:val="666D6C0D"/>
    <w:rsid w:val="6789158D"/>
    <w:rsid w:val="67D81BA4"/>
    <w:rsid w:val="6A664797"/>
    <w:rsid w:val="6AAF1C96"/>
    <w:rsid w:val="6EA002E7"/>
    <w:rsid w:val="725161DB"/>
    <w:rsid w:val="74486E3D"/>
    <w:rsid w:val="75681757"/>
    <w:rsid w:val="75A346A8"/>
    <w:rsid w:val="760020D9"/>
    <w:rsid w:val="79B9382C"/>
    <w:rsid w:val="7B043B76"/>
    <w:rsid w:val="7C041A6A"/>
    <w:rsid w:val="7D135D24"/>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semiHidden/>
    <w:unhideWhenUsed/>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字符"/>
    <w:basedOn w:val="8"/>
    <w:link w:val="5"/>
    <w:qFormat/>
    <w:uiPriority w:val="99"/>
    <w:rPr>
      <w:rFonts w:asciiTheme="minorHAnsi" w:hAnsiTheme="minorHAnsi" w:eastAsiaTheme="minorEastAsia"/>
      <w:sz w:val="18"/>
      <w:szCs w:val="18"/>
    </w:rPr>
  </w:style>
  <w:style w:type="character" w:customStyle="1" w:styleId="10">
    <w:name w:val="页脚 字符"/>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8" Type="http://schemas.openxmlformats.org/officeDocument/2006/relationships/fontTable" Target="fontTable.xml"/><Relationship Id="rId37" Type="http://schemas.openxmlformats.org/officeDocument/2006/relationships/customXml" Target="../customXml/item2.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chart" Target="charts/chart4.xml"/><Relationship Id="rId33" Type="http://schemas.openxmlformats.org/officeDocument/2006/relationships/chart" Target="charts/chart3.xml"/><Relationship Id="rId32" Type="http://schemas.openxmlformats.org/officeDocument/2006/relationships/chart" Target="charts/chart2.xml"/><Relationship Id="rId31" Type="http://schemas.openxmlformats.org/officeDocument/2006/relationships/chart" Target="charts/chart1.xml"/><Relationship Id="rId30" Type="http://schemas.openxmlformats.org/officeDocument/2006/relationships/image" Target="media/image2.bmp"/><Relationship Id="rId3" Type="http://schemas.openxmlformats.org/officeDocument/2006/relationships/header" Target="header1.xml"/><Relationship Id="rId29" Type="http://schemas.openxmlformats.org/officeDocument/2006/relationships/theme" Target="theme/theme1.xml"/><Relationship Id="rId28" Type="http://schemas.openxmlformats.org/officeDocument/2006/relationships/footer" Target="footer10.xml"/><Relationship Id="rId27" Type="http://schemas.openxmlformats.org/officeDocument/2006/relationships/header" Target="header16.xml"/><Relationship Id="rId26" Type="http://schemas.openxmlformats.org/officeDocument/2006/relationships/header" Target="header15.xml"/><Relationship Id="rId25" Type="http://schemas.openxmlformats.org/officeDocument/2006/relationships/header" Target="header14.xml"/><Relationship Id="rId24" Type="http://schemas.openxmlformats.org/officeDocument/2006/relationships/header" Target="header13.xml"/><Relationship Id="rId23" Type="http://schemas.openxmlformats.org/officeDocument/2006/relationships/header" Target="header12.xml"/><Relationship Id="rId22" Type="http://schemas.openxmlformats.org/officeDocument/2006/relationships/footer" Target="footer9.xml"/><Relationship Id="rId21" Type="http://schemas.openxmlformats.org/officeDocument/2006/relationships/footer" Target="footer8.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footer" Target="footer7.xml"/><Relationship Id="rId16" Type="http://schemas.openxmlformats.org/officeDocument/2006/relationships/footer" Target="footer6.xml"/><Relationship Id="rId15" Type="http://schemas.openxmlformats.org/officeDocument/2006/relationships/header" Target="header8.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7.xml"/><Relationship Id="rId11" Type="http://schemas.openxmlformats.org/officeDocument/2006/relationships/header" Target="header6.xml"/><Relationship Id="rId10" Type="http://schemas.openxmlformats.org/officeDocument/2006/relationships/footer" Target="footer3.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4" Type="http://schemas.microsoft.com/office/2011/relationships/chartColorStyle" Target="colors2.xml"/><Relationship Id="rId3" Type="http://schemas.microsoft.com/office/2011/relationships/chartStyle" Target="style2.xml"/><Relationship Id="rId2" Type="http://schemas.openxmlformats.org/officeDocument/2006/relationships/themeOverride" Target="../theme/themeOverride1.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4" Type="http://schemas.microsoft.com/office/2011/relationships/chartColorStyle" Target="colors3.xml"/><Relationship Id="rId3" Type="http://schemas.microsoft.com/office/2011/relationships/chartStyle" Target="style3.xml"/><Relationship Id="rId2" Type="http://schemas.openxmlformats.org/officeDocument/2006/relationships/themeOverride" Target="../theme/themeOverride2.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2" Type="http://schemas.openxmlformats.org/officeDocument/2006/relationships/themeOverride" Target="../theme/themeOverride3.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600" b="1" i="0" u="none" strike="noStrike" kern="1200" baseline="0">
                <a:solidFill>
                  <a:schemeClr val="tx1">
                    <a:lumMod val="65000"/>
                    <a:lumOff val="35000"/>
                  </a:schemeClr>
                </a:solidFill>
                <a:latin typeface="+mn-lt"/>
                <a:ea typeface="+mn-ea"/>
                <a:cs typeface="+mn-cs"/>
              </a:defRPr>
            </a:pPr>
            <a:r>
              <a:t>支出构成情况</a:t>
            </a:r>
          </a:p>
        </c:rich>
      </c:tx>
      <c:layout/>
      <c:overlay val="0"/>
      <c:spPr>
        <a:noFill/>
        <a:ln>
          <a:noFill/>
        </a:ln>
        <a:effectLst/>
      </c:spPr>
    </c:title>
    <c:autoTitleDeleted val="0"/>
    <c:plotArea>
      <c:layout>
        <c:manualLayout>
          <c:layoutTarget val="inner"/>
          <c:xMode val="edge"/>
          <c:yMode val="edge"/>
          <c:x val="0.00764525993883792"/>
          <c:y val="0.19405743423954"/>
          <c:w val="0.929043702628608"/>
          <c:h val="0.755979575382962"/>
        </c:manualLayout>
      </c:layout>
      <c:pieChart>
        <c:varyColors val="1"/>
        <c:ser>
          <c:idx val="0"/>
          <c:order val="0"/>
          <c:tx>
            <c:strRef>
              <c:f>Sheet1!$B$1</c:f>
              <c:strCache>
                <c:ptCount val="1"/>
                <c:pt idx="0">
                  <c:v>销售额</c:v>
                </c:pt>
              </c:strCache>
            </c:strRef>
          </c:tx>
          <c:spPr>
            <a:scene3d>
              <a:camera prst="orthographicFront"/>
              <a:lightRig rig="threePt" dir="t"/>
            </a:scene3d>
            <a:sp3d contourW="9525"/>
          </c:spPr>
          <c:explosion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threePt" dir="t"/>
              </a:scene3d>
              <a:sp3d contourW="9525"/>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threePt" dir="t"/>
              </a:scene3d>
              <a:sp3d contourW="9525"/>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a:latin typeface="Times New Roman" panose="02020603050405020304" charset="0"/>
                        <a:cs typeface="Times New Roman" panose="02020603050405020304" charset="0"/>
                      </a:rPr>
                      <a:t>基本支出</a:t>
                    </a:r>
                    <a:endParaRPr>
                      <a:latin typeface="Times New Roman" panose="02020603050405020304" charset="0"/>
                      <a:cs typeface="Times New Roman" panose="02020603050405020304" charset="0"/>
                    </a:endParaRPr>
                  </a:p>
                  <a:p>
                    <a:pPr defTabSz="914400">
                      <a:defRPr lang="zh-CN" sz="900" b="0" i="0" u="none" strike="noStrike" kern="1200" baseline="0">
                        <a:solidFill>
                          <a:schemeClr val="tx1">
                            <a:lumMod val="75000"/>
                            <a:lumOff val="25000"/>
                          </a:schemeClr>
                        </a:solidFill>
                        <a:latin typeface="+mn-lt"/>
                        <a:ea typeface="+mn-ea"/>
                        <a:cs typeface="+mn-cs"/>
                      </a:defRPr>
                    </a:pPr>
                    <a:r>
                      <a:rPr lang="en-US" altLang="zh-CN">
                        <a:latin typeface="Times New Roman" panose="02020603050405020304" charset="0"/>
                        <a:cs typeface="Times New Roman" panose="02020603050405020304" charset="0"/>
                      </a:rPr>
                      <a:t>17.76%</a:t>
                    </a:r>
                    <a:endParaRPr lang="en-US" altLang="zh-CN">
                      <a:latin typeface="Times New Roman" panose="02020603050405020304" charset="0"/>
                      <a:cs typeface="Times New Roman" panose="02020603050405020304" charset="0"/>
                    </a:endParaRPr>
                  </a:p>
                </c:rich>
              </c:tx>
              <c:dLblPos val="ctr"/>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a:latin typeface="Times New Roman" panose="02020603050405020304" charset="0"/>
                        <a:cs typeface="Times New Roman" panose="02020603050405020304" charset="0"/>
                      </a:rPr>
                      <a:t>项目支出</a:t>
                    </a:r>
                    <a:endParaRPr>
                      <a:latin typeface="Times New Roman" panose="02020603050405020304" charset="0"/>
                      <a:cs typeface="Times New Roman" panose="02020603050405020304" charset="0"/>
                    </a:endParaRPr>
                  </a:p>
                  <a:p>
                    <a:pPr defTabSz="914400">
                      <a:defRPr lang="zh-CN" sz="900" b="0" i="0" u="none" strike="noStrike" kern="1200" baseline="0">
                        <a:solidFill>
                          <a:schemeClr val="tx1">
                            <a:lumMod val="75000"/>
                            <a:lumOff val="25000"/>
                          </a:schemeClr>
                        </a:solidFill>
                        <a:latin typeface="+mn-lt"/>
                        <a:ea typeface="+mn-ea"/>
                        <a:cs typeface="+mn-cs"/>
                      </a:defRPr>
                    </a:pPr>
                    <a:r>
                      <a:rPr lang="en-US" altLang="zh-CN">
                        <a:latin typeface="Times New Roman" panose="02020603050405020304" charset="0"/>
                        <a:cs typeface="Times New Roman" panose="02020603050405020304" charset="0"/>
                      </a:rPr>
                      <a:t>82.24%</a:t>
                    </a:r>
                    <a:endParaRPr lang="en-US" altLang="zh-CN">
                      <a:latin typeface="Times New Roman" panose="02020603050405020304" charset="0"/>
                      <a:cs typeface="Times New Roman" panose="02020603050405020304" charset="0"/>
                    </a:endParaRPr>
                  </a:p>
                </c:rich>
              </c:tx>
              <c:dLblPos val="ctr"/>
              <c:showLegendKey val="0"/>
              <c:showVal val="0"/>
              <c:showCatName val="1"/>
              <c:showSerName val="0"/>
              <c:showPercent val="1"/>
              <c:showBubbleSize val="0"/>
              <c:separator>
</c:separator>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1387.98</c:v>
                </c:pt>
                <c:pt idx="1">
                  <c:v>6426.1</c:v>
                </c:pt>
              </c:numCache>
            </c:numRef>
          </c:val>
        </c:ser>
        <c:dLbls>
          <c:showLegendKey val="0"/>
          <c:showVal val="0"/>
          <c:showCatName val="1"/>
          <c:showSerName val="0"/>
          <c:showPercent val="0"/>
          <c:showBubbleSize val="0"/>
          <c:showLeaderLines val="1"/>
        </c:dLbls>
        <c:firstSliceAng val="0"/>
      </c:pieChart>
      <c:spPr>
        <a:noFill/>
        <a:ln>
          <a:noFill/>
        </a:ln>
        <a:effectLst/>
      </c:spPr>
    </c:plotArea>
    <c:legend>
      <c:legendPos val="b"/>
      <c:layout>
        <c:manualLayout>
          <c:xMode val="edge"/>
          <c:yMode val="edge"/>
          <c:x val="0.358365702776579"/>
          <c:y val="0.912215166230855"/>
          <c:w val="0.294202273054237"/>
          <c:h val="0.0649981322375794"/>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latin typeface="黑体" panose="02010609060101010101" charset="-122"/>
                <a:ea typeface="黑体" panose="02010609060101010101" charset="-122"/>
              </a:rPr>
              <a:t>财政拨款收支与上年决算对比图</a:t>
            </a:r>
            <a:endParaRPr lang="zh-CN" altLang="en-US">
              <a:latin typeface="黑体" panose="02010609060101010101" charset="-122"/>
              <a:ea typeface="黑体" panose="02010609060101010101" charset="-122"/>
            </a:endParaRPr>
          </a:p>
        </c:rich>
      </c:tx>
      <c:layout>
        <c:manualLayout>
          <c:xMode val="edge"/>
          <c:yMode val="edge"/>
          <c:x val="0.211915877935924"/>
          <c:y val="0.0474114182494032"/>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2018年</c:v>
                </c:pt>
              </c:strCache>
            </c:strRef>
          </c:tx>
          <c:spPr>
            <a:solidFill>
              <a:schemeClr val="accent1"/>
            </a:solidFill>
            <a:ln>
              <a:noFill/>
            </a:ln>
            <a:effectLst/>
          </c:spPr>
          <c:invertIfNegative val="0"/>
          <c:dLbls>
            <c:dLbl>
              <c:idx val="0"/>
              <c:layout>
                <c:manualLayout>
                  <c:x val="-0.00572761985574883"/>
                  <c:y val="-0.101363073110285"/>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296987696224014"/>
                  <c:y val="-0.0978934324659232"/>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11575.39</c:v>
                </c:pt>
                <c:pt idx="1">
                  <c:v>8812.4</c:v>
                </c:pt>
              </c:numCache>
            </c:numRef>
          </c:val>
        </c:ser>
        <c:ser>
          <c:idx val="1"/>
          <c:order val="1"/>
          <c:tx>
            <c:strRef>
              <c:f>Sheet1!$C$1</c:f>
              <c:strCache>
                <c:ptCount val="1"/>
                <c:pt idx="0">
                  <c:v>2019年</c:v>
                </c:pt>
              </c:strCache>
            </c:strRef>
          </c:tx>
          <c:spPr>
            <a:solidFill>
              <a:schemeClr val="accent2"/>
            </a:solidFill>
            <a:ln>
              <a:noFill/>
            </a:ln>
            <a:effectLst/>
          </c:spPr>
          <c:invertIfNegative val="0"/>
          <c:dLbls>
            <c:dLbl>
              <c:idx val="0"/>
              <c:layout>
                <c:manualLayout>
                  <c:x val="0.00572761985574883"/>
                  <c:y val="-0.108302354399009"/>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4946.95</a:t>
                    </a:r>
                    <a:endParaRPr lang="en-US" altLang="zh-CN"/>
                  </a:p>
                </c:rich>
              </c:tx>
              <c:dLblPos val="in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27577428935087"/>
                  <c:y val="-0.104832713754647"/>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4946.95</c:v>
                </c:pt>
                <c:pt idx="1">
                  <c:v>7814.08</c:v>
                </c:pt>
              </c:numCache>
            </c:numRef>
          </c:val>
        </c:ser>
        <c:dLbls>
          <c:showLegendKey val="0"/>
          <c:showVal val="1"/>
          <c:showCatName val="0"/>
          <c:showSerName val="0"/>
          <c:showPercent val="0"/>
          <c:showBubbleSize val="0"/>
        </c:dLbls>
        <c:gapWidth val="219"/>
        <c:overlap val="-27"/>
        <c:axId val="113401216"/>
        <c:axId val="113431680"/>
      </c:barChart>
      <c:catAx>
        <c:axId val="11340121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3431680"/>
        <c:crosses val="autoZero"/>
        <c:auto val="1"/>
        <c:lblAlgn val="ctr"/>
        <c:lblOffset val="100"/>
        <c:noMultiLvlLbl val="0"/>
      </c:catAx>
      <c:valAx>
        <c:axId val="1134316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340121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latin typeface="黑体" panose="02010609060101010101" charset="-122"/>
                <a:ea typeface="黑体" panose="02010609060101010101" charset="-122"/>
              </a:rPr>
              <a:t>财政拨款收支与年初预算对比图</a:t>
            </a:r>
            <a:endParaRPr lang="zh-CN" altLang="en-US">
              <a:latin typeface="黑体" panose="02010609060101010101" charset="-122"/>
              <a:ea typeface="黑体" panose="02010609060101010101" charset="-122"/>
            </a:endParaRP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2"/>
                <c:pt idx="0">
                  <c:v>预算</c:v>
                </c:pt>
                <c:pt idx="1">
                  <c:v>决算</c:v>
                </c:pt>
              </c:strCache>
            </c:strRef>
          </c:cat>
          <c:val>
            <c:numRef>
              <c:f>Sheet1!$B$2:$B$5</c:f>
              <c:numCache>
                <c:formatCode>General</c:formatCode>
                <c:ptCount val="2"/>
                <c:pt idx="0">
                  <c:v>1985.73</c:v>
                </c:pt>
                <c:pt idx="1">
                  <c:v>4946.95</c:v>
                </c:pt>
              </c:numCache>
            </c:numRef>
          </c:val>
        </c:ser>
        <c:ser>
          <c:idx val="1"/>
          <c:order val="1"/>
          <c:tx>
            <c:strRef>
              <c:f>Sheet1!$C$1</c:f>
              <c:strCache>
                <c:ptCount val="1"/>
                <c:pt idx="0">
                  <c:v>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2"/>
                <c:pt idx="0">
                  <c:v>预算</c:v>
                </c:pt>
                <c:pt idx="1">
                  <c:v>决算</c:v>
                </c:pt>
              </c:strCache>
            </c:strRef>
          </c:cat>
          <c:val>
            <c:numRef>
              <c:f>Sheet1!$C$2:$C$5</c:f>
              <c:numCache>
                <c:formatCode>General</c:formatCode>
                <c:ptCount val="2"/>
                <c:pt idx="0">
                  <c:v>1985.73</c:v>
                </c:pt>
                <c:pt idx="1">
                  <c:v>7814.08</c:v>
                </c:pt>
              </c:numCache>
            </c:numRef>
          </c:val>
        </c:ser>
        <c:dLbls>
          <c:showLegendKey val="0"/>
          <c:showVal val="1"/>
          <c:showCatName val="0"/>
          <c:showSerName val="0"/>
          <c:showPercent val="0"/>
          <c:showBubbleSize val="0"/>
        </c:dLbls>
        <c:gapWidth val="219"/>
        <c:overlap val="-27"/>
        <c:axId val="113347968"/>
        <c:axId val="113353856"/>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ullRef>
                          <c15:sqref/>
                        </c15:fullRef>
                        <c15:formulaRef>
                          <c15:sqref>Sheet1!$A$2:$A$5</c15:sqref>
                        </c15:formulaRef>
                      </c:ext>
                    </c:extLst>
                    <c:strCache>
                      <c:ptCount val="2"/>
                      <c:pt idx="0">
                        <c:v>预算</c:v>
                      </c:pt>
                      <c:pt idx="1">
                        <c:v>决算</c:v>
                      </c:pt>
                    </c:strCache>
                  </c:strRef>
                </c:cat>
              </c15:ser>
            </c15:filteredBarSeries>
          </c:ext>
        </c:extLst>
      </c:barChart>
      <c:catAx>
        <c:axId val="11334796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3353856"/>
        <c:crosses val="autoZero"/>
        <c:auto val="1"/>
        <c:lblAlgn val="ctr"/>
        <c:lblOffset val="100"/>
        <c:noMultiLvlLbl val="0"/>
      </c:catAx>
      <c:valAx>
        <c:axId val="1133538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334796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latin typeface="黑体" panose="02010609060101010101" charset="-122"/>
                <a:ea typeface="黑体" panose="02010609060101010101" charset="-122"/>
              </a:rPr>
              <a:t>财政拨款支出决算结构（按功能分类）</a:t>
            </a:r>
            <a:endParaRPr lang="zh-CN" altLang="en-US">
              <a:latin typeface="黑体" panose="02010609060101010101" charset="-122"/>
              <a:ea typeface="黑体" panose="02010609060101010101" charset="-122"/>
            </a:endParaRPr>
          </a:p>
        </c:rich>
      </c:tx>
      <c:layout>
        <c:manualLayout>
          <c:xMode val="edge"/>
          <c:yMode val="edge"/>
          <c:x val="0.151520211549978"/>
          <c:y val="0.0412735849056604"/>
        </c:manualLayout>
      </c:layout>
      <c:overlay val="0"/>
      <c:spPr>
        <a:noFill/>
        <a:ln>
          <a:noFill/>
        </a:ln>
        <a:effectLst/>
      </c:spPr>
    </c:title>
    <c:autoTitleDeleted val="0"/>
    <c:plotArea>
      <c:layout>
        <c:manualLayout>
          <c:layoutTarget val="inner"/>
          <c:xMode val="edge"/>
          <c:yMode val="edge"/>
          <c:x val="0.0176770899924746"/>
          <c:y val="0.145858218000485"/>
          <c:w val="0.977473249483762"/>
          <c:h val="0.848207063898625"/>
        </c:manualLayout>
      </c:layout>
      <c:pieChart>
        <c:varyColors val="1"/>
        <c:ser>
          <c:idx val="0"/>
          <c:order val="0"/>
          <c:tx>
            <c:strRef>
              <c:f>Sheet1!$B$1</c:f>
              <c:strCache>
                <c:ptCount val="1"/>
                <c:pt idx="0">
                  <c:v>财政拨款支出</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Pt>
            <c:idx val="4"/>
            <c:bubble3D val="0"/>
            <c:spPr>
              <a:solidFill>
                <a:schemeClr val="accent5"/>
              </a:solidFill>
              <a:ln w="25400">
                <a:solidFill>
                  <a:schemeClr val="lt1"/>
                </a:solidFill>
              </a:ln>
              <a:effectLst/>
              <a:scene3d>
                <a:camera prst="orthographicFront"/>
                <a:lightRig rig="threePt" dir="t"/>
              </a:scene3d>
              <a:sp3d contourW="25400"/>
            </c:spPr>
          </c:dPt>
          <c:dPt>
            <c:idx val="5"/>
            <c:bubble3D val="0"/>
            <c:spPr>
              <a:solidFill>
                <a:schemeClr val="accent6"/>
              </a:solidFill>
              <a:ln w="25400">
                <a:solidFill>
                  <a:schemeClr val="lt1"/>
                </a:solidFill>
              </a:ln>
              <a:effectLst/>
              <a:scene3d>
                <a:camera prst="orthographicFront"/>
                <a:lightRig rig="threePt" dir="t"/>
              </a:scene3d>
              <a:sp3d contourW="25400"/>
            </c:spPr>
          </c:dPt>
          <c:dPt>
            <c:idx val="6"/>
            <c:bubble3D val="0"/>
            <c:spPr>
              <a:solidFill>
                <a:schemeClr val="accent1">
                  <a:lumMod val="60000"/>
                </a:schemeClr>
              </a:solidFill>
              <a:ln w="25400">
                <a:solidFill>
                  <a:schemeClr val="lt1"/>
                </a:solidFill>
              </a:ln>
              <a:effectLst/>
              <a:scene3d>
                <a:camera prst="orthographicFront"/>
                <a:lightRig rig="threePt" dir="t"/>
              </a:scene3d>
              <a:sp3d contourW="25400"/>
            </c:spPr>
          </c:dPt>
          <c:dPt>
            <c:idx val="7"/>
            <c:bubble3D val="0"/>
            <c:spPr>
              <a:solidFill>
                <a:schemeClr val="accent2">
                  <a:lumMod val="60000"/>
                </a:schemeClr>
              </a:solidFill>
              <a:ln w="25400">
                <a:solidFill>
                  <a:schemeClr val="lt1"/>
                </a:solidFill>
              </a:ln>
              <a:effectLst/>
              <a:scene3d>
                <a:camera prst="orthographicFront"/>
                <a:lightRig rig="threePt" dir="t"/>
              </a:scene3d>
              <a:sp3d contourW="25400"/>
            </c:spPr>
          </c:dPt>
          <c:dLbls>
            <c:dLbl>
              <c:idx val="1"/>
              <c:layout>
                <c:manualLayout>
                  <c:x val="0.0204245848468196"/>
                  <c:y val="-0.30363991269317"/>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一般公共服务支出</c:v>
                </c:pt>
                <c:pt idx="1">
                  <c:v>科学技术支出</c:v>
                </c:pt>
                <c:pt idx="2">
                  <c:v>节能环保支出</c:v>
                </c:pt>
                <c:pt idx="3">
                  <c:v>农林水支出</c:v>
                </c:pt>
                <c:pt idx="4">
                  <c:v>资源勘探信息支出</c:v>
                </c:pt>
                <c:pt idx="5">
                  <c:v>商业服务业支出</c:v>
                </c:pt>
                <c:pt idx="6">
                  <c:v>粮油物资储备支出</c:v>
                </c:pt>
                <c:pt idx="7">
                  <c:v>其他支出</c:v>
                </c:pt>
              </c:strCache>
            </c:strRef>
          </c:cat>
          <c:val>
            <c:numRef>
              <c:f>Sheet1!$B$2:$B$9</c:f>
              <c:numCache>
                <c:formatCode>0.00%</c:formatCode>
                <c:ptCount val="8"/>
                <c:pt idx="0">
                  <c:v>0.2564</c:v>
                </c:pt>
                <c:pt idx="1">
                  <c:v>0.0371</c:v>
                </c:pt>
                <c:pt idx="2">
                  <c:v>0.2376</c:v>
                </c:pt>
                <c:pt idx="3">
                  <c:v>0.0279</c:v>
                </c:pt>
                <c:pt idx="4">
                  <c:v>0.0198</c:v>
                </c:pt>
                <c:pt idx="5">
                  <c:v>0.0926</c:v>
                </c:pt>
                <c:pt idx="6">
                  <c:v>0.00076</c:v>
                </c:pt>
                <c:pt idx="7">
                  <c:v>0.3277</c:v>
                </c:pt>
              </c:numCache>
            </c:numRef>
          </c:val>
        </c:ser>
        <c:ser>
          <c:idx val="1"/>
          <c:order val="1"/>
          <c:tx>
            <c:strRef>
              <c:f>Sheet1!$C$1</c:f>
              <c:strCache>
                <c:ptCount val="1"/>
                <c:pt idx="0">
                  <c:v/>
                </c:pt>
              </c:strCache>
            </c:strRef>
          </c:tx>
          <c:explosion val="0"/>
          <c:dPt>
            <c:idx val="0"/>
            <c:bubble3D val="0"/>
            <c:spPr>
              <a:solidFill>
                <a:schemeClr val="accent1"/>
              </a:solidFill>
              <a:ln w="25400">
                <a:solidFill>
                  <a:schemeClr val="lt1"/>
                </a:solidFill>
              </a:ln>
              <a:effectLst/>
            </c:spPr>
          </c:dPt>
          <c:dPt>
            <c:idx val="1"/>
            <c:bubble3D val="0"/>
            <c:spPr>
              <a:solidFill>
                <a:schemeClr val="accent2"/>
              </a:solidFill>
              <a:ln w="25400">
                <a:solidFill>
                  <a:schemeClr val="lt1"/>
                </a:solidFill>
              </a:ln>
              <a:effectLst/>
            </c:spPr>
          </c:dPt>
          <c:dPt>
            <c:idx val="2"/>
            <c:bubble3D val="0"/>
            <c:spPr>
              <a:solidFill>
                <a:schemeClr val="accent3"/>
              </a:solidFill>
              <a:ln w="25400">
                <a:solidFill>
                  <a:schemeClr val="lt1"/>
                </a:solidFill>
              </a:ln>
              <a:effectLst/>
            </c:spPr>
          </c:dPt>
          <c:dPt>
            <c:idx val="3"/>
            <c:bubble3D val="0"/>
            <c:spPr>
              <a:solidFill>
                <a:schemeClr val="accent4"/>
              </a:solidFill>
              <a:ln w="25400">
                <a:solidFill>
                  <a:schemeClr val="lt1"/>
                </a:solidFill>
              </a:ln>
              <a:effectLst/>
            </c:spPr>
          </c:dPt>
          <c:dPt>
            <c:idx val="4"/>
            <c:bubble3D val="0"/>
            <c:spPr>
              <a:solidFill>
                <a:schemeClr val="accent5"/>
              </a:solidFill>
              <a:ln w="25400">
                <a:solidFill>
                  <a:schemeClr val="lt1"/>
                </a:solidFill>
              </a:ln>
              <a:effectLst/>
            </c:spPr>
          </c:dPt>
          <c:dPt>
            <c:idx val="5"/>
            <c:bubble3D val="0"/>
            <c:spPr>
              <a:solidFill>
                <a:schemeClr val="accent6"/>
              </a:solidFill>
              <a:ln w="25400">
                <a:solidFill>
                  <a:schemeClr val="lt1"/>
                </a:solidFill>
              </a:ln>
              <a:effectLst/>
            </c:spPr>
          </c:dPt>
          <c:dPt>
            <c:idx val="6"/>
            <c:bubble3D val="0"/>
            <c:spPr>
              <a:solidFill>
                <a:schemeClr val="accent1">
                  <a:lumMod val="60000"/>
                </a:schemeClr>
              </a:solidFill>
              <a:ln w="25400">
                <a:solidFill>
                  <a:schemeClr val="lt1"/>
                </a:solidFill>
              </a:ln>
              <a:effectLst/>
            </c:spPr>
          </c:dPt>
          <c:dPt>
            <c:idx val="7"/>
            <c:bubble3D val="0"/>
            <c:spPr>
              <a:solidFill>
                <a:schemeClr val="accent2">
                  <a:lumMod val="60000"/>
                </a:schemeClr>
              </a:solidFill>
              <a:ln w="2540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一般公共服务支出</c:v>
                </c:pt>
                <c:pt idx="1">
                  <c:v>科学技术支出</c:v>
                </c:pt>
                <c:pt idx="2">
                  <c:v>节能环保支出</c:v>
                </c:pt>
                <c:pt idx="3">
                  <c:v>农林水支出</c:v>
                </c:pt>
                <c:pt idx="4">
                  <c:v>资源勘探信息支出</c:v>
                </c:pt>
                <c:pt idx="5">
                  <c:v>商业服务业支出</c:v>
                </c:pt>
                <c:pt idx="6">
                  <c:v>粮油物资储备支出</c:v>
                </c:pt>
                <c:pt idx="7">
                  <c:v>其他支出</c:v>
                </c:pt>
              </c:strCache>
            </c:strRef>
          </c:cat>
          <c:val>
            <c:numRef>
              <c:f>Sheet1!$C$2:$C$9</c:f>
              <c:numCache>
                <c:formatCode>General</c:formatCode>
                <c:ptCount val="8"/>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36</Pages>
  <Words>2592</Words>
  <Characters>14775</Characters>
  <Lines>123</Lines>
  <Paragraphs>34</Paragraphs>
  <TotalTime>1</TotalTime>
  <ScaleCrop>false</ScaleCrop>
  <LinksUpToDate>false</LinksUpToDate>
  <CharactersWithSpaces>17333</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2020-10-24T04:45:00Z</dcterms:created>
  <dc:creator>王明新TIAD</dc:creator>
  <cp:lastModifiedBy>岱</cp:lastModifiedBy>
  <cp:lastPrinted>2020-07-30T02:37:00Z</cp:lastPrinted>
  <dcterms:modified xsi:type="dcterms:W3CDTF">2023-05-30T09:35:19Z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3BBD6C37A5C64AFABA06EE12ED9F029E</vt:lpwstr>
  </property>
</Properties>
</file>