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54D1B9">
      <w:pPr>
        <w:widowControl/>
        <w:jc w:val="center"/>
        <w:rPr>
          <w:rFonts w:ascii="黑体" w:hAnsi="黑体" w:eastAsia="黑体"/>
          <w:b/>
          <w:sz w:val="72"/>
          <w:szCs w:val="72"/>
        </w:rPr>
      </w:pPr>
      <w:r>
        <w:rPr>
          <w:rFonts w:hint="eastAsia" w:ascii="黑体" w:hAnsi="宋体" w:eastAsia="黑体" w:cs="Times New Roman"/>
          <w:color w:val="002060"/>
          <w:kern w:val="2"/>
          <w:sz w:val="72"/>
          <w:szCs w:val="72"/>
          <w:lang w:val="en-US" w:eastAsia="zh-CN" w:bidi="ar-SA"/>
        </w:rPr>
        <w:pict>
          <v:shape id="图片 7" o:spid="_x0000_s1025" o:spt="75" type="#_x0000_t75" style="position:absolute;left:0pt;margin-left:-78.1pt;margin-top:-106.05pt;height:850.15pt;width:596.6pt;z-index:-251657216;mso-width-relative:page;mso-height-relative:page;" fillcolor="#FFFFFF" filled="f" o:preferrelative="t" stroked="f" coordsize="21600,21600">
            <v:path/>
            <v:fill on="f" color2="#FFFFFF" focussize="0,0"/>
            <v:stroke on="f"/>
            <v:imagedata r:id="rId6" gain="65536f" blacklevel="0f" gamma="0" o:title=""/>
            <o:lock v:ext="edit" position="f" selection="f" grouping="f" rotation="f" cropping="f" text="f" aspectratio="t"/>
          </v:shape>
        </w:pict>
      </w:r>
    </w:p>
    <w:p w14:paraId="49167E1A">
      <w:pPr>
        <w:widowControl/>
        <w:jc w:val="center"/>
        <w:rPr>
          <w:rFonts w:ascii="黑体" w:hAnsi="宋体" w:eastAsia="黑体"/>
          <w:color w:val="002060"/>
          <w:sz w:val="72"/>
          <w:szCs w:val="72"/>
        </w:rPr>
      </w:pPr>
      <w:r>
        <w:rPr>
          <w:rFonts w:ascii="Times New Roman" w:hAnsi="Times New Roman" w:eastAsia="宋体" w:cs="Times New Roman"/>
          <w:kern w:val="2"/>
          <w:sz w:val="72"/>
          <w:szCs w:val="24"/>
          <w:lang w:val="en-US" w:eastAsia="zh-CN" w:bidi="ar-SA"/>
        </w:rPr>
        <w:pict>
          <v:shape id="_x0000_s1036" o:spid="_x0000_s1036" o:spt="202" type="#_x0000_t202" style="position:absolute;left:0pt;margin-left:-82.4pt;margin-top:43.25pt;height:166.25pt;width:596.2pt;z-index:25167052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14:paraId="25E07959">
                  <w:pPr>
                    <w:widowControl/>
                    <w:spacing w:line="1200" w:lineRule="exact"/>
                    <w:jc w:val="center"/>
                    <w:rPr>
                      <w:rFonts w:hint="eastAsia" w:ascii="黑体" w:hAnsi="宋体" w:eastAsia="黑体"/>
                      <w:color w:val="FDEFBE"/>
                      <w:sz w:val="96"/>
                      <w:szCs w:val="96"/>
                      <w:lang w:eastAsia="zh-CN"/>
                    </w:rPr>
                  </w:pPr>
                  <w:r>
                    <w:rPr>
                      <w:rFonts w:hint="eastAsia" w:ascii="黑体" w:hAnsi="宋体" w:eastAsia="黑体"/>
                      <w:color w:val="FDEFBE"/>
                      <w:sz w:val="96"/>
                      <w:szCs w:val="96"/>
                      <w:lang w:eastAsia="zh-CN"/>
                    </w:rPr>
                    <w:t>藁城区委农工委</w:t>
                  </w:r>
                </w:p>
                <w:p w14:paraId="57B7F6C2">
                  <w:pPr>
                    <w:widowControl/>
                    <w:spacing w:line="1200" w:lineRule="exact"/>
                    <w:jc w:val="center"/>
                    <w:rPr>
                      <w:color w:val="FDEFBE"/>
                      <w:sz w:val="96"/>
                      <w:szCs w:val="96"/>
                    </w:rPr>
                  </w:pPr>
                  <w:r>
                    <w:rPr>
                      <w:rFonts w:hint="eastAsia" w:ascii="黑体" w:hAnsi="宋体" w:eastAsia="黑体"/>
                      <w:color w:val="FDEFBE"/>
                      <w:sz w:val="96"/>
                      <w:szCs w:val="96"/>
                    </w:rPr>
                    <w:t>2018年度部门决算</w:t>
                  </w:r>
                </w:p>
                <w:p w14:paraId="0608F187">
                  <w:pPr>
                    <w:rPr>
                      <w:color w:val="FDEFBE"/>
                      <w:sz w:val="96"/>
                      <w:szCs w:val="96"/>
                    </w:rPr>
                  </w:pPr>
                </w:p>
              </w:txbxContent>
            </v:textbox>
          </v:shape>
        </w:pict>
      </w:r>
    </w:p>
    <w:p w14:paraId="2C63D791">
      <w:pPr>
        <w:widowControl/>
        <w:jc w:val="center"/>
        <w:rPr>
          <w:rFonts w:ascii="黑体" w:hAnsi="黑体" w:eastAsia="黑体"/>
          <w:b/>
          <w:sz w:val="72"/>
          <w:szCs w:val="72"/>
        </w:rPr>
      </w:pPr>
    </w:p>
    <w:p w14:paraId="6D7F199B">
      <w:pPr>
        <w:widowControl/>
        <w:jc w:val="center"/>
        <w:rPr>
          <w:rFonts w:ascii="黑体" w:hAnsi="黑体" w:eastAsia="黑体"/>
          <w:b/>
          <w:sz w:val="72"/>
          <w:szCs w:val="72"/>
        </w:rPr>
      </w:pPr>
    </w:p>
    <w:p w14:paraId="57EDB1A1">
      <w:pPr>
        <w:widowControl/>
        <w:jc w:val="center"/>
        <w:rPr>
          <w:rFonts w:ascii="黑体" w:hAnsi="黑体" w:eastAsia="黑体"/>
          <w:b/>
          <w:sz w:val="72"/>
          <w:szCs w:val="72"/>
        </w:rPr>
      </w:pPr>
    </w:p>
    <w:p w14:paraId="1221E5F7">
      <w:pPr>
        <w:widowControl/>
        <w:jc w:val="center"/>
        <w:rPr>
          <w:rFonts w:ascii="黑体" w:hAnsi="黑体" w:eastAsia="黑体"/>
          <w:b/>
          <w:sz w:val="72"/>
          <w:szCs w:val="72"/>
        </w:rPr>
      </w:pPr>
    </w:p>
    <w:p w14:paraId="4228655F">
      <w:pPr>
        <w:widowControl/>
        <w:jc w:val="center"/>
        <w:rPr>
          <w:rFonts w:ascii="黑体" w:hAnsi="黑体" w:eastAsia="黑体"/>
          <w:b/>
          <w:sz w:val="72"/>
          <w:szCs w:val="72"/>
        </w:rPr>
      </w:pPr>
    </w:p>
    <w:p w14:paraId="1A27A10C">
      <w:pPr>
        <w:widowControl/>
        <w:jc w:val="center"/>
        <w:rPr>
          <w:rFonts w:ascii="黑体" w:hAnsi="黑体" w:eastAsia="黑体"/>
          <w:b/>
          <w:sz w:val="72"/>
          <w:szCs w:val="72"/>
        </w:rPr>
      </w:pPr>
    </w:p>
    <w:p w14:paraId="7D7727CE">
      <w:pPr>
        <w:widowControl/>
        <w:jc w:val="center"/>
        <w:rPr>
          <w:rFonts w:ascii="黑体" w:hAnsi="黑体" w:eastAsia="黑体"/>
          <w:b/>
          <w:sz w:val="72"/>
          <w:szCs w:val="72"/>
        </w:rPr>
      </w:pPr>
    </w:p>
    <w:p w14:paraId="3B92E07B">
      <w:pPr>
        <w:widowControl/>
        <w:jc w:val="center"/>
        <w:rPr>
          <w:rFonts w:ascii="黑体" w:hAnsi="黑体" w:eastAsia="黑体"/>
          <w:b/>
          <w:sz w:val="72"/>
          <w:szCs w:val="72"/>
        </w:rPr>
      </w:pPr>
    </w:p>
    <w:p w14:paraId="5D739A21">
      <w:pPr>
        <w:widowControl/>
        <w:jc w:val="center"/>
        <w:rPr>
          <w:rFonts w:ascii="楷体" w:hAnsi="楷体" w:eastAsia="楷体" w:cs="楷体"/>
          <w:b/>
          <w:sz w:val="40"/>
          <w:szCs w:val="40"/>
        </w:rPr>
      </w:pPr>
    </w:p>
    <w:p w14:paraId="4ABE22F9">
      <w:pPr>
        <w:widowControl/>
        <w:jc w:val="center"/>
        <w:rPr>
          <w:rFonts w:ascii="楷体" w:hAnsi="楷体" w:eastAsia="楷体" w:cs="楷体"/>
          <w:sz w:val="32"/>
          <w:szCs w:val="32"/>
          <w:highlight w:val="yellow"/>
        </w:r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w:t>
      </w:r>
      <w:r>
        <w:rPr>
          <w:rFonts w:hint="eastAsia" w:ascii="楷体_GB2312" w:hAnsi="楷体_GB2312" w:eastAsia="楷体_GB2312" w:cs="楷体_GB2312"/>
          <w:b/>
          <w:sz w:val="40"/>
          <w:szCs w:val="40"/>
          <w:lang w:eastAsia="zh-CN"/>
        </w:rPr>
        <w:t>十</w:t>
      </w:r>
      <w:r>
        <w:rPr>
          <w:rFonts w:hint="eastAsia" w:ascii="楷体_GB2312" w:hAnsi="楷体" w:eastAsia="楷体_GB2312" w:cs="楷体"/>
          <w:b/>
          <w:sz w:val="40"/>
          <w:szCs w:val="40"/>
        </w:rPr>
        <w:t>月</w:t>
      </w:r>
      <w:r>
        <w:rPr>
          <w:rFonts w:hint="eastAsia" w:ascii="楷体_GB2312" w:hAnsi="楷体" w:eastAsia="楷体_GB2312" w:cs="楷体"/>
          <w:b/>
          <w:sz w:val="40"/>
          <w:szCs w:val="40"/>
          <w:lang w:eastAsia="zh-CN"/>
        </w:rPr>
        <w:t>二十九</w:t>
      </w:r>
      <w:r>
        <w:rPr>
          <w:rFonts w:hint="eastAsia" w:ascii="楷体_GB2312" w:hAnsi="楷体" w:eastAsia="楷体_GB2312" w:cs="楷体"/>
          <w:b/>
          <w:sz w:val="40"/>
          <w:szCs w:val="40"/>
        </w:rPr>
        <w:t>日</w:t>
      </w:r>
      <w:r>
        <w:rPr>
          <w:rFonts w:hint="eastAsia" w:ascii="黑体" w:hAnsi="黑体" w:eastAsia="黑体" w:cs="黑体"/>
          <w:sz w:val="44"/>
          <w:szCs w:val="44"/>
        </w:rPr>
        <w:br w:type="page"/>
      </w:r>
    </w:p>
    <w:p w14:paraId="4EF32B9A">
      <w:pPr>
        <w:spacing w:beforeLines="200" w:after="0" w:line="1000" w:lineRule="exact"/>
        <w:jc w:val="center"/>
        <w:rPr>
          <w:rFonts w:ascii="黑体" w:eastAsia="黑体"/>
          <w:sz w:val="48"/>
          <w:szCs w:val="48"/>
        </w:rPr>
      </w:pPr>
      <w:r>
        <w:rPr>
          <w:rFonts w:ascii="Times New Roman" w:hAnsi="Times New Roman" w:eastAsia="宋体" w:cs="Times New Roman"/>
          <w:kern w:val="2"/>
          <w:sz w:val="48"/>
          <w:szCs w:val="28"/>
          <w:lang w:val="en-US" w:eastAsia="zh-CN" w:bidi="ar-SA"/>
        </w:rPr>
        <w:pict>
          <v:group id="组合 1027" o:spid="_x0000_s1044" o:spt="203" style="position:absolute;left:0pt;margin-left:-80.1pt;margin-top:39.95pt;height:46.7pt;width:250.05pt;mso-position-vertical-relative:page;z-index:251678720;mso-width-relative:page;mso-height-relative:page;" coordorigin="4551,52615" coordsize="8546,1398" o:allowoverlap="f">
            <o:lock v:ext="edit" position="f" selection="f" grouping="f" rotation="f" cropping="f" text="f" aspectratio="f"/>
            <v:rect id="矩形 13" o:spid="_x0000_s1057"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58" o:spt="1" style="position:absolute;left:4577;top:52890;height:1123;width:8324;v-text-anchor:middle;" fillcolor="#AD002D" filled="t" o:preferrelative="t" stroked="t" coordsize="21600,21600">
              <v:path/>
              <v:fill on="t" focussize="0,0"/>
              <v:stroke color="#B0761F" color2="#FFFFFF" miterlimit="2"/>
              <v:imagedata gain="65536f" blacklevel="0f" gamma="0" o:title=""/>
              <o:lock v:ext="edit" position="f" selection="f" grouping="f" rotation="f" cropping="f" text="f" aspectratio="f"/>
              <v:textbox>
                <w:txbxContent>
                  <w:p w14:paraId="4F932C64">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14:paraId="6D2C2A8C">
                    <w:pPr>
                      <w:jc w:val="center"/>
                    </w:pPr>
                  </w:p>
                </w:txbxContent>
              </v:textbox>
            </v:rect>
            <w10:anchorlock/>
          </v:group>
        </w:pict>
      </w:r>
      <w:r>
        <w:rPr>
          <w:rFonts w:hint="eastAsia" w:ascii="黑体" w:eastAsia="黑体"/>
          <w:sz w:val="48"/>
          <w:szCs w:val="48"/>
        </w:rPr>
        <w:t>目    录</w:t>
      </w:r>
    </w:p>
    <w:p w14:paraId="3F808764">
      <w:pPr>
        <w:widowControl/>
        <w:spacing w:line="580" w:lineRule="exact"/>
        <w:ind w:firstLine="640" w:firstLineChars="200"/>
        <w:rPr>
          <w:rFonts w:eastAsia="黑体"/>
          <w:sz w:val="32"/>
          <w:szCs w:val="32"/>
        </w:rPr>
      </w:pPr>
    </w:p>
    <w:p w14:paraId="059D05EE">
      <w:pPr>
        <w:widowControl/>
        <w:spacing w:line="580" w:lineRule="exact"/>
        <w:ind w:firstLine="640" w:firstLineChars="200"/>
        <w:rPr>
          <w:rFonts w:eastAsia="仿宋_GB2312"/>
          <w:sz w:val="24"/>
          <w:szCs w:val="32"/>
        </w:rPr>
      </w:pPr>
      <w:r>
        <w:rPr>
          <w:rFonts w:eastAsia="黑体"/>
          <w:sz w:val="32"/>
          <w:szCs w:val="32"/>
        </w:rPr>
        <w:t>第一部分   部门概况</w:t>
      </w:r>
    </w:p>
    <w:p w14:paraId="43BB1315">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14:paraId="56B3A15D">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14:paraId="44B16E30">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14:paraId="160A7C9D">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14:paraId="5ED2F7C4">
      <w:pPr>
        <w:widowControl/>
        <w:spacing w:line="580" w:lineRule="exact"/>
        <w:ind w:left="640" w:firstLine="640" w:firstLineChars="200"/>
        <w:rPr>
          <w:rFonts w:eastAsia="仿宋_GB2312"/>
          <w:sz w:val="32"/>
          <w:szCs w:val="32"/>
        </w:rPr>
      </w:pPr>
      <w:r>
        <w:rPr>
          <w:rFonts w:eastAsia="仿宋_GB2312"/>
          <w:sz w:val="32"/>
          <w:szCs w:val="32"/>
        </w:rPr>
        <w:t>二、收入决算表</w:t>
      </w:r>
    </w:p>
    <w:p w14:paraId="53688F05">
      <w:pPr>
        <w:widowControl/>
        <w:spacing w:line="580" w:lineRule="exact"/>
        <w:ind w:left="640" w:firstLine="640" w:firstLineChars="200"/>
        <w:rPr>
          <w:rFonts w:eastAsia="仿宋_GB2312"/>
          <w:sz w:val="32"/>
          <w:szCs w:val="32"/>
        </w:rPr>
      </w:pPr>
      <w:r>
        <w:rPr>
          <w:rFonts w:eastAsia="仿宋_GB2312"/>
          <w:sz w:val="32"/>
          <w:szCs w:val="32"/>
        </w:rPr>
        <w:t>三、支出决算表</w:t>
      </w:r>
    </w:p>
    <w:p w14:paraId="37EAFF90">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14:paraId="0D1B565A">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14:paraId="4F7CE711">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14:paraId="67456512">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14:paraId="202CE594">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14:paraId="2CAE87A8">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14:paraId="705B8D25">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14:paraId="346C3A45">
      <w:pPr>
        <w:widowControl/>
        <w:spacing w:line="580" w:lineRule="exact"/>
        <w:ind w:firstLine="640" w:firstLineChars="200"/>
        <w:rPr>
          <w:rFonts w:eastAsia="黑体"/>
          <w:sz w:val="32"/>
          <w:szCs w:val="32"/>
        </w:rPr>
      </w:pPr>
    </w:p>
    <w:p w14:paraId="6AFC276F">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区委农工委</w:t>
      </w:r>
      <w:r>
        <w:rPr>
          <w:rFonts w:eastAsia="黑体"/>
          <w:sz w:val="32"/>
          <w:szCs w:val="32"/>
        </w:rPr>
        <w:t>201</w:t>
      </w:r>
      <w:r>
        <w:rPr>
          <w:rFonts w:hint="eastAsia" w:eastAsia="黑体"/>
          <w:sz w:val="32"/>
          <w:szCs w:val="32"/>
        </w:rPr>
        <w:t>8</w:t>
      </w:r>
      <w:r>
        <w:rPr>
          <w:rFonts w:eastAsia="黑体"/>
          <w:sz w:val="32"/>
          <w:szCs w:val="32"/>
        </w:rPr>
        <w:t>年部门决算情况说明</w:t>
      </w:r>
      <w:r>
        <w:rPr>
          <w:rFonts w:ascii="Times New Roman" w:hAnsi="Times New Roman" w:eastAsia="宋体" w:cs="Times New Roman"/>
          <w:kern w:val="2"/>
          <w:sz w:val="44"/>
          <w:szCs w:val="24"/>
          <w:lang w:val="en-US" w:eastAsia="zh-CN" w:bidi="ar-SA"/>
        </w:rPr>
        <w:pict>
          <v:group id="组合 1030" o:spid="_x0000_s1043" o:spt="203" style="position:absolute;left:0pt;margin-left:-80.1pt;margin-top:38.95pt;height:46.7pt;width:222.8pt;mso-position-vertical-relative:page;z-index:251677696;mso-width-relative:page;mso-height-relative:page;" coordorigin="4551,52615" coordsize="8546,1398">
            <o:lock v:ext="edit" position="f" selection="f" grouping="f" rotation="f" cropping="f" text="f" aspectratio="f"/>
            <v:rect id="矩形 13" o:spid="_x0000_s1059"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60" o:spt="1" style="position:absolute;left:4577;top:52890;height:1123;width:8324;v-text-anchor:middle;" fillcolor="#AD002D" filled="t" o:preferrelative="t" stroked="t" coordsize="21600,21600">
              <v:path/>
              <v:fill on="t" focussize="0,0"/>
              <v:stroke color="#B0761F" color2="#FFFFFF" miterlimit="2"/>
              <v:imagedata gain="65536f" blacklevel="0f" gamma="0" o:title=""/>
              <o:lock v:ext="edit" position="f" selection="f" grouping="f" rotation="f" cropping="f" text="f" aspectratio="f"/>
              <v:textbox>
                <w:txbxContent>
                  <w:p w14:paraId="2BCCE28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14:paraId="4FD278CF">
                    <w:pPr>
                      <w:jc w:val="center"/>
                    </w:pPr>
                  </w:p>
                </w:txbxContent>
              </v:textbox>
            </v:rect>
            <w10:anchorlock/>
          </v:group>
        </w:pict>
      </w:r>
    </w:p>
    <w:p w14:paraId="5F07FFB0">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14:paraId="6E592CEC">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14:paraId="4870F5F9">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14:paraId="45A2A045">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14:paraId="75F50867">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14:paraId="16812FC2">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14:paraId="198AEFDF">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14:paraId="3350963A">
      <w:pPr>
        <w:widowControl/>
        <w:spacing w:line="580" w:lineRule="exact"/>
        <w:ind w:firstLine="640" w:firstLineChars="200"/>
        <w:rPr>
          <w:rFonts w:eastAsia="黑体"/>
          <w:sz w:val="32"/>
          <w:szCs w:val="32"/>
        </w:rPr>
      </w:pPr>
      <w:r>
        <w:rPr>
          <w:rFonts w:eastAsia="黑体"/>
          <w:sz w:val="32"/>
          <w:szCs w:val="32"/>
        </w:rPr>
        <w:t>第四部分  名词解释</w:t>
      </w:r>
    </w:p>
    <w:p w14:paraId="29373974">
      <w:pPr>
        <w:widowControl/>
        <w:spacing w:line="580" w:lineRule="exact"/>
        <w:ind w:firstLine="640" w:firstLineChars="200"/>
        <w:rPr>
          <w:rFonts w:eastAsia="黑体"/>
          <w:sz w:val="32"/>
          <w:szCs w:val="32"/>
        </w:rPr>
      </w:pPr>
    </w:p>
    <w:p w14:paraId="1BDAC475">
      <w:pPr>
        <w:widowControl/>
        <w:spacing w:line="580" w:lineRule="exact"/>
        <w:ind w:firstLine="640" w:firstLineChars="200"/>
        <w:rPr>
          <w:rFonts w:eastAsia="黑体"/>
          <w:sz w:val="32"/>
          <w:szCs w:val="32"/>
        </w:rPr>
      </w:pPr>
    </w:p>
    <w:p w14:paraId="79FD958C">
      <w:pPr>
        <w:widowControl/>
        <w:spacing w:line="580" w:lineRule="exact"/>
        <w:ind w:firstLine="640" w:firstLineChars="200"/>
        <w:rPr>
          <w:rFonts w:eastAsia="黑体"/>
          <w:sz w:val="32"/>
          <w:szCs w:val="32"/>
        </w:rPr>
      </w:pPr>
    </w:p>
    <w:p w14:paraId="71CE6CEB">
      <w:pPr>
        <w:widowControl/>
        <w:spacing w:line="580" w:lineRule="exact"/>
        <w:ind w:firstLine="640" w:firstLineChars="200"/>
        <w:rPr>
          <w:rFonts w:eastAsia="黑体"/>
          <w:sz w:val="32"/>
          <w:szCs w:val="32"/>
        </w:rPr>
      </w:pPr>
    </w:p>
    <w:p w14:paraId="26FC0414">
      <w:r>
        <w:br w:type="page"/>
      </w:r>
    </w:p>
    <w:p w14:paraId="4515BA0D">
      <w:r>
        <w:rPr>
          <w:rFonts w:hint="eastAsia" w:ascii="宋体" w:hAnsi="宋体" w:eastAsia="宋体" w:cs="ArialUnicodeMS"/>
          <w:color w:val="000000"/>
          <w:kern w:val="0"/>
          <w:sz w:val="21"/>
          <w:szCs w:val="24"/>
          <w:lang w:val="en-US" w:eastAsia="zh-CN" w:bidi="ar-SA"/>
        </w:rPr>
        <w:pict>
          <v:shape id="图片 12" o:spid="_x0000_s1026" o:spt="75" type="#_x0000_t75" style="position:absolute;left:0pt;margin-left:-80.05pt;margin-top:-105.8pt;height:844.65pt;width:597.3pt;z-index:-251656192;mso-width-relative:page;mso-height-relative:page;" fillcolor="#FFFFFF" filled="f" o:preferrelative="t" stroked="f" coordsize="21600,21600">
            <v:path/>
            <v:fill on="f" color2="#FFFFFF" focussize="0,0"/>
            <v:stroke on="f"/>
            <v:imagedata r:id="rId7" gain="65536f" blacklevel="0f" gamma="0" o:title=""/>
            <o:lock v:ext="edit" position="f" selection="f" grouping="f" rotation="f" cropping="f" text="f" aspectratio="t"/>
          </v:shape>
        </w:pict>
      </w:r>
      <w:r>
        <w:rPr>
          <w:rFonts w:ascii="Times New Roman" w:hAnsi="Times New Roman" w:eastAsia="宋体" w:cs="Times New Roman"/>
          <w:kern w:val="2"/>
          <w:sz w:val="72"/>
          <w:szCs w:val="24"/>
          <w:lang w:val="en-US" w:eastAsia="zh-CN" w:bidi="ar-SA"/>
        </w:rPr>
        <w:pict>
          <v:shape id="_x0000_s1041" o:spid="_x0000_s1041" o:spt="202" type="#_x0000_t202" style="position:absolute;left:0pt;margin-left:-96.6pt;margin-top:259.1pt;height:81.7pt;width:613.65pt;z-index:25167564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14:paraId="172393FB">
                  <w:pPr>
                    <w:widowControl/>
                    <w:jc w:val="center"/>
                    <w:rPr>
                      <w:color w:val="FDEFBE"/>
                      <w:sz w:val="96"/>
                      <w:szCs w:val="96"/>
                    </w:rPr>
                  </w:pPr>
                  <w:r>
                    <w:rPr>
                      <w:rFonts w:hint="eastAsia" w:ascii="黑体" w:hAnsi="宋体" w:eastAsia="黑体"/>
                      <w:color w:val="FDEFBE"/>
                      <w:sz w:val="96"/>
                      <w:szCs w:val="96"/>
                    </w:rPr>
                    <w:t>第一部分  部门概况</w:t>
                  </w:r>
                </w:p>
              </w:txbxContent>
            </v:textbox>
          </v:shape>
        </w:pict>
      </w:r>
    </w:p>
    <w:p w14:paraId="42A2F165"/>
    <w:p w14:paraId="1FC72D6E"/>
    <w:p w14:paraId="1409C9AD"/>
    <w:p w14:paraId="19052524"/>
    <w:p w14:paraId="4E74F6B1"/>
    <w:p w14:paraId="6DCE3425"/>
    <w:p w14:paraId="60A2F17D"/>
    <w:p w14:paraId="21F2E261"/>
    <w:p w14:paraId="4FEFE586"/>
    <w:p w14:paraId="6D9612F2"/>
    <w:p w14:paraId="713C632E"/>
    <w:p w14:paraId="4F3CCA04"/>
    <w:p w14:paraId="7083A32A"/>
    <w:p w14:paraId="079EFA3F"/>
    <w:p w14:paraId="2BA1A8BD"/>
    <w:p w14:paraId="20E30645">
      <w:pPr>
        <w:pStyle w:val="2"/>
        <w:spacing w:before="0" w:after="0" w:line="600" w:lineRule="exact"/>
        <w:jc w:val="left"/>
        <w:rPr>
          <w:rFonts w:ascii="黑体" w:hAnsi="Cambria" w:eastAsia="黑体" w:cs="黑体"/>
          <w:b w:val="0"/>
          <w:bCs w:val="0"/>
          <w:kern w:val="0"/>
          <w:sz w:val="32"/>
          <w:szCs w:val="32"/>
        </w:rPr>
      </w:pPr>
      <w:r>
        <w:rPr>
          <w:rFonts w:ascii="Times New Roman" w:hAnsi="Times New Roman" w:eastAsia="宋体" w:cs="Times New Roman"/>
          <w:b w:val="0"/>
          <w:bCs w:val="0"/>
          <w:kern w:val="44"/>
          <w:sz w:val="32"/>
          <w:szCs w:val="32"/>
          <w:lang w:val="en-US" w:eastAsia="zh-CN" w:bidi="ar-SA"/>
        </w:rPr>
        <w:pict>
          <v:group id="组合 1035" o:spid="_x0000_s1037" o:spt="203" style="position:absolute;left:0pt;margin-left:-80.1pt;margin-top:39.5pt;height:46.7pt;width:245.25pt;mso-position-vertical-relative:page;z-index:251671552;mso-width-relative:page;mso-height-relative:page;" coordorigin="4551,52615" coordsize="8546,1398">
            <o:lock v:ext="edit" position="f" selection="f" grouping="f" rotation="f" cropping="f" text="f" aspectratio="f"/>
            <v:rect id="_x0000_s1061" o:spid="_x0000_s1061"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_x0000_s1062" o:spid="_x0000_s1062" o:spt="1" style="position:absolute;left:4577;top:52890;height:1123;width:8324;v-text-anchor:middle;" fillcolor="#AD002D" filled="t" o:preferrelative="t" stroked="t" coordsize="21600,21600">
              <v:path/>
              <v:fill on="t" focussize="0,0"/>
              <v:stroke color="#B0761F" color2="#FFFFFF" miterlimit="2"/>
              <v:imagedata gain="65536f" blacklevel="0f" gamma="0" o:title=""/>
              <o:lock v:ext="edit" position="f" selection="f" grouping="f" rotation="f" cropping="f" text="f" aspectratio="f"/>
              <v:textbox>
                <w:txbxContent>
                  <w:p w14:paraId="4B7C5AD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5DA0C5D4">
                    <w:pPr>
                      <w:jc w:val="center"/>
                    </w:pPr>
                  </w:p>
                </w:txbxContent>
              </v:textbox>
            </v:rect>
            <w10:anchorlock/>
          </v:group>
        </w:pict>
      </w:r>
      <w:r>
        <w:rPr>
          <w:rFonts w:hint="eastAsia" w:ascii="黑体" w:hAnsi="Cambria" w:eastAsia="黑体" w:cs="黑体"/>
          <w:b w:val="0"/>
          <w:bCs w:val="0"/>
          <w:kern w:val="0"/>
          <w:sz w:val="32"/>
          <w:szCs w:val="32"/>
        </w:rPr>
        <w:t>一、部门职责</w:t>
      </w:r>
    </w:p>
    <w:p w14:paraId="6B64B5EB">
      <w:pPr>
        <w:rPr>
          <w:rFonts w:hint="eastAsia" w:ascii="仿宋" w:hAnsi="仿宋" w:eastAsia="仿宋" w:cs="仿宋"/>
          <w:sz w:val="28"/>
          <w:szCs w:val="28"/>
        </w:rPr>
      </w:pP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1、农村工作。落实中共中央和国务院有关农业农村方面的路线、方针、政策和省、市重大决策部署，促进农民增收、农村经济发展和社会进步。力求重点工作出精品，难点工作求突破、基础工作有创新、常规工作见特色，全面提高服务“三农”的能力和水平，全面推进我区新农村建设。</w:t>
      </w:r>
    </w:p>
    <w:p w14:paraId="7C5CAEAC">
      <w:pPr>
        <w:rPr>
          <w:rFonts w:hint="eastAsia" w:ascii="仿宋" w:hAnsi="仿宋" w:eastAsia="仿宋" w:cs="仿宋"/>
          <w:sz w:val="28"/>
          <w:szCs w:val="28"/>
        </w:rPr>
      </w:pPr>
      <w:r>
        <w:rPr>
          <w:rFonts w:hint="eastAsia" w:ascii="仿宋" w:hAnsi="仿宋" w:eastAsia="仿宋" w:cs="仿宋"/>
          <w:sz w:val="28"/>
          <w:szCs w:val="28"/>
        </w:rPr>
        <w:t xml:space="preserve">  </w:t>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 xml:space="preserve">  2、农村财务管理</w:t>
      </w:r>
      <w:r>
        <w:rPr>
          <w:rFonts w:hint="eastAsia" w:ascii="仿宋" w:hAnsi="仿宋" w:eastAsia="仿宋" w:cs="仿宋"/>
          <w:sz w:val="28"/>
          <w:szCs w:val="28"/>
        </w:rPr>
        <w:tab/>
      </w:r>
      <w:r>
        <w:rPr>
          <w:rFonts w:hint="eastAsia" w:ascii="仿宋" w:hAnsi="仿宋" w:eastAsia="仿宋" w:cs="仿宋"/>
          <w:sz w:val="28"/>
          <w:szCs w:val="28"/>
        </w:rPr>
        <w:t>。贯彻有关法律、法规、规章制度具体实施；组织进行会计法的实施督查和处罚，对会计人员进行业务培训、审核；负责对全市农村财务的审计工作</w:t>
      </w:r>
      <w:r>
        <w:rPr>
          <w:rFonts w:hint="eastAsia" w:ascii="仿宋" w:hAnsi="仿宋" w:eastAsia="仿宋" w:cs="仿宋"/>
          <w:sz w:val="28"/>
          <w:szCs w:val="28"/>
        </w:rPr>
        <w:tab/>
      </w:r>
      <w:r>
        <w:rPr>
          <w:rFonts w:hint="eastAsia" w:ascii="仿宋" w:hAnsi="仿宋" w:eastAsia="仿宋" w:cs="仿宋"/>
          <w:sz w:val="28"/>
          <w:szCs w:val="28"/>
        </w:rPr>
        <w:t>促进农村财务管理规范化，提高从业人员政治、业务素质；审计监督农村集体资产的使用和集体经济组织的财务活动情况，确保农村集体资产的所有权、使用权不受侵犯。</w:t>
      </w:r>
    </w:p>
    <w:p w14:paraId="253B039E">
      <w:pPr>
        <w:rPr>
          <w:rFonts w:hint="eastAsia" w:ascii="仿宋" w:hAnsi="仿宋" w:eastAsia="仿宋" w:cs="仿宋"/>
          <w:sz w:val="28"/>
          <w:szCs w:val="28"/>
        </w:rPr>
      </w:pPr>
      <w:r>
        <w:rPr>
          <w:rFonts w:hint="eastAsia" w:ascii="仿宋" w:hAnsi="仿宋" w:eastAsia="仿宋" w:cs="仿宋"/>
          <w:sz w:val="28"/>
          <w:szCs w:val="28"/>
        </w:rPr>
        <w:t xml:space="preserve">    3、土地管理。贯彻、执行《中华人民共和国农村土地承包法》</w:t>
      </w:r>
      <w:bookmarkStart w:id="0" w:name="_GoBack"/>
      <w:bookmarkEnd w:id="0"/>
      <w:r>
        <w:rPr>
          <w:rFonts w:hint="eastAsia" w:ascii="仿宋" w:hAnsi="仿宋" w:eastAsia="仿宋" w:cs="仿宋"/>
          <w:sz w:val="28"/>
          <w:szCs w:val="28"/>
        </w:rPr>
        <w:t>和《农村土地承包经营纠纷调解仲裁法》等法律法规；指导、监督农村土地承包纠纷调解仲裁</w:t>
      </w:r>
      <w:r>
        <w:rPr>
          <w:rFonts w:hint="eastAsia" w:ascii="仿宋" w:hAnsi="仿宋" w:eastAsia="仿宋" w:cs="仿宋"/>
          <w:sz w:val="28"/>
          <w:szCs w:val="28"/>
        </w:rPr>
        <w:tab/>
      </w:r>
      <w:r>
        <w:rPr>
          <w:rFonts w:hint="eastAsia" w:ascii="仿宋" w:hAnsi="仿宋" w:eastAsia="仿宋" w:cs="仿宋"/>
          <w:sz w:val="28"/>
          <w:szCs w:val="28"/>
        </w:rPr>
        <w:t>负责农村土地承包管理、土地承包经营权的流转及农村土地承包仲裁、土地承包纠纷案件工作的调解、农村土地确权。</w:t>
      </w:r>
    </w:p>
    <w:p w14:paraId="5777CE5E">
      <w:pPr>
        <w:rPr>
          <w:rFonts w:hint="eastAsia" w:ascii="仿宋" w:hAnsi="仿宋" w:eastAsia="仿宋" w:cs="仿宋"/>
          <w:sz w:val="28"/>
          <w:szCs w:val="28"/>
        </w:rPr>
      </w:pPr>
      <w:r>
        <w:rPr>
          <w:rFonts w:hint="eastAsia" w:ascii="仿宋" w:hAnsi="仿宋" w:eastAsia="仿宋" w:cs="仿宋"/>
          <w:sz w:val="28"/>
          <w:szCs w:val="28"/>
        </w:rPr>
        <w:t xml:space="preserve">    4、农民负担监管</w:t>
      </w:r>
      <w:r>
        <w:rPr>
          <w:rFonts w:hint="eastAsia" w:ascii="仿宋" w:hAnsi="仿宋" w:eastAsia="仿宋" w:cs="仿宋"/>
          <w:sz w:val="28"/>
          <w:szCs w:val="28"/>
        </w:rPr>
        <w:tab/>
      </w:r>
      <w:r>
        <w:rPr>
          <w:rFonts w:hint="eastAsia" w:ascii="仿宋" w:hAnsi="仿宋" w:eastAsia="仿宋" w:cs="仿宋"/>
          <w:sz w:val="28"/>
          <w:szCs w:val="28"/>
        </w:rPr>
        <w:t>。负责全区减轻农民负担的报表、统计、专项审计和综合审计；其中包括一事一议项目的审批、审核、督导、验收</w:t>
      </w:r>
      <w:r>
        <w:rPr>
          <w:rFonts w:hint="eastAsia" w:ascii="仿宋" w:hAnsi="仿宋" w:eastAsia="仿宋" w:cs="仿宋"/>
          <w:sz w:val="28"/>
          <w:szCs w:val="28"/>
        </w:rPr>
        <w:tab/>
      </w:r>
      <w:r>
        <w:rPr>
          <w:rFonts w:hint="eastAsia" w:ascii="仿宋" w:hAnsi="仿宋" w:eastAsia="仿宋" w:cs="仿宋"/>
          <w:sz w:val="28"/>
          <w:szCs w:val="28"/>
        </w:rPr>
        <w:t>贯彻执行上级农民负担监督管理的法律、法规和政策规定，监管农村“一事一议”筹资筹劳，组织对农民负担监督管理工作进行执法检查，查处理加重农民负担、侵害农民合法利益的各种事件，协助有关部门查处涉及农民负担的重大恶性案件</w:t>
      </w:r>
    </w:p>
    <w:p w14:paraId="4033F246">
      <w:pPr>
        <w:rPr>
          <w:rFonts w:hint="eastAsia" w:ascii="仿宋_GB2312" w:hAnsi="Cambria" w:eastAsia="仿宋_GB2312" w:cs="ArialUnicodeMS"/>
          <w:kern w:val="0"/>
          <w:sz w:val="32"/>
          <w:szCs w:val="32"/>
          <w:highlight w:val="yellow"/>
        </w:rPr>
      </w:pPr>
      <w:r>
        <w:rPr>
          <w:rFonts w:hint="eastAsia" w:ascii="仿宋" w:hAnsi="仿宋" w:eastAsia="仿宋" w:cs="仿宋"/>
          <w:sz w:val="28"/>
          <w:szCs w:val="28"/>
        </w:rPr>
        <w:t xml:space="preserve">    5、农民专业合作社指导</w:t>
      </w:r>
      <w:r>
        <w:rPr>
          <w:rFonts w:hint="eastAsia" w:ascii="仿宋" w:hAnsi="仿宋" w:eastAsia="仿宋" w:cs="仿宋"/>
          <w:sz w:val="28"/>
          <w:szCs w:val="28"/>
        </w:rPr>
        <w:tab/>
      </w:r>
      <w:r>
        <w:rPr>
          <w:rFonts w:hint="eastAsia" w:ascii="仿宋" w:hAnsi="仿宋" w:eastAsia="仿宋" w:cs="仿宋"/>
          <w:sz w:val="28"/>
          <w:szCs w:val="28"/>
        </w:rPr>
        <w:t>。对全区农民专业合作社的建设和发展给予指导、服务、扶持</w:t>
      </w:r>
      <w:r>
        <w:rPr>
          <w:rFonts w:hint="eastAsia" w:ascii="仿宋" w:hAnsi="仿宋" w:eastAsia="仿宋" w:cs="仿宋"/>
          <w:sz w:val="28"/>
          <w:szCs w:val="28"/>
        </w:rPr>
        <w:tab/>
      </w:r>
      <w:r>
        <w:rPr>
          <w:rFonts w:hint="eastAsia" w:ascii="仿宋" w:hAnsi="仿宋" w:eastAsia="仿宋" w:cs="仿宋"/>
          <w:sz w:val="28"/>
          <w:szCs w:val="28"/>
        </w:rPr>
        <w:t>贯彻《中华人民共和国农民专业合作社法》及相关政策，指导、扶持农民专业合作社建设与发展、开展相关服务和监督。</w:t>
      </w:r>
    </w:p>
    <w:p w14:paraId="7A1D23B6">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14:paraId="7833858C">
      <w:pPr>
        <w:spacing w:after="0" w:line="560" w:lineRule="exact"/>
        <w:rPr>
          <w:rFonts w:hint="eastAsia" w:ascii="仿宋_GB2312" w:hAnsi="Cambria" w:eastAsia="仿宋_GB2312" w:cs="ArialUnicodeMS"/>
          <w:kern w:val="0"/>
          <w:sz w:val="32"/>
          <w:szCs w:val="32"/>
        </w:rPr>
      </w:pPr>
      <w:r>
        <w:rPr>
          <w:rFonts w:hint="eastAsia" w:ascii="仿宋_GB2312" w:hAnsi="Cambria" w:eastAsia="仿宋_GB2312" w:cs="ArialUnicodeMS"/>
          <w:kern w:val="0"/>
          <w:sz w:val="32"/>
          <w:szCs w:val="32"/>
        </w:rPr>
        <w:t xml:space="preserve">从决算编报单位构成看，纳入2018 年度本部门决算汇编范围的独立核算单位（以下简称“单位”）共 </w:t>
      </w:r>
      <w:r>
        <w:rPr>
          <w:rFonts w:hint="eastAsia" w:ascii="仿宋_GB2312" w:hAnsi="Cambria" w:eastAsia="仿宋_GB2312" w:cs="ArialUnicodeMS"/>
          <w:kern w:val="0"/>
          <w:sz w:val="32"/>
          <w:szCs w:val="32"/>
          <w:lang w:val="en-US" w:eastAsia="zh-CN"/>
        </w:rPr>
        <w:t>2</w:t>
      </w:r>
      <w:r>
        <w:rPr>
          <w:rFonts w:hint="eastAsia" w:ascii="仿宋_GB2312" w:hAnsi="Cambria" w:eastAsia="仿宋_GB2312" w:cs="ArialUnicodeMS"/>
          <w:kern w:val="0"/>
          <w:sz w:val="32"/>
          <w:szCs w:val="32"/>
        </w:rPr>
        <w:t>个，具体情况如下：</w:t>
      </w:r>
    </w:p>
    <w:tbl>
      <w:tblPr>
        <w:tblStyle w:val="10"/>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033"/>
        <w:gridCol w:w="3005"/>
        <w:gridCol w:w="2557"/>
      </w:tblGrid>
      <w:tr w14:paraId="03D6C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05378CB">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033" w:type="dxa"/>
            <w:vAlign w:val="center"/>
          </w:tcPr>
          <w:p w14:paraId="02AA8B7D">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3005" w:type="dxa"/>
            <w:vAlign w:val="center"/>
          </w:tcPr>
          <w:p w14:paraId="056C1170">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557" w:type="dxa"/>
            <w:vAlign w:val="center"/>
          </w:tcPr>
          <w:p w14:paraId="19215EB5">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14:paraId="24764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14:paraId="617DF52E">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w:t>
            </w:r>
          </w:p>
        </w:tc>
        <w:tc>
          <w:tcPr>
            <w:tcW w:w="3033" w:type="dxa"/>
            <w:vAlign w:val="top"/>
          </w:tcPr>
          <w:p w14:paraId="19A99664">
            <w:pPr>
              <w:jc w:val="left"/>
              <w:rPr>
                <w:rFonts w:hint="eastAsia" w:ascii="仿宋" w:hAnsi="仿宋" w:eastAsia="仿宋" w:cs="仿宋"/>
                <w:kern w:val="0"/>
                <w:sz w:val="28"/>
                <w:szCs w:val="28"/>
                <w:lang w:eastAsia="zh-CN"/>
              </w:rPr>
            </w:pPr>
            <w:r>
              <w:rPr>
                <w:rFonts w:hint="eastAsia" w:ascii="仿宋" w:hAnsi="仿宋" w:eastAsia="仿宋" w:cs="仿宋"/>
                <w:sz w:val="28"/>
                <w:szCs w:val="28"/>
                <w:lang w:eastAsia="zh-CN"/>
              </w:rPr>
              <w:t>中共石家庄市藁城区委农村工作委员会（本级）</w:t>
            </w:r>
          </w:p>
        </w:tc>
        <w:tc>
          <w:tcPr>
            <w:tcW w:w="3005" w:type="dxa"/>
            <w:vAlign w:val="top"/>
          </w:tcPr>
          <w:p w14:paraId="7E8C6B65">
            <w:pPr>
              <w:spacing w:after="0" w:line="560" w:lineRule="exact"/>
              <w:jc w:val="center"/>
              <w:rPr>
                <w:rFonts w:hint="eastAsia" w:ascii="仿宋" w:hAnsi="仿宋" w:eastAsia="仿宋" w:cs="仿宋"/>
                <w:kern w:val="0"/>
                <w:sz w:val="28"/>
                <w:szCs w:val="28"/>
              </w:rPr>
            </w:pPr>
            <w:r>
              <w:rPr>
                <w:rFonts w:hint="eastAsia" w:ascii="仿宋" w:hAnsi="仿宋" w:eastAsia="仿宋" w:cs="仿宋"/>
                <w:kern w:val="0"/>
                <w:sz w:val="28"/>
                <w:szCs w:val="28"/>
              </w:rPr>
              <w:t>行政单位</w:t>
            </w:r>
          </w:p>
        </w:tc>
        <w:tc>
          <w:tcPr>
            <w:tcW w:w="2557" w:type="dxa"/>
            <w:vAlign w:val="top"/>
          </w:tcPr>
          <w:p w14:paraId="5EC27713">
            <w:pPr>
              <w:spacing w:after="0" w:line="560" w:lineRule="exact"/>
              <w:jc w:val="center"/>
              <w:rPr>
                <w:rFonts w:hint="eastAsia" w:ascii="仿宋" w:hAnsi="仿宋" w:eastAsia="仿宋" w:cs="仿宋"/>
                <w:kern w:val="0"/>
                <w:sz w:val="28"/>
                <w:szCs w:val="28"/>
              </w:rPr>
            </w:pPr>
            <w:r>
              <w:rPr>
                <w:rFonts w:hint="eastAsia" w:ascii="仿宋" w:hAnsi="仿宋" w:eastAsia="仿宋" w:cs="仿宋"/>
                <w:kern w:val="0"/>
                <w:sz w:val="28"/>
                <w:szCs w:val="28"/>
              </w:rPr>
              <w:t>财政拨款</w:t>
            </w:r>
          </w:p>
        </w:tc>
      </w:tr>
      <w:tr w14:paraId="2EC80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14:paraId="5144ADE9">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2</w:t>
            </w:r>
          </w:p>
        </w:tc>
        <w:tc>
          <w:tcPr>
            <w:tcW w:w="3033" w:type="dxa"/>
            <w:vAlign w:val="top"/>
          </w:tcPr>
          <w:p w14:paraId="621E3D7B">
            <w:pPr>
              <w:jc w:val="left"/>
              <w:rPr>
                <w:rFonts w:hint="eastAsia" w:ascii="仿宋" w:hAnsi="仿宋" w:eastAsia="仿宋" w:cs="仿宋"/>
                <w:kern w:val="0"/>
                <w:sz w:val="28"/>
                <w:szCs w:val="28"/>
                <w:lang w:eastAsia="zh-CN"/>
              </w:rPr>
            </w:pPr>
            <w:r>
              <w:rPr>
                <w:rFonts w:hint="eastAsia" w:ascii="仿宋" w:hAnsi="仿宋" w:eastAsia="仿宋" w:cs="仿宋"/>
                <w:sz w:val="28"/>
                <w:szCs w:val="28"/>
                <w:lang w:eastAsia="zh-CN"/>
              </w:rPr>
              <w:t>石家庄市藁城区农村经济管理局</w:t>
            </w:r>
          </w:p>
        </w:tc>
        <w:tc>
          <w:tcPr>
            <w:tcW w:w="3005" w:type="dxa"/>
            <w:vAlign w:val="top"/>
          </w:tcPr>
          <w:p w14:paraId="44D3AD0B">
            <w:pPr>
              <w:spacing w:after="0" w:line="560" w:lineRule="exact"/>
              <w:jc w:val="center"/>
              <w:rPr>
                <w:rFonts w:hint="eastAsia" w:ascii="仿宋" w:hAnsi="仿宋" w:eastAsia="仿宋" w:cs="仿宋"/>
                <w:kern w:val="0"/>
                <w:sz w:val="28"/>
                <w:szCs w:val="28"/>
              </w:rPr>
            </w:pPr>
            <w:r>
              <w:rPr>
                <w:rFonts w:hint="eastAsia" w:ascii="仿宋" w:hAnsi="仿宋" w:eastAsia="仿宋" w:cs="仿宋"/>
                <w:kern w:val="0"/>
                <w:sz w:val="28"/>
                <w:szCs w:val="28"/>
              </w:rPr>
              <w:t>财政补助事业单位</w:t>
            </w:r>
          </w:p>
        </w:tc>
        <w:tc>
          <w:tcPr>
            <w:tcW w:w="2557" w:type="dxa"/>
            <w:vAlign w:val="top"/>
          </w:tcPr>
          <w:p w14:paraId="6D159783">
            <w:pPr>
              <w:spacing w:after="0" w:line="560" w:lineRule="exact"/>
              <w:jc w:val="center"/>
              <w:rPr>
                <w:rFonts w:hint="eastAsia" w:ascii="仿宋" w:hAnsi="仿宋" w:eastAsia="仿宋" w:cs="仿宋"/>
                <w:kern w:val="0"/>
                <w:sz w:val="28"/>
                <w:szCs w:val="28"/>
              </w:rPr>
            </w:pPr>
            <w:r>
              <w:rPr>
                <w:rFonts w:hint="eastAsia" w:ascii="仿宋" w:hAnsi="仿宋" w:eastAsia="仿宋" w:cs="仿宋"/>
                <w:sz w:val="28"/>
                <w:szCs w:val="28"/>
              </w:rPr>
              <w:t>财政性资金基本保证</w:t>
            </w:r>
          </w:p>
        </w:tc>
      </w:tr>
    </w:tbl>
    <w:p w14:paraId="587B56DF">
      <w:pPr>
        <w:spacing w:after="0" w:line="560" w:lineRule="exact"/>
        <w:rPr>
          <w:rFonts w:hint="eastAsia" w:ascii="仿宋_GB2312" w:hAnsi="Cambria" w:eastAsia="仿宋_GB2312" w:cs="ArialUnicodeMS"/>
          <w:kern w:val="0"/>
          <w:sz w:val="32"/>
          <w:szCs w:val="32"/>
        </w:rPr>
      </w:pPr>
    </w:p>
    <w:p w14:paraId="78470E3D">
      <w:pPr>
        <w:spacing w:after="0" w:line="560" w:lineRule="exact"/>
        <w:rPr>
          <w:rFonts w:ascii="仿宋_GB2312" w:hAnsi="Cambria" w:eastAsia="仿宋_GB2312" w:cs="ArialUnicodeMS"/>
          <w:kern w:val="0"/>
          <w:sz w:val="32"/>
          <w:szCs w:val="32"/>
        </w:rPr>
      </w:pPr>
    </w:p>
    <w:p w14:paraId="12B9E3B0">
      <w:pPr>
        <w:widowControl/>
        <w:spacing w:line="560" w:lineRule="exact"/>
        <w:jc w:val="center"/>
        <w:rPr>
          <w:rFonts w:ascii="黑体" w:hAnsi="Cambria" w:eastAsia="黑体" w:cs="MS-UIGothic,Bold"/>
          <w:bCs/>
          <w:kern w:val="0"/>
          <w:sz w:val="52"/>
          <w:szCs w:val="52"/>
        </w:rPr>
      </w:pPr>
    </w:p>
    <w:p w14:paraId="52D8ED14">
      <w:pPr>
        <w:widowControl/>
        <w:spacing w:line="560" w:lineRule="exact"/>
        <w:jc w:val="both"/>
        <w:rPr>
          <w:rFonts w:ascii="黑体" w:hAnsi="Cambria" w:eastAsia="黑体" w:cs="MS-UIGothic,Bold"/>
          <w:bCs/>
          <w:kern w:val="0"/>
          <w:sz w:val="52"/>
          <w:szCs w:val="52"/>
        </w:rPr>
      </w:pPr>
    </w:p>
    <w:p w14:paraId="2E4BFC6D">
      <w:pPr>
        <w:widowControl/>
        <w:spacing w:line="560" w:lineRule="exact"/>
        <w:jc w:val="center"/>
        <w:sectPr>
          <w:pgSz w:w="11906" w:h="16838"/>
          <w:pgMar w:top="2098" w:right="1474" w:bottom="1985" w:left="1588" w:header="851" w:footer="992" w:gutter="0"/>
          <w:cols w:space="720" w:num="1"/>
          <w:docGrid w:type="lines" w:linePitch="312" w:charSpace="0"/>
        </w:sectPr>
      </w:pPr>
    </w:p>
    <w:p w14:paraId="28FAB0D5">
      <w:pPr>
        <w:widowControl/>
        <w:spacing w:line="560" w:lineRule="exact"/>
        <w:jc w:val="center"/>
        <w:rPr>
          <w:rFonts w:ascii="黑体" w:hAnsi="Cambria" w:eastAsia="黑体" w:cs="MS-UIGothic,Bold"/>
          <w:bCs/>
          <w:kern w:val="0"/>
          <w:sz w:val="52"/>
          <w:szCs w:val="52"/>
        </w:rPr>
      </w:pPr>
      <w:r>
        <w:rPr>
          <w:rFonts w:hint="eastAsia" w:ascii="宋体" w:hAnsi="宋体" w:eastAsia="宋体" w:cs="ArialUnicodeMS"/>
          <w:color w:val="000000"/>
          <w:kern w:val="0"/>
          <w:sz w:val="21"/>
          <w:szCs w:val="24"/>
          <w:lang w:val="en-US" w:eastAsia="zh-CN" w:bidi="ar-SA"/>
        </w:rPr>
        <w:pict>
          <v:shape id="图片 16" o:spid="_x0000_s1027" o:spt="75" type="#_x0000_t75" style="position:absolute;left:0pt;margin-left:-79.95pt;margin-top:-103.85pt;height:840.95pt;width:596.15pt;z-index:-251655168;mso-width-relative:page;mso-height-relative:page;" fillcolor="#FFFFFF" filled="f" o:preferrelative="t" stroked="f" coordsize="21600,21600">
            <v:path/>
            <v:fill on="f" color2="#FFFFFF" focussize="0,0"/>
            <v:stroke on="f"/>
            <v:imagedata r:id="rId7" gain="65536f" blacklevel="0f" gamma="0" o:title=""/>
            <o:lock v:ext="edit" position="f" selection="f" grouping="f" rotation="f" cropping="f" text="f" aspectratio="t"/>
          </v:shape>
        </w:pict>
      </w:r>
    </w:p>
    <w:p w14:paraId="4EF610E0">
      <w:pPr>
        <w:sectPr>
          <w:pgSz w:w="11906" w:h="16838"/>
          <w:pgMar w:top="2098" w:right="1474" w:bottom="1984" w:left="1588" w:header="851" w:footer="992" w:gutter="0"/>
          <w:cols w:space="720" w:num="1"/>
          <w:docGrid w:type="lines" w:linePitch="312" w:charSpace="0"/>
        </w:sectPr>
      </w:pPr>
      <w:r>
        <w:rPr>
          <w:rFonts w:ascii="Times New Roman" w:hAnsi="Times New Roman" w:eastAsia="宋体" w:cs="Times New Roman"/>
          <w:kern w:val="2"/>
          <w:sz w:val="72"/>
          <w:szCs w:val="24"/>
          <w:lang w:val="en-US" w:eastAsia="zh-CN" w:bidi="ar-SA"/>
        </w:rPr>
        <w:pict>
          <v:shape id="_x0000_s1038" o:spid="_x0000_s1038" o:spt="202" type="#_x0000_t202" style="position:absolute;left:0pt;margin-left:-73.5pt;margin-top:120.3pt;height:159.1pt;width:596.2pt;z-index:25167257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14:paraId="26AE6ED2">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14:paraId="16F6E88C">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v:textbox>
          </v:shape>
        </w:pict>
      </w:r>
    </w:p>
    <w:p w14:paraId="7F53B4DA">
      <w:pPr>
        <w:widowControl/>
        <w:spacing w:after="0" w:line="560" w:lineRule="exact"/>
        <w:jc w:val="left"/>
        <w:sectPr>
          <w:pgSz w:w="11906" w:h="16838"/>
          <w:pgMar w:top="2098" w:right="1474" w:bottom="1984" w:left="1588" w:header="851" w:footer="992" w:gutter="0"/>
          <w:cols w:space="720" w:num="1"/>
          <w:docGrid w:type="lines" w:linePitch="312" w:charSpace="0"/>
        </w:sectPr>
      </w:pPr>
      <w:r>
        <w:rPr>
          <w:rFonts w:hint="eastAsia" w:ascii="仿宋_GB2312" w:hAnsi="Cambria" w:eastAsia="仿宋_GB2312" w:cs="ArialUnicodeMS"/>
          <w:b/>
          <w:kern w:val="0"/>
          <w:sz w:val="32"/>
          <w:szCs w:val="32"/>
        </w:rPr>
        <w:t>（详见附表）</w:t>
      </w:r>
    </w:p>
    <w:p w14:paraId="5F9896E4">
      <w:pPr>
        <w:sectPr>
          <w:pgSz w:w="11906" w:h="16838"/>
          <w:pgMar w:top="2098" w:right="1474" w:bottom="1984" w:left="1588" w:header="851" w:footer="992" w:gutter="0"/>
          <w:cols w:space="720" w:num="1"/>
          <w:docGrid w:type="lines" w:linePitch="312" w:charSpace="0"/>
        </w:sectPr>
      </w:pPr>
      <w:r>
        <w:rPr>
          <w:rFonts w:hint="eastAsia" w:ascii="宋体" w:hAnsi="宋体" w:eastAsia="宋体" w:cs="ArialUnicodeMS"/>
          <w:color w:val="000000"/>
          <w:kern w:val="0"/>
          <w:sz w:val="21"/>
          <w:szCs w:val="24"/>
          <w:lang w:val="en-US" w:eastAsia="zh-CN" w:bidi="ar-SA"/>
        </w:rPr>
        <w:pict>
          <v:shape id="_x0000_s1028" o:spid="_x0000_s1028" o:spt="75" type="#_x0000_t75" style="position:absolute;left:0pt;margin-left:-78.8pt;margin-top:-104.7pt;height:840.95pt;width:594.5pt;z-index:-251654144;mso-width-relative:page;mso-height-relative:page;" fillcolor="#FFFFFF" filled="f" o:preferrelative="t" stroked="f" coordsize="21600,21600">
            <v:path/>
            <v:fill on="f" color2="#FFFFFF" focussize="0,0"/>
            <v:stroke on="f"/>
            <v:imagedata r:id="rId7" gain="65536f" blacklevel="0f" gamma="0" o:title=""/>
            <o:lock v:ext="edit" position="f" selection="f" grouping="f" rotation="f" cropping="f" text="f" aspectratio="t"/>
          </v:shape>
        </w:pict>
      </w:r>
      <w:r>
        <w:rPr>
          <w:rFonts w:ascii="Times New Roman" w:hAnsi="Times New Roman" w:eastAsia="宋体" w:cs="Times New Roman"/>
          <w:kern w:val="2"/>
          <w:sz w:val="72"/>
          <w:szCs w:val="24"/>
          <w:lang w:val="en-US" w:eastAsia="zh-CN" w:bidi="ar-SA"/>
        </w:rPr>
        <w:pict>
          <v:shape id="_x0000_s1039" o:spid="_x0000_s1039" o:spt="202" type="#_x0000_t202" style="position:absolute;left:0pt;margin-left:-78pt;margin-top:232.8pt;height:159.1pt;width:596.2pt;z-index:25167360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14:paraId="08AA7A65">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14:paraId="613CB365">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shape>
        </w:pict>
      </w:r>
    </w:p>
    <w:p w14:paraId="5228BFD3">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cs="黑体"/>
          <w:b w:val="0"/>
          <w:bCs w:val="0"/>
          <w:kern w:val="0"/>
        </w:rPr>
        <w:t>支</w:t>
      </w:r>
      <w:r>
        <w:rPr>
          <w:rFonts w:ascii="Calibri" w:hAnsi="Calibri" w:eastAsia="宋体" w:cs="黑体"/>
          <w:b/>
          <w:bCs/>
          <w:kern w:val="2"/>
          <w:sz w:val="44"/>
          <w:szCs w:val="32"/>
          <w:lang w:val="en-US" w:eastAsia="zh-CN" w:bidi="ar-SA"/>
        </w:rPr>
        <w:pict>
          <v:group id="组合 1042" o:spid="_x0000_s1052" o:spt="203" style="position:absolute;left:0pt;margin-left:0pt;margin-top:29.3pt;height:43.95pt;width:301.85pt;mso-position-horizontal-relative:page;mso-position-vertical-relative:page;z-index:251686912;mso-width-relative:page;mso-height-relative:page;" coordorigin="4551,52615" coordsize="8546,1398">
            <o:lock v:ext="edit" position="f" selection="f" grouping="f" rotation="f" cropping="f" text="f" aspectratio="f"/>
            <v:rect id="矩形 13" o:spid="_x0000_s1063"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64" o:spt="1" style="position:absolute;left:4577;top:52890;height:1123;width:8324;v-text-anchor:middle;" fillcolor="#AD002D" filled="t" o:preferrelative="t" stroked="t" coordsize="21600,21600">
              <v:path/>
              <v:fill on="t" focussize="0,0"/>
              <v:stroke color="#B0761F" color2="#FFFFFF" miterlimit="2"/>
              <v:imagedata gain="65536f" blacklevel="0f" gamma="0" o:title=""/>
              <o:lock v:ext="edit" position="f" selection="f" grouping="f" rotation="f" cropping="f" text="f" aspectratio="f"/>
              <v:textbox>
                <w:txbxContent>
                  <w:p w14:paraId="47CBD02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6BDF56E6">
                    <w:pPr>
                      <w:jc w:val="center"/>
                    </w:pPr>
                  </w:p>
                </w:txbxContent>
              </v:textbox>
            </v:rect>
            <w10:anchorlock/>
          </v:group>
        </w:pict>
      </w:r>
      <w:r>
        <w:rPr>
          <w:rFonts w:hint="eastAsia" w:ascii="黑体" w:hAnsi="Cambria" w:eastAsia="黑体" w:cs="黑体"/>
          <w:b w:val="0"/>
          <w:bCs w:val="0"/>
          <w:kern w:val="0"/>
        </w:rPr>
        <w:t>出</w:t>
      </w:r>
      <w:r>
        <w:rPr>
          <w:rFonts w:hint="eastAsia" w:ascii="黑体" w:eastAsia="黑体"/>
          <w:b w:val="0"/>
          <w:bCs w:val="0"/>
        </w:rPr>
        <w:t>决算总体情况说明</w:t>
      </w:r>
    </w:p>
    <w:p w14:paraId="4B9143C8">
      <w:pPr>
        <w:ind w:firstLine="640" w:firstLineChars="200"/>
        <w:rPr>
          <w:rFonts w:hint="eastAsia" w:ascii="仿宋_GB2312" w:eastAsia="仿宋_GB2312" w:cs="DengXian-Regular"/>
          <w:sz w:val="32"/>
          <w:szCs w:val="32"/>
        </w:rPr>
      </w:pPr>
      <w:r>
        <w:rPr>
          <w:rFonts w:hint="eastAsia" w:ascii="仿宋" w:hAnsi="仿宋" w:eastAsia="仿宋" w:cs="仿宋"/>
          <w:sz w:val="32"/>
          <w:szCs w:val="32"/>
        </w:rPr>
        <w:t>本部门2018年度年初结转和结余</w:t>
      </w:r>
      <w:r>
        <w:rPr>
          <w:rFonts w:hint="eastAsia" w:ascii="仿宋" w:hAnsi="仿宋" w:eastAsia="仿宋" w:cs="仿宋"/>
          <w:sz w:val="32"/>
          <w:szCs w:val="32"/>
          <w:lang w:val="en-US" w:eastAsia="zh-CN"/>
        </w:rPr>
        <w:t>753.62</w:t>
      </w:r>
      <w:r>
        <w:rPr>
          <w:rFonts w:hint="eastAsia" w:ascii="仿宋" w:hAnsi="仿宋" w:eastAsia="仿宋" w:cs="仿宋"/>
          <w:sz w:val="32"/>
          <w:szCs w:val="32"/>
        </w:rPr>
        <w:t>万元，本年收入</w:t>
      </w:r>
      <w:r>
        <w:rPr>
          <w:rFonts w:hint="eastAsia" w:ascii="仿宋" w:hAnsi="仿宋" w:eastAsia="仿宋" w:cs="仿宋"/>
          <w:sz w:val="32"/>
          <w:szCs w:val="32"/>
          <w:lang w:val="en-US" w:eastAsia="zh-CN"/>
        </w:rPr>
        <w:t>3881.55</w:t>
      </w:r>
      <w:r>
        <w:rPr>
          <w:rFonts w:hint="eastAsia" w:ascii="仿宋" w:hAnsi="仿宋" w:eastAsia="仿宋" w:cs="仿宋"/>
          <w:sz w:val="32"/>
          <w:szCs w:val="32"/>
        </w:rPr>
        <w:t>万元，本年支出</w:t>
      </w:r>
      <w:r>
        <w:rPr>
          <w:rFonts w:hint="eastAsia" w:ascii="仿宋" w:hAnsi="仿宋" w:eastAsia="仿宋" w:cs="仿宋"/>
          <w:sz w:val="32"/>
          <w:szCs w:val="32"/>
          <w:lang w:val="en-US" w:eastAsia="zh-CN"/>
        </w:rPr>
        <w:t>4188.77</w:t>
      </w:r>
      <w:r>
        <w:rPr>
          <w:rFonts w:hint="eastAsia" w:ascii="仿宋" w:hAnsi="仿宋" w:eastAsia="仿宋" w:cs="仿宋"/>
          <w:sz w:val="32"/>
          <w:szCs w:val="32"/>
        </w:rPr>
        <w:t xml:space="preserve"> 万元，年末结转和结余</w:t>
      </w:r>
      <w:r>
        <w:rPr>
          <w:rFonts w:hint="eastAsia" w:ascii="仿宋" w:hAnsi="仿宋" w:eastAsia="仿宋" w:cs="仿宋"/>
          <w:sz w:val="32"/>
          <w:szCs w:val="32"/>
          <w:lang w:val="en-US" w:eastAsia="zh-CN"/>
        </w:rPr>
        <w:t>446.4</w:t>
      </w:r>
      <w:r>
        <w:rPr>
          <w:rFonts w:hint="eastAsia" w:ascii="仿宋" w:hAnsi="仿宋" w:eastAsia="仿宋" w:cs="仿宋"/>
          <w:sz w:val="32"/>
          <w:szCs w:val="32"/>
        </w:rPr>
        <w:t xml:space="preserve">万元。与 </w:t>
      </w:r>
      <w:r>
        <w:rPr>
          <w:rFonts w:hint="eastAsia" w:ascii="仿宋" w:hAnsi="仿宋" w:eastAsia="仿宋" w:cs="仿宋"/>
          <w:sz w:val="32"/>
          <w:szCs w:val="32"/>
          <w:lang w:val="en-US" w:eastAsia="zh-CN"/>
        </w:rPr>
        <w:t>2017</w:t>
      </w:r>
      <w:r>
        <w:rPr>
          <w:rFonts w:hint="eastAsia" w:ascii="仿宋" w:hAnsi="仿宋" w:eastAsia="仿宋" w:cs="仿宋"/>
          <w:sz w:val="32"/>
          <w:szCs w:val="32"/>
        </w:rPr>
        <w:t>年度决算相比，本年收入</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85.34</w:t>
      </w:r>
      <w:r>
        <w:rPr>
          <w:rFonts w:hint="eastAsia" w:ascii="仿宋" w:hAnsi="仿宋" w:eastAsia="仿宋" w:cs="仿宋"/>
          <w:sz w:val="32"/>
          <w:szCs w:val="32"/>
        </w:rPr>
        <w:t>万元，</w:t>
      </w:r>
      <w:r>
        <w:rPr>
          <w:rFonts w:hint="eastAsia" w:ascii="仿宋" w:hAnsi="仿宋" w:eastAsia="仿宋" w:cs="仿宋"/>
          <w:sz w:val="32"/>
          <w:szCs w:val="32"/>
          <w:lang w:eastAsia="zh-CN"/>
        </w:rPr>
        <w:t>增加</w:t>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2</w:t>
      </w:r>
      <w:r>
        <w:rPr>
          <w:rFonts w:hint="eastAsia" w:ascii="仿宋" w:hAnsi="仿宋" w:eastAsia="仿宋" w:cs="仿宋"/>
          <w:sz w:val="32"/>
          <w:szCs w:val="32"/>
        </w:rPr>
        <w:t>%；本年支出</w:t>
      </w:r>
      <w:r>
        <w:rPr>
          <w:rFonts w:hint="eastAsia" w:ascii="仿宋" w:hAnsi="仿宋" w:eastAsia="仿宋" w:cs="仿宋"/>
          <w:sz w:val="32"/>
          <w:szCs w:val="32"/>
          <w:lang w:eastAsia="zh-CN"/>
        </w:rPr>
        <w:t>增加</w:t>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1113.94</w:t>
      </w:r>
      <w:r>
        <w:rPr>
          <w:rFonts w:hint="eastAsia" w:ascii="仿宋" w:hAnsi="仿宋" w:eastAsia="仿宋" w:cs="仿宋"/>
          <w:sz w:val="32"/>
          <w:szCs w:val="32"/>
        </w:rPr>
        <w:t>万元，</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36</w:t>
      </w:r>
      <w:r>
        <w:rPr>
          <w:rFonts w:hint="eastAsia" w:ascii="仿宋" w:hAnsi="仿宋" w:eastAsia="仿宋" w:cs="仿宋"/>
          <w:sz w:val="32"/>
          <w:szCs w:val="32"/>
        </w:rPr>
        <w:t>%。收支</w:t>
      </w:r>
      <w:r>
        <w:rPr>
          <w:rFonts w:hint="eastAsia" w:ascii="仿宋" w:hAnsi="仿宋" w:eastAsia="仿宋" w:cs="仿宋"/>
          <w:sz w:val="32"/>
          <w:szCs w:val="32"/>
          <w:lang w:eastAsia="zh-CN"/>
        </w:rPr>
        <w:t>增加</w:t>
      </w:r>
      <w:r>
        <w:rPr>
          <w:rFonts w:hint="eastAsia" w:ascii="仿宋" w:hAnsi="仿宋" w:eastAsia="仿宋" w:cs="仿宋"/>
          <w:sz w:val="32"/>
          <w:szCs w:val="32"/>
        </w:rPr>
        <w:t>的主要原因是，</w:t>
      </w:r>
      <w:r>
        <w:rPr>
          <w:rFonts w:hint="eastAsia" w:ascii="仿宋" w:hAnsi="仿宋" w:eastAsia="仿宋" w:cs="仿宋"/>
          <w:color w:val="auto"/>
          <w:sz w:val="32"/>
          <w:szCs w:val="32"/>
        </w:rPr>
        <w:t>201</w:t>
      </w:r>
      <w:r>
        <w:rPr>
          <w:rFonts w:hint="eastAsia" w:ascii="仿宋" w:hAnsi="仿宋" w:eastAsia="仿宋" w:cs="仿宋"/>
          <w:color w:val="auto"/>
          <w:sz w:val="32"/>
          <w:szCs w:val="32"/>
          <w:lang w:val="en-US" w:eastAsia="zh-CN"/>
        </w:rPr>
        <w:t>8</w:t>
      </w:r>
      <w:r>
        <w:rPr>
          <w:rFonts w:hint="eastAsia" w:ascii="仿宋" w:hAnsi="仿宋" w:eastAsia="仿宋" w:cs="仿宋"/>
          <w:color w:val="auto"/>
          <w:sz w:val="32"/>
          <w:szCs w:val="32"/>
        </w:rPr>
        <w:t>年度</w:t>
      </w:r>
      <w:r>
        <w:rPr>
          <w:rFonts w:hint="eastAsia" w:ascii="仿宋" w:hAnsi="仿宋" w:eastAsia="仿宋" w:cs="仿宋"/>
          <w:color w:val="auto"/>
          <w:sz w:val="32"/>
          <w:szCs w:val="32"/>
          <w:lang w:eastAsia="zh-CN"/>
        </w:rPr>
        <w:t>增加了农村生活垃圾处理市场化运营</w:t>
      </w:r>
      <w:r>
        <w:rPr>
          <w:rFonts w:hint="eastAsia" w:ascii="仿宋" w:hAnsi="仿宋" w:eastAsia="仿宋" w:cs="仿宋"/>
          <w:color w:val="auto"/>
          <w:sz w:val="32"/>
          <w:szCs w:val="32"/>
        </w:rPr>
        <w:t>专项资金</w:t>
      </w:r>
      <w:r>
        <w:rPr>
          <w:rFonts w:hint="eastAsia" w:ascii="仿宋" w:hAnsi="仿宋" w:eastAsia="仿宋" w:cs="仿宋"/>
          <w:color w:val="auto"/>
          <w:sz w:val="32"/>
          <w:szCs w:val="32"/>
          <w:lang w:eastAsia="zh-CN"/>
        </w:rPr>
        <w:t>支出</w:t>
      </w:r>
      <w:r>
        <w:rPr>
          <w:rFonts w:hint="eastAsia" w:ascii="仿宋" w:hAnsi="仿宋" w:eastAsia="仿宋" w:cs="仿宋"/>
          <w:color w:val="auto"/>
          <w:sz w:val="32"/>
          <w:szCs w:val="32"/>
        </w:rPr>
        <w:t>。</w:t>
      </w:r>
    </w:p>
    <w:p w14:paraId="6FB0ACB5">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14:paraId="46532CF3">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sz w:val="32"/>
          <w:szCs w:val="32"/>
        </w:rPr>
        <w:t>3881.55</w:t>
      </w:r>
      <w:r>
        <w:rPr>
          <w:rFonts w:hint="eastAsia" w:ascii="仿宋_GB2312" w:eastAsia="仿宋_GB2312" w:cs="DengXian-Regular"/>
          <w:sz w:val="32"/>
          <w:szCs w:val="32"/>
        </w:rPr>
        <w:t>万元，其中：财政拨款收入</w:t>
      </w:r>
      <w:r>
        <w:rPr>
          <w:rFonts w:hint="eastAsia"/>
          <w:sz w:val="32"/>
          <w:szCs w:val="32"/>
        </w:rPr>
        <w:t>3881.55</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%；事业收入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14:paraId="04570311">
      <w:pPr>
        <w:adjustRightInd w:val="0"/>
        <w:snapToGrid w:val="0"/>
        <w:spacing w:after="0" w:line="580" w:lineRule="exact"/>
        <w:ind w:firstLine="1260" w:firstLineChars="600"/>
        <w:rPr>
          <w:rFonts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图片框 1101" o:spid="_x0000_s1031" o:spt="75" type="#_x0000_t75" style="position:absolute;left:0pt;margin-left:7.5pt;margin-top:14.25pt;height:264.9pt;width:411.4pt;z-index:-251651072;mso-width-relative:page;mso-height-relative:page;" fillcolor="#FFFFFF" filled="f" o:preferrelative="t" stroked="f" coordsize="21600,21600">
            <v:path/>
            <v:fill on="f" color2="#FFFFFF" focussize="0,0"/>
            <v:stroke on="f"/>
            <v:imagedata r:id="rId8" gain="65536f" blacklevel="0f" gamma="0" o:title=""/>
            <o:lock v:ext="edit" position="f" selection="f" grouping="f" rotation="f" cropping="f" text="f" aspectratio="t"/>
          </v:shape>
        </w:pict>
      </w:r>
    </w:p>
    <w:p w14:paraId="18E941BD">
      <w:pPr>
        <w:adjustRightInd w:val="0"/>
        <w:snapToGrid w:val="0"/>
        <w:spacing w:after="0" w:line="580" w:lineRule="exact"/>
        <w:ind w:firstLine="1920" w:firstLineChars="600"/>
        <w:rPr>
          <w:rFonts w:ascii="仿宋_GB2312" w:eastAsia="仿宋_GB2312" w:cs="DengXian-Regular"/>
          <w:sz w:val="32"/>
          <w:szCs w:val="32"/>
        </w:rPr>
      </w:pPr>
    </w:p>
    <w:p w14:paraId="22506C00">
      <w:pPr>
        <w:adjustRightInd w:val="0"/>
        <w:snapToGrid w:val="0"/>
        <w:spacing w:after="0" w:line="580" w:lineRule="exact"/>
        <w:ind w:firstLine="1920" w:firstLineChars="600"/>
        <w:rPr>
          <w:rFonts w:ascii="仿宋_GB2312" w:eastAsia="仿宋_GB2312" w:cs="DengXian-Regular"/>
          <w:sz w:val="32"/>
          <w:szCs w:val="32"/>
        </w:rPr>
      </w:pPr>
    </w:p>
    <w:p w14:paraId="4CDDD20B">
      <w:pPr>
        <w:pStyle w:val="3"/>
        <w:spacing w:before="0" w:after="0" w:line="580" w:lineRule="exact"/>
        <w:rPr>
          <w:rFonts w:ascii="黑体" w:eastAsia="黑体"/>
          <w:b w:val="0"/>
          <w:bCs w:val="0"/>
        </w:rPr>
      </w:pPr>
    </w:p>
    <w:p w14:paraId="387D8798">
      <w:pPr>
        <w:rPr>
          <w:rFonts w:ascii="黑体" w:eastAsia="黑体"/>
          <w:b w:val="0"/>
          <w:bCs w:val="0"/>
        </w:rPr>
      </w:pPr>
    </w:p>
    <w:p w14:paraId="7A43ADAA">
      <w:pPr>
        <w:rPr>
          <w:rFonts w:ascii="黑体" w:eastAsia="黑体"/>
          <w:b w:val="0"/>
          <w:bCs w:val="0"/>
        </w:rPr>
      </w:pPr>
    </w:p>
    <w:p w14:paraId="0A198120">
      <w:pPr>
        <w:rPr>
          <w:rFonts w:ascii="黑体" w:eastAsia="黑体"/>
          <w:b w:val="0"/>
          <w:bCs w:val="0"/>
        </w:rPr>
      </w:pPr>
    </w:p>
    <w:p w14:paraId="4C1F0134">
      <w:pPr>
        <w:rPr>
          <w:rFonts w:ascii="黑体" w:eastAsia="黑体"/>
          <w:b w:val="0"/>
          <w:bCs w:val="0"/>
        </w:rPr>
      </w:pPr>
    </w:p>
    <w:p w14:paraId="279638AF">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14:paraId="72DE4627">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hint="eastAsia" w:ascii="仿宋_GB2312" w:eastAsia="仿宋_GB2312" w:cs="DengXian-Regular"/>
          <w:sz w:val="32"/>
          <w:szCs w:val="32"/>
          <w:lang w:val="en-US" w:eastAsia="zh-CN"/>
        </w:rPr>
        <w:t>4188.77</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177.52</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4</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4011.25</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96</w:t>
      </w:r>
      <w:r>
        <w:rPr>
          <w:rFonts w:hint="eastAsia" w:ascii="仿宋_GB2312" w:eastAsia="仿宋_GB2312" w:cs="DengXian-Regular"/>
          <w:sz w:val="32"/>
          <w:szCs w:val="32"/>
        </w:rPr>
        <w:t>%；经营支出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14:paraId="6CB02C68">
      <w:pPr>
        <w:adjustRightInd w:val="0"/>
        <w:snapToGrid w:val="0"/>
        <w:spacing w:after="0" w:line="580" w:lineRule="exact"/>
        <w:ind w:firstLine="1260" w:firstLineChars="600"/>
        <w:rPr>
          <w:rFonts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图片框 1102" o:spid="_x0000_s1032" o:spt="75" type="#_x0000_t75" style="position:absolute;left:0pt;margin-left:-7.15pt;margin-top:17.6pt;height:231.6pt;width:442.05pt;z-index:-251650048;mso-width-relative:page;mso-height-relative:page;" fillcolor="#FFFFFF" filled="f" o:preferrelative="t" stroked="f" coordsize="21600,21600">
            <v:path/>
            <v:fill on="f" color2="#FFFFFF" focussize="0,0"/>
            <v:stroke on="f"/>
            <v:imagedata r:id="rId9" gain="65536f" blacklevel="0f" gamma="0" o:title=""/>
            <o:lock v:ext="edit" position="f" selection="f" grouping="f" rotation="f" cropping="f" text="f" aspectratio="t"/>
          </v:shape>
        </w:pict>
      </w:r>
    </w:p>
    <w:p w14:paraId="192822AE">
      <w:pPr>
        <w:adjustRightInd w:val="0"/>
        <w:snapToGrid w:val="0"/>
        <w:spacing w:after="0" w:line="580" w:lineRule="exact"/>
        <w:ind w:firstLine="1920" w:firstLineChars="600"/>
        <w:rPr>
          <w:rFonts w:ascii="仿宋_GB2312" w:eastAsia="仿宋_GB2312" w:cs="DengXian-Regular"/>
          <w:sz w:val="32"/>
          <w:szCs w:val="32"/>
        </w:rPr>
      </w:pPr>
    </w:p>
    <w:p w14:paraId="720827FA">
      <w:pPr>
        <w:adjustRightInd w:val="0"/>
        <w:snapToGrid w:val="0"/>
        <w:spacing w:after="0" w:line="580" w:lineRule="exact"/>
        <w:ind w:firstLine="1920" w:firstLineChars="600"/>
        <w:rPr>
          <w:rFonts w:ascii="仿宋_GB2312" w:eastAsia="仿宋_GB2312" w:cs="DengXian-Regular"/>
          <w:sz w:val="32"/>
          <w:szCs w:val="32"/>
        </w:rPr>
      </w:pPr>
    </w:p>
    <w:p w14:paraId="5F0189AC">
      <w:pPr>
        <w:adjustRightInd w:val="0"/>
        <w:snapToGrid w:val="0"/>
        <w:spacing w:after="0" w:line="580" w:lineRule="exact"/>
        <w:ind w:firstLine="2640" w:firstLineChars="600"/>
        <w:rPr>
          <w:rFonts w:ascii="仿宋_GB2312" w:eastAsia="仿宋_GB2312" w:cs="DengXian-Regular"/>
          <w:sz w:val="32"/>
          <w:szCs w:val="32"/>
        </w:rPr>
      </w:pPr>
      <w:r>
        <w:rPr>
          <w:rFonts w:ascii="Times New Roman" w:hAnsi="Times New Roman" w:eastAsia="宋体" w:cs="Times New Roman"/>
          <w:kern w:val="2"/>
          <w:sz w:val="44"/>
          <w:szCs w:val="24"/>
          <w:lang w:val="en-US" w:eastAsia="zh-CN" w:bidi="ar-SA"/>
        </w:rPr>
        <w:pict>
          <v:group id="组合 1047" o:spid="_x0000_s1045" o:spt="203" style="position:absolute;left:0pt;margin-left:0pt;margin-top:29.3pt;height:43.95pt;width:301.85pt;mso-position-horizontal-relative:page;mso-position-vertical-relative:page;z-index:251679744;mso-width-relative:page;mso-height-relative:page;" coordorigin="4551,52615" coordsize="8546,1398">
            <o:lock v:ext="edit" position="f" selection="f" grouping="f" rotation="f" cropping="f" text="f" aspectratio="f"/>
            <v:rect id="矩形 13" o:spid="_x0000_s1065"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66" o:spt="1" style="position:absolute;left:4577;top:52890;height:1123;width:8324;v-text-anchor:middle;" fillcolor="#AD002D" filled="t" o:preferrelative="t" stroked="t" coordsize="21600,21600">
              <v:path/>
              <v:fill on="t" focussize="0,0"/>
              <v:stroke color="#B0761F" color2="#FFFFFF" miterlimit="2"/>
              <v:imagedata gain="65536f" blacklevel="0f" gamma="0" o:title=""/>
              <o:lock v:ext="edit" position="f" selection="f" grouping="f" rotation="f" cropping="f" text="f" aspectratio="f"/>
              <v:textbox>
                <w:txbxContent>
                  <w:p w14:paraId="5DFD73D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7D13FC0E">
                    <w:pPr>
                      <w:jc w:val="center"/>
                    </w:pPr>
                  </w:p>
                </w:txbxContent>
              </v:textbox>
            </v:rect>
            <w10:anchorlock/>
          </v:group>
        </w:pict>
      </w:r>
    </w:p>
    <w:p w14:paraId="224E68D5">
      <w:pPr>
        <w:adjustRightInd w:val="0"/>
        <w:snapToGrid w:val="0"/>
        <w:spacing w:after="0" w:line="580" w:lineRule="exact"/>
        <w:ind w:firstLine="1920" w:firstLineChars="600"/>
        <w:rPr>
          <w:rFonts w:ascii="仿宋_GB2312" w:eastAsia="仿宋_GB2312" w:cs="DengXian-Regular"/>
          <w:sz w:val="32"/>
          <w:szCs w:val="32"/>
        </w:rPr>
      </w:pPr>
    </w:p>
    <w:p w14:paraId="4A6BED98">
      <w:pPr>
        <w:pStyle w:val="3"/>
        <w:spacing w:before="0" w:after="0" w:line="580" w:lineRule="exact"/>
        <w:ind w:firstLine="643" w:firstLineChars="200"/>
        <w:rPr>
          <w:rFonts w:ascii="黑体" w:eastAsia="黑体"/>
        </w:rPr>
      </w:pPr>
    </w:p>
    <w:p w14:paraId="3F29CDE8">
      <w:pPr>
        <w:pStyle w:val="3"/>
        <w:spacing w:before="0" w:after="0" w:line="580" w:lineRule="exact"/>
        <w:ind w:firstLine="643" w:firstLineChars="200"/>
        <w:rPr>
          <w:rFonts w:ascii="黑体" w:eastAsia="黑体"/>
        </w:rPr>
      </w:pPr>
    </w:p>
    <w:p w14:paraId="0EE27FA6">
      <w:pPr>
        <w:pStyle w:val="3"/>
        <w:spacing w:before="0" w:after="0" w:line="580" w:lineRule="exact"/>
        <w:ind w:firstLine="643" w:firstLineChars="200"/>
        <w:rPr>
          <w:rFonts w:ascii="黑体" w:eastAsia="黑体"/>
        </w:rPr>
      </w:pPr>
    </w:p>
    <w:p w14:paraId="20E3BD46">
      <w:pPr>
        <w:pStyle w:val="3"/>
        <w:spacing w:before="0" w:after="0" w:line="580" w:lineRule="exact"/>
        <w:ind w:firstLine="643" w:firstLineChars="200"/>
        <w:rPr>
          <w:rFonts w:ascii="黑体" w:eastAsia="黑体"/>
          <w:b w:val="0"/>
          <w:bCs w:val="0"/>
        </w:rPr>
      </w:pPr>
      <w:r>
        <w:rPr>
          <w:rFonts w:ascii="Calibri" w:hAnsi="Calibri" w:eastAsia="宋体" w:cs="黑体"/>
          <w:b/>
          <w:bCs/>
          <w:kern w:val="2"/>
          <w:sz w:val="32"/>
          <w:szCs w:val="32"/>
          <w:lang w:val="en-US" w:eastAsia="zh-CN" w:bidi="ar-SA"/>
        </w:rPr>
        <w:pict>
          <v:shape id="_x0000_s1033" o:spid="_x0000_s1033" o:spt="202" type="#_x0000_t202" style="position:absolute;left:0pt;margin-left:73.35pt;margin-top:19.6pt;height:42.2pt;width:248.75pt;z-index:251667456;mso-width-relative:page;mso-height-relative:page;" fillcolor="#FFFFFF" filled="t" o:preferrelative="t" stroked="f" coordsize="21600,21600">
            <v:path/>
            <v:fill on="t" focussize="0,0"/>
            <v:stroke on="f"/>
            <v:imagedata gain="65536f" blacklevel="0f" gamma="0" o:title=""/>
            <o:lock v:ext="edit" position="f" selection="f" grouping="f" rotation="f" cropping="f" text="f" aspectratio="f"/>
            <v:textbox>
              <w:txbxContent>
                <w:p w14:paraId="63359A70">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14:paraId="2B57A839">
                  <w:pPr>
                    <w:rPr>
                      <w:sz w:val="20"/>
                      <w:szCs w:val="22"/>
                    </w:rPr>
                  </w:pPr>
                </w:p>
              </w:txbxContent>
            </v:textbox>
          </v:shape>
        </w:pict>
      </w:r>
    </w:p>
    <w:p w14:paraId="5E096222">
      <w:pPr>
        <w:pStyle w:val="3"/>
        <w:spacing w:before="0" w:after="0" w:line="580" w:lineRule="exact"/>
        <w:ind w:firstLine="640" w:firstLineChars="200"/>
        <w:rPr>
          <w:rFonts w:ascii="黑体" w:eastAsia="黑体"/>
          <w:b w:val="0"/>
          <w:bCs w:val="0"/>
        </w:rPr>
      </w:pPr>
    </w:p>
    <w:p w14:paraId="59634D84">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cs="黑体"/>
          <w:b w:val="0"/>
          <w:bCs w:val="0"/>
          <w:kern w:val="0"/>
        </w:rPr>
        <w:t>财政</w:t>
      </w:r>
      <w:r>
        <w:rPr>
          <w:rFonts w:hint="eastAsia" w:ascii="黑体" w:eastAsia="黑体"/>
          <w:b w:val="0"/>
          <w:bCs w:val="0"/>
        </w:rPr>
        <w:t>拨款收入支出决算情况说明</w:t>
      </w:r>
    </w:p>
    <w:p w14:paraId="049E8976">
      <w:pPr>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（一）财政拨款收支与2017 年度决算对比情况</w:t>
      </w:r>
    </w:p>
    <w:p w14:paraId="5B705CCB">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hint="eastAsia" w:ascii="仿宋_GB2312" w:eastAsia="仿宋_GB2312" w:cs="DengXian-Regular"/>
          <w:sz w:val="32"/>
          <w:szCs w:val="32"/>
          <w:lang w:val="en-US" w:eastAsia="zh-CN"/>
        </w:rPr>
        <w:t>3881.55</w:t>
      </w:r>
      <w:r>
        <w:rPr>
          <w:rFonts w:hint="eastAsia" w:ascii="仿宋_GB2312" w:eastAsia="仿宋_GB2312" w:cs="DengXian-Regular"/>
          <w:sz w:val="32"/>
          <w:szCs w:val="32"/>
        </w:rPr>
        <w:t>万元,比2017年度增加</w:t>
      </w:r>
      <w:r>
        <w:rPr>
          <w:rFonts w:hint="eastAsia" w:ascii="仿宋_GB2312" w:eastAsia="仿宋_GB2312" w:cs="DengXian-Regular"/>
          <w:sz w:val="32"/>
          <w:szCs w:val="32"/>
          <w:lang w:val="en-US" w:eastAsia="zh-CN"/>
        </w:rPr>
        <w:t>85.34</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%，主要是</w:t>
      </w:r>
      <w:r>
        <w:rPr>
          <w:rFonts w:hint="eastAsia" w:ascii="仿宋" w:hAnsi="仿宋" w:eastAsia="仿宋" w:cs="仿宋"/>
          <w:color w:val="auto"/>
          <w:sz w:val="32"/>
          <w:szCs w:val="32"/>
          <w:lang w:eastAsia="zh-CN"/>
        </w:rPr>
        <w:t>农村生活垃圾处理市场化运营</w:t>
      </w:r>
      <w:r>
        <w:rPr>
          <w:rFonts w:hint="eastAsia" w:ascii="仿宋" w:hAnsi="仿宋" w:eastAsia="仿宋" w:cs="仿宋"/>
          <w:color w:val="auto"/>
          <w:sz w:val="32"/>
          <w:szCs w:val="32"/>
        </w:rPr>
        <w:t>专项资金</w:t>
      </w:r>
      <w:r>
        <w:rPr>
          <w:rFonts w:hint="eastAsia" w:ascii="仿宋" w:hAnsi="仿宋" w:eastAsia="仿宋" w:cs="仿宋"/>
          <w:color w:val="auto"/>
          <w:sz w:val="32"/>
          <w:szCs w:val="32"/>
          <w:lang w:eastAsia="zh-CN"/>
        </w:rPr>
        <w:t>安排增加</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4188.77</w:t>
      </w:r>
      <w:r>
        <w:rPr>
          <w:rFonts w:hint="eastAsia" w:ascii="仿宋_GB2312" w:eastAsia="仿宋_GB2312" w:cs="DengXian-Regular"/>
          <w:sz w:val="32"/>
          <w:szCs w:val="32"/>
        </w:rPr>
        <w:t>万元，增加</w:t>
      </w:r>
      <w:r>
        <w:rPr>
          <w:rFonts w:hint="eastAsia" w:ascii="仿宋_GB2312" w:eastAsia="仿宋_GB2312" w:cs="DengXian-Regular"/>
          <w:sz w:val="32"/>
          <w:szCs w:val="32"/>
          <w:lang w:val="en-US" w:eastAsia="zh-CN"/>
        </w:rPr>
        <w:t>1113.94</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36</w:t>
      </w:r>
      <w:r>
        <w:rPr>
          <w:rFonts w:hint="eastAsia" w:ascii="仿宋_GB2312" w:eastAsia="仿宋_GB2312" w:cs="DengXian-Regular"/>
          <w:sz w:val="32"/>
          <w:szCs w:val="32"/>
        </w:rPr>
        <w:t>%，主要是</w:t>
      </w:r>
      <w:r>
        <w:rPr>
          <w:rFonts w:hint="eastAsia" w:ascii="仿宋" w:hAnsi="仿宋" w:eastAsia="仿宋" w:cs="仿宋"/>
          <w:color w:val="auto"/>
          <w:sz w:val="32"/>
          <w:szCs w:val="32"/>
          <w:lang w:eastAsia="zh-CN"/>
        </w:rPr>
        <w:t>农村生活垃圾处理市场化运营</w:t>
      </w:r>
      <w:r>
        <w:rPr>
          <w:rFonts w:hint="eastAsia" w:ascii="仿宋" w:hAnsi="仿宋" w:eastAsia="仿宋" w:cs="仿宋"/>
          <w:color w:val="auto"/>
          <w:sz w:val="32"/>
          <w:szCs w:val="32"/>
        </w:rPr>
        <w:t>专项资金</w:t>
      </w:r>
      <w:r>
        <w:rPr>
          <w:rFonts w:hint="eastAsia" w:ascii="仿宋" w:hAnsi="仿宋" w:eastAsia="仿宋" w:cs="仿宋"/>
          <w:color w:val="auto"/>
          <w:sz w:val="32"/>
          <w:szCs w:val="32"/>
          <w:lang w:eastAsia="zh-CN"/>
        </w:rPr>
        <w:t>支出增加</w:t>
      </w:r>
      <w:r>
        <w:rPr>
          <w:rFonts w:hint="eastAsia" w:ascii="仿宋_GB2312" w:eastAsia="仿宋_GB2312" w:cs="DengXian-Regular"/>
          <w:sz w:val="32"/>
          <w:szCs w:val="32"/>
        </w:rPr>
        <w:t>。</w:t>
      </w:r>
    </w:p>
    <w:p w14:paraId="3CA83AB4">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w:t>
      </w:r>
      <w:r>
        <w:rPr>
          <w:rFonts w:hint="eastAsia" w:ascii="仿宋_GB2312" w:eastAsia="仿宋_GB2312" w:cs="DengXian-Regular"/>
          <w:sz w:val="32"/>
          <w:szCs w:val="32"/>
          <w:lang w:val="en-US" w:eastAsia="zh-CN"/>
        </w:rPr>
        <w:t>2472.11</w:t>
      </w:r>
      <w:r>
        <w:rPr>
          <w:rFonts w:hint="eastAsia" w:ascii="仿宋_GB2312" w:eastAsia="仿宋_GB2312" w:cs="DengXian-Regular"/>
          <w:sz w:val="32"/>
          <w:szCs w:val="32"/>
        </w:rPr>
        <w:t>万元，比上年增加</w:t>
      </w:r>
      <w:r>
        <w:rPr>
          <w:rFonts w:hint="eastAsia" w:ascii="仿宋_GB2312" w:eastAsia="仿宋_GB2312" w:cs="DengXian-Regular"/>
          <w:sz w:val="32"/>
          <w:szCs w:val="32"/>
          <w:lang w:val="en-US" w:eastAsia="zh-CN"/>
        </w:rPr>
        <w:t>2040.85</w:t>
      </w:r>
      <w:r>
        <w:rPr>
          <w:rFonts w:hint="eastAsia" w:ascii="仿宋_GB2312" w:eastAsia="仿宋_GB2312" w:cs="DengXian-Regular"/>
          <w:sz w:val="32"/>
          <w:szCs w:val="32"/>
        </w:rPr>
        <w:t>万元；主要是</w:t>
      </w:r>
      <w:r>
        <w:rPr>
          <w:rFonts w:hint="eastAsia" w:ascii="仿宋" w:hAnsi="仿宋" w:eastAsia="仿宋" w:cs="仿宋"/>
          <w:color w:val="auto"/>
          <w:sz w:val="32"/>
          <w:szCs w:val="32"/>
          <w:lang w:eastAsia="zh-CN"/>
        </w:rPr>
        <w:t>农村生活垃圾处理市场化运营</w:t>
      </w:r>
      <w:r>
        <w:rPr>
          <w:rFonts w:hint="eastAsia" w:ascii="仿宋" w:hAnsi="仿宋" w:eastAsia="仿宋" w:cs="仿宋"/>
          <w:color w:val="auto"/>
          <w:sz w:val="32"/>
          <w:szCs w:val="32"/>
        </w:rPr>
        <w:t>专项资金</w:t>
      </w:r>
      <w:r>
        <w:rPr>
          <w:rFonts w:hint="eastAsia" w:ascii="仿宋_GB2312" w:eastAsia="仿宋_GB2312" w:cs="DengXian-Regular"/>
          <w:sz w:val="32"/>
          <w:szCs w:val="32"/>
        </w:rPr>
        <w:t>一般公共预算财政拨款</w:t>
      </w:r>
      <w:r>
        <w:rPr>
          <w:rFonts w:hint="eastAsia" w:ascii="仿宋" w:hAnsi="仿宋" w:eastAsia="仿宋" w:cs="仿宋"/>
          <w:color w:val="auto"/>
          <w:sz w:val="32"/>
          <w:szCs w:val="32"/>
          <w:lang w:eastAsia="zh-CN"/>
        </w:rPr>
        <w:t>预算增加</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2229.71</w:t>
      </w:r>
      <w:r>
        <w:rPr>
          <w:rFonts w:hint="eastAsia" w:ascii="仿宋_GB2312" w:eastAsia="仿宋_GB2312" w:cs="DengXian-Regular"/>
          <w:sz w:val="32"/>
          <w:szCs w:val="32"/>
        </w:rPr>
        <w:t>万元，比上年增加</w:t>
      </w:r>
      <w:r>
        <w:rPr>
          <w:rFonts w:hint="eastAsia" w:ascii="仿宋_GB2312" w:eastAsia="仿宋_GB2312" w:cs="DengXian-Regular"/>
          <w:sz w:val="32"/>
          <w:szCs w:val="32"/>
          <w:lang w:val="en-US" w:eastAsia="zh-CN"/>
        </w:rPr>
        <w:t>1997.08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858</w:t>
      </w:r>
      <w:r>
        <w:rPr>
          <w:rFonts w:hint="eastAsia" w:ascii="仿宋_GB2312" w:eastAsia="仿宋_GB2312" w:cs="DengXian-Regular"/>
          <w:sz w:val="32"/>
          <w:szCs w:val="32"/>
        </w:rPr>
        <w:t>%，主要是</w:t>
      </w:r>
      <w:r>
        <w:rPr>
          <w:rFonts w:hint="eastAsia" w:ascii="仿宋" w:hAnsi="仿宋" w:eastAsia="仿宋" w:cs="仿宋"/>
          <w:color w:val="auto"/>
          <w:sz w:val="32"/>
          <w:szCs w:val="32"/>
          <w:lang w:eastAsia="zh-CN"/>
        </w:rPr>
        <w:t>农村生活垃圾处理市场化运营</w:t>
      </w:r>
      <w:r>
        <w:rPr>
          <w:rFonts w:hint="eastAsia" w:ascii="仿宋" w:hAnsi="仿宋" w:eastAsia="仿宋" w:cs="仿宋"/>
          <w:color w:val="auto"/>
          <w:sz w:val="32"/>
          <w:szCs w:val="32"/>
        </w:rPr>
        <w:t>专项资金</w:t>
      </w:r>
      <w:r>
        <w:rPr>
          <w:rFonts w:hint="eastAsia" w:ascii="仿宋" w:hAnsi="仿宋" w:eastAsia="仿宋" w:cs="仿宋"/>
          <w:color w:val="auto"/>
          <w:sz w:val="32"/>
          <w:szCs w:val="32"/>
          <w:lang w:eastAsia="zh-CN"/>
        </w:rPr>
        <w:t>安排支出增加</w:t>
      </w:r>
      <w:r>
        <w:rPr>
          <w:rFonts w:hint="eastAsia" w:ascii="仿宋_GB2312" w:eastAsia="仿宋_GB2312" w:cs="DengXian-Regular"/>
          <w:sz w:val="32"/>
          <w:szCs w:val="32"/>
        </w:rPr>
        <w:t>。政府性基金预算财政拨款本年收入</w:t>
      </w:r>
      <w:r>
        <w:rPr>
          <w:rFonts w:hint="eastAsia" w:ascii="仿宋_GB2312" w:eastAsia="仿宋_GB2312" w:cs="DengXian-Regular"/>
          <w:sz w:val="32"/>
          <w:szCs w:val="32"/>
          <w:lang w:val="en-US" w:eastAsia="zh-CN"/>
        </w:rPr>
        <w:t>1409.43</w:t>
      </w:r>
      <w:r>
        <w:rPr>
          <w:rFonts w:hint="eastAsia" w:ascii="仿宋_GB2312" w:eastAsia="仿宋_GB2312" w:cs="DengXian-Regular"/>
          <w:sz w:val="32"/>
          <w:szCs w:val="32"/>
        </w:rPr>
        <w:t>万元，比上年减少</w:t>
      </w:r>
      <w:r>
        <w:rPr>
          <w:rFonts w:hint="eastAsia" w:ascii="仿宋_GB2312" w:eastAsia="仿宋_GB2312" w:cs="DengXian-Regular"/>
          <w:sz w:val="32"/>
          <w:szCs w:val="32"/>
          <w:lang w:val="en-US" w:eastAsia="zh-CN"/>
        </w:rPr>
        <w:t>1955.52</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58</w:t>
      </w:r>
      <w:r>
        <w:rPr>
          <w:rFonts w:hint="eastAsia" w:ascii="仿宋_GB2312" w:eastAsia="仿宋_GB2312" w:cs="DengXian-Regular"/>
          <w:sz w:val="32"/>
          <w:szCs w:val="32"/>
        </w:rPr>
        <w:t>%，主要原因是</w:t>
      </w:r>
      <w:r>
        <w:rPr>
          <w:rFonts w:hint="eastAsia" w:ascii="仿宋" w:hAnsi="仿宋" w:eastAsia="仿宋" w:cs="仿宋"/>
          <w:color w:val="auto"/>
          <w:sz w:val="32"/>
          <w:szCs w:val="32"/>
          <w:lang w:eastAsia="zh-CN"/>
        </w:rPr>
        <w:t>农村生活垃圾处理市场化运营</w:t>
      </w:r>
      <w:r>
        <w:rPr>
          <w:rFonts w:hint="eastAsia" w:ascii="仿宋" w:hAnsi="仿宋" w:eastAsia="仿宋" w:cs="仿宋"/>
          <w:color w:val="auto"/>
          <w:sz w:val="32"/>
          <w:szCs w:val="32"/>
        </w:rPr>
        <w:t>专项资金</w:t>
      </w:r>
      <w:r>
        <w:rPr>
          <w:rFonts w:hint="eastAsia" w:ascii="仿宋" w:hAnsi="仿宋" w:eastAsia="仿宋" w:cs="仿宋"/>
          <w:color w:val="auto"/>
          <w:sz w:val="32"/>
          <w:szCs w:val="32"/>
          <w:lang w:eastAsia="zh-CN"/>
        </w:rPr>
        <w:t>年初政府性基金安排减少</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1959.06</w:t>
      </w:r>
      <w:r>
        <w:rPr>
          <w:rFonts w:hint="eastAsia" w:ascii="仿宋_GB2312" w:eastAsia="仿宋_GB2312" w:cs="DengXian-Regular"/>
          <w:sz w:val="32"/>
          <w:szCs w:val="32"/>
        </w:rPr>
        <w:t>万元，比上年减少</w:t>
      </w:r>
      <w:r>
        <w:rPr>
          <w:rFonts w:hint="eastAsia" w:ascii="仿宋_GB2312" w:eastAsia="仿宋_GB2312" w:cs="DengXian-Regular"/>
          <w:sz w:val="32"/>
          <w:szCs w:val="32"/>
          <w:lang w:val="en-US" w:eastAsia="zh-CN"/>
        </w:rPr>
        <w:t>883.14</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31</w:t>
      </w:r>
      <w:r>
        <w:rPr>
          <w:rFonts w:hint="eastAsia" w:ascii="仿宋_GB2312" w:eastAsia="仿宋_GB2312" w:cs="DengXian-Regular"/>
          <w:sz w:val="32"/>
          <w:szCs w:val="32"/>
        </w:rPr>
        <w:t>%，主要是</w:t>
      </w:r>
      <w:r>
        <w:rPr>
          <w:rFonts w:hint="eastAsia" w:ascii="仿宋" w:hAnsi="仿宋" w:eastAsia="仿宋" w:cs="仿宋"/>
          <w:color w:val="auto"/>
          <w:sz w:val="32"/>
          <w:szCs w:val="32"/>
          <w:lang w:eastAsia="zh-CN"/>
        </w:rPr>
        <w:t>农村生活垃圾处理市场化运营</w:t>
      </w:r>
      <w:r>
        <w:rPr>
          <w:rFonts w:hint="eastAsia" w:ascii="仿宋" w:hAnsi="仿宋" w:eastAsia="仿宋" w:cs="仿宋"/>
          <w:color w:val="auto"/>
          <w:sz w:val="32"/>
          <w:szCs w:val="32"/>
        </w:rPr>
        <w:t>专项资金</w:t>
      </w:r>
      <w:r>
        <w:rPr>
          <w:rFonts w:hint="eastAsia" w:ascii="仿宋_GB2312" w:eastAsia="仿宋_GB2312" w:cs="DengXian-Regular"/>
          <w:sz w:val="32"/>
          <w:szCs w:val="32"/>
          <w:lang w:eastAsia="zh-CN"/>
        </w:rPr>
        <w:t>政府性基金预算减少</w:t>
      </w:r>
      <w:r>
        <w:rPr>
          <w:rFonts w:hint="eastAsia" w:ascii="仿宋_GB2312" w:eastAsia="仿宋_GB2312" w:cs="DengXian-Regular"/>
          <w:sz w:val="32"/>
          <w:szCs w:val="32"/>
        </w:rPr>
        <w:t>。</w:t>
      </w:r>
    </w:p>
    <w:p w14:paraId="151915D9">
      <w:pPr>
        <w:adjustRightInd w:val="0"/>
        <w:snapToGrid w:val="0"/>
        <w:spacing w:after="0" w:line="580" w:lineRule="exact"/>
        <w:ind w:firstLine="420" w:firstLineChars="200"/>
        <w:rPr>
          <w:rFonts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图片框 1104" o:spid="_x0000_s1053" o:spt="75" type="#_x0000_t75" style="position:absolute;left:0pt;margin-left:1.5pt;margin-top:14.2pt;height:206.25pt;width:441.75pt;z-index:251687936;mso-width-relative:page;mso-height-relative:page;" fillcolor="#FFFFFF" filled="f" o:preferrelative="t" stroked="f" coordsize="21600,21600">
            <v:path/>
            <v:fill on="f" color2="#FFFFFF" focussize="0,0"/>
            <v:stroke on="f"/>
            <v:imagedata r:id="rId10" gain="65536f" blacklevel="0f" gamma="0" o:title=""/>
            <o:lock v:ext="edit" position="f" selection="f" grouping="f" rotation="f" cropping="f" text="f" aspectratio="t"/>
          </v:shape>
        </w:pict>
      </w:r>
    </w:p>
    <w:p w14:paraId="4C50CC31">
      <w:pPr>
        <w:adjustRightInd w:val="0"/>
        <w:snapToGrid w:val="0"/>
        <w:spacing w:after="0" w:line="580" w:lineRule="exact"/>
        <w:ind w:firstLine="640" w:firstLineChars="200"/>
        <w:rPr>
          <w:rFonts w:ascii="仿宋_GB2312" w:eastAsia="仿宋_GB2312" w:cs="DengXian-Regular"/>
          <w:sz w:val="32"/>
          <w:szCs w:val="32"/>
        </w:rPr>
      </w:pPr>
    </w:p>
    <w:p w14:paraId="360DD2D4">
      <w:pPr>
        <w:adjustRightInd w:val="0"/>
        <w:snapToGrid w:val="0"/>
        <w:spacing w:after="0" w:line="580" w:lineRule="exact"/>
        <w:ind w:firstLine="640" w:firstLineChars="200"/>
        <w:rPr>
          <w:rFonts w:ascii="仿宋_GB2312" w:eastAsia="仿宋_GB2312" w:cs="DengXian-Regular"/>
          <w:sz w:val="32"/>
          <w:szCs w:val="32"/>
        </w:rPr>
      </w:pPr>
    </w:p>
    <w:p w14:paraId="778C9D95">
      <w:pPr>
        <w:adjustRightInd w:val="0"/>
        <w:snapToGrid w:val="0"/>
        <w:spacing w:after="0" w:line="580" w:lineRule="exact"/>
        <w:ind w:firstLine="640" w:firstLineChars="200"/>
        <w:rPr>
          <w:rFonts w:ascii="仿宋_GB2312" w:eastAsia="仿宋_GB2312" w:cs="DengXian-Regular"/>
          <w:sz w:val="32"/>
          <w:szCs w:val="32"/>
        </w:rPr>
      </w:pPr>
    </w:p>
    <w:p w14:paraId="34561355">
      <w:pPr>
        <w:adjustRightInd w:val="0"/>
        <w:snapToGrid w:val="0"/>
        <w:spacing w:after="0" w:line="580" w:lineRule="exact"/>
        <w:ind w:firstLine="640" w:firstLineChars="200"/>
        <w:rPr>
          <w:rFonts w:ascii="仿宋_GB2312" w:eastAsia="仿宋_GB2312" w:cs="DengXian-Regular"/>
          <w:sz w:val="32"/>
          <w:szCs w:val="32"/>
        </w:rPr>
      </w:pPr>
    </w:p>
    <w:p w14:paraId="52F40417">
      <w:pPr>
        <w:adjustRightInd w:val="0"/>
        <w:snapToGrid w:val="0"/>
        <w:spacing w:after="0" w:line="580" w:lineRule="exact"/>
        <w:ind w:firstLine="640" w:firstLineChars="200"/>
        <w:rPr>
          <w:rFonts w:ascii="仿宋_GB2312" w:eastAsia="仿宋_GB2312" w:cs="DengXian-Regular"/>
          <w:sz w:val="32"/>
          <w:szCs w:val="32"/>
        </w:rPr>
      </w:pPr>
    </w:p>
    <w:p w14:paraId="39DD209E">
      <w:pPr>
        <w:adjustRightInd w:val="0"/>
        <w:snapToGrid w:val="0"/>
        <w:spacing w:after="0" w:line="580" w:lineRule="exact"/>
        <w:ind w:firstLine="640" w:firstLineChars="200"/>
        <w:rPr>
          <w:rFonts w:ascii="仿宋_GB2312" w:eastAsia="仿宋_GB2312" w:cs="DengXian-Regular"/>
          <w:sz w:val="32"/>
          <w:szCs w:val="32"/>
        </w:rPr>
      </w:pPr>
    </w:p>
    <w:p w14:paraId="1A21D72F">
      <w:pPr>
        <w:adjustRightInd w:val="0"/>
        <w:snapToGrid w:val="0"/>
        <w:spacing w:after="0" w:line="580" w:lineRule="exact"/>
        <w:ind w:firstLine="640" w:firstLineChars="200"/>
        <w:rPr>
          <w:rFonts w:ascii="仿宋_GB2312" w:eastAsia="仿宋_GB2312" w:cs="DengXian-Regular"/>
          <w:sz w:val="32"/>
          <w:szCs w:val="32"/>
        </w:rPr>
      </w:pPr>
      <w:r>
        <w:rPr>
          <w:rFonts w:ascii="Times New Roman" w:hAnsi="Times New Roman" w:eastAsia="宋体" w:cs="Times New Roman"/>
          <w:kern w:val="2"/>
          <w:sz w:val="32"/>
          <w:szCs w:val="24"/>
          <w:lang w:val="en-US" w:eastAsia="zh-CN" w:bidi="ar-SA"/>
        </w:rPr>
        <w:pict>
          <v:shape id="_x0000_s1034" o:spid="_x0000_s1034" o:spt="202" type="#_x0000_t202" style="position:absolute;left:0pt;margin-left:53.5pt;margin-top:18.1pt;height:42.15pt;width:331.1pt;z-index:251668480;mso-width-relative:page;mso-height-relative:page;" fillcolor="#FFFFFF" filled="t" o:preferrelative="t" stroked="f" coordsize="21600,21600">
            <v:path/>
            <v:fill on="t" focussize="0,0"/>
            <v:stroke on="f"/>
            <v:imagedata gain="65536f" blacklevel="0f" gamma="0" o:title=""/>
            <o:lock v:ext="edit" position="f" selection="f" grouping="f" rotation="f" cropping="f" text="f" aspectratio="f"/>
            <v:textbox>
              <w:txbxContent>
                <w:p w14:paraId="459E79B0">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14:paraId="4BC45905">
                  <w:pPr>
                    <w:rPr>
                      <w:sz w:val="20"/>
                      <w:szCs w:val="22"/>
                    </w:rPr>
                  </w:pPr>
                </w:p>
              </w:txbxContent>
            </v:textbox>
          </v:shape>
        </w:pict>
      </w:r>
    </w:p>
    <w:p w14:paraId="0878570C">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14:paraId="778C6DB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hint="eastAsia" w:ascii="仿宋_GB2312" w:eastAsia="仿宋_GB2312" w:cs="DengXian-Regular"/>
          <w:sz w:val="32"/>
          <w:szCs w:val="32"/>
          <w:lang w:val="en-US" w:eastAsia="zh-CN"/>
        </w:rPr>
        <w:t>3881.55</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110</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351.32</w:t>
      </w:r>
      <w:r>
        <w:rPr>
          <w:rFonts w:hint="eastAsia" w:ascii="仿宋_GB2312" w:eastAsia="仿宋_GB2312" w:cs="DengXian-Regular"/>
          <w:sz w:val="32"/>
          <w:szCs w:val="32"/>
        </w:rPr>
        <w:t>万元，决算数大于预算数主要原因</w:t>
      </w:r>
      <w:r>
        <w:rPr>
          <w:rFonts w:hint="eastAsia" w:ascii="仿宋" w:hAnsi="仿宋" w:eastAsia="仿宋" w:cs="仿宋"/>
          <w:sz w:val="32"/>
          <w:szCs w:val="32"/>
        </w:rPr>
        <w:t>是</w:t>
      </w:r>
      <w:r>
        <w:rPr>
          <w:rFonts w:hint="eastAsia" w:ascii="仿宋" w:hAnsi="仿宋" w:eastAsia="仿宋" w:cs="仿宋"/>
          <w:color w:val="auto"/>
          <w:sz w:val="32"/>
          <w:szCs w:val="32"/>
          <w:lang w:eastAsia="zh-CN"/>
        </w:rPr>
        <w:t>新增农村生活垃圾市场化运营专项</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4188.77</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119</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658.54</w:t>
      </w:r>
      <w:r>
        <w:rPr>
          <w:rFonts w:hint="eastAsia" w:ascii="仿宋_GB2312" w:eastAsia="仿宋_GB2312" w:cs="DengXian-Regular"/>
          <w:sz w:val="32"/>
          <w:szCs w:val="32"/>
        </w:rPr>
        <w:t>万元，决算数大于预算数主要原因是主要是</w:t>
      </w:r>
      <w:r>
        <w:rPr>
          <w:rFonts w:hint="eastAsia" w:ascii="仿宋" w:hAnsi="仿宋" w:eastAsia="仿宋" w:cs="仿宋"/>
          <w:color w:val="auto"/>
          <w:sz w:val="32"/>
          <w:szCs w:val="32"/>
          <w:lang w:eastAsia="zh-CN"/>
        </w:rPr>
        <w:t>农村生活垃圾市场化运营专项资金支出增加</w:t>
      </w:r>
      <w:r>
        <w:rPr>
          <w:rFonts w:hint="eastAsia" w:ascii="仿宋_GB2312" w:eastAsia="仿宋_GB2312" w:cs="DengXian-Regular"/>
          <w:sz w:val="32"/>
          <w:szCs w:val="32"/>
        </w:rPr>
        <w:t>。</w:t>
      </w:r>
    </w:p>
    <w:p w14:paraId="428F400E">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其中，一般公共预算财政拨款本年收入完成年初预算</w:t>
      </w:r>
      <w:r>
        <w:rPr>
          <w:rFonts w:hint="eastAsia" w:ascii="仿宋_GB2312" w:eastAsia="仿宋_GB2312" w:cs="DengXian-Regular"/>
          <w:sz w:val="32"/>
          <w:szCs w:val="32"/>
          <w:lang w:val="en-US" w:eastAsia="zh-CN"/>
        </w:rPr>
        <w:t>376</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1814.75</w:t>
      </w:r>
      <w:r>
        <w:rPr>
          <w:rFonts w:hint="eastAsia" w:ascii="仿宋_GB2312" w:eastAsia="仿宋_GB2312" w:cs="DengXian-Regular"/>
          <w:sz w:val="32"/>
          <w:szCs w:val="32"/>
        </w:rPr>
        <w:t>万元，主要是</w:t>
      </w:r>
      <w:r>
        <w:rPr>
          <w:rFonts w:hint="eastAsia" w:ascii="仿宋_GB2312" w:eastAsia="仿宋_GB2312" w:cs="DengXian-Regular"/>
          <w:sz w:val="32"/>
          <w:szCs w:val="32"/>
          <w:lang w:eastAsia="zh-CN"/>
        </w:rPr>
        <w:t>加大了</w:t>
      </w:r>
      <w:r>
        <w:rPr>
          <w:rFonts w:hint="eastAsia" w:ascii="仿宋" w:hAnsi="仿宋" w:eastAsia="仿宋" w:cs="仿宋"/>
          <w:color w:val="auto"/>
          <w:sz w:val="32"/>
          <w:szCs w:val="32"/>
          <w:lang w:eastAsia="zh-CN"/>
        </w:rPr>
        <w:t>农村生活垃圾市场化运营专项资金</w:t>
      </w:r>
      <w:r>
        <w:rPr>
          <w:rFonts w:hint="eastAsia" w:ascii="仿宋_GB2312" w:eastAsia="仿宋_GB2312" w:cs="DengXian-Regular"/>
          <w:sz w:val="32"/>
          <w:szCs w:val="32"/>
        </w:rPr>
        <w:t>一般公共预算财政拨款</w:t>
      </w:r>
      <w:r>
        <w:rPr>
          <w:rFonts w:hint="eastAsia" w:ascii="仿宋_GB2312" w:eastAsia="仿宋_GB2312" w:cs="DengXian-Regular"/>
          <w:sz w:val="32"/>
          <w:szCs w:val="32"/>
          <w:lang w:eastAsia="zh-CN"/>
        </w:rPr>
        <w:t>的资金安排</w:t>
      </w:r>
      <w:r>
        <w:rPr>
          <w:rFonts w:hint="eastAsia" w:ascii="仿宋_GB2312" w:eastAsia="仿宋_GB2312" w:cs="DengXian-Regular"/>
          <w:sz w:val="32"/>
          <w:szCs w:val="32"/>
        </w:rPr>
        <w:t>；支出完成年初预算</w:t>
      </w:r>
      <w:r>
        <w:rPr>
          <w:rFonts w:hint="eastAsia" w:ascii="仿宋_GB2312" w:eastAsia="仿宋_GB2312" w:cs="DengXian-Regular"/>
          <w:sz w:val="32"/>
          <w:szCs w:val="32"/>
          <w:lang w:val="en-US" w:eastAsia="zh-CN"/>
        </w:rPr>
        <w:t>339</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1572.35</w:t>
      </w:r>
      <w:r>
        <w:rPr>
          <w:rFonts w:hint="eastAsia" w:ascii="仿宋_GB2312" w:eastAsia="仿宋_GB2312" w:cs="DengXian-Regular"/>
          <w:sz w:val="32"/>
          <w:szCs w:val="32"/>
        </w:rPr>
        <w:t>万元，主要是</w:t>
      </w:r>
      <w:r>
        <w:rPr>
          <w:rFonts w:hint="eastAsia" w:ascii="仿宋" w:hAnsi="仿宋" w:eastAsia="仿宋" w:cs="仿宋"/>
          <w:color w:val="auto"/>
          <w:sz w:val="32"/>
          <w:szCs w:val="32"/>
          <w:lang w:eastAsia="zh-CN"/>
        </w:rPr>
        <w:t>农村生活垃圾市场化运营专项资金</w:t>
      </w:r>
      <w:r>
        <w:rPr>
          <w:rFonts w:hint="eastAsia" w:ascii="仿宋_GB2312" w:eastAsia="仿宋_GB2312" w:cs="DengXian-Regular"/>
          <w:sz w:val="32"/>
          <w:szCs w:val="32"/>
        </w:rPr>
        <w:t>一般公共预算财政拨款</w:t>
      </w:r>
      <w:r>
        <w:rPr>
          <w:rFonts w:hint="eastAsia" w:ascii="仿宋_GB2312" w:eastAsia="仿宋_GB2312" w:cs="DengXian-Regular"/>
          <w:sz w:val="32"/>
          <w:szCs w:val="32"/>
          <w:lang w:eastAsia="zh-CN"/>
        </w:rPr>
        <w:t>的资金安排支出加大</w:t>
      </w:r>
      <w:r>
        <w:rPr>
          <w:rFonts w:hint="eastAsia" w:ascii="仿宋_GB2312" w:eastAsia="仿宋_GB2312" w:cs="DengXian-Regular"/>
          <w:sz w:val="32"/>
          <w:szCs w:val="32"/>
        </w:rPr>
        <w:t>。政府性基金预算财政拨款本年收入完成年初预算</w:t>
      </w:r>
      <w:r>
        <w:rPr>
          <w:rFonts w:hint="eastAsia" w:ascii="仿宋_GB2312" w:eastAsia="仿宋_GB2312" w:cs="DengXian-Regular"/>
          <w:sz w:val="32"/>
          <w:szCs w:val="32"/>
          <w:lang w:val="en-US" w:eastAsia="zh-CN"/>
        </w:rPr>
        <w:t>49</w:t>
      </w:r>
      <w:r>
        <w:rPr>
          <w:rFonts w:hint="eastAsia" w:ascii="仿宋_GB2312" w:eastAsia="仿宋_GB2312" w:cs="DengXian-Regular"/>
          <w:sz w:val="32"/>
          <w:szCs w:val="32"/>
        </w:rPr>
        <w:t>%，比年初预算减少</w:t>
      </w:r>
      <w:r>
        <w:rPr>
          <w:rFonts w:hint="eastAsia" w:ascii="仿宋_GB2312" w:eastAsia="仿宋_GB2312" w:cs="DengXian-Regular"/>
          <w:sz w:val="32"/>
          <w:szCs w:val="32"/>
          <w:lang w:val="en-US" w:eastAsia="zh-CN"/>
        </w:rPr>
        <w:t>1463.44</w:t>
      </w:r>
      <w:r>
        <w:rPr>
          <w:rFonts w:hint="eastAsia" w:ascii="仿宋_GB2312" w:eastAsia="仿宋_GB2312" w:cs="DengXian-Regular"/>
          <w:sz w:val="32"/>
          <w:szCs w:val="32"/>
        </w:rPr>
        <w:t>万元，主要是</w:t>
      </w:r>
      <w:r>
        <w:rPr>
          <w:rFonts w:hint="eastAsia" w:ascii="仿宋_GB2312" w:eastAsia="仿宋_GB2312" w:cs="DengXian-Regular"/>
          <w:sz w:val="32"/>
          <w:szCs w:val="32"/>
          <w:lang w:eastAsia="zh-CN"/>
        </w:rPr>
        <w:t>在安排</w:t>
      </w:r>
      <w:r>
        <w:rPr>
          <w:rFonts w:hint="eastAsia" w:ascii="仿宋" w:hAnsi="仿宋" w:eastAsia="仿宋" w:cs="仿宋"/>
          <w:color w:val="auto"/>
          <w:sz w:val="32"/>
          <w:szCs w:val="32"/>
          <w:lang w:eastAsia="zh-CN"/>
        </w:rPr>
        <w:t>农村生活垃圾市场化运营专项资金是加大了</w:t>
      </w:r>
      <w:r>
        <w:rPr>
          <w:rFonts w:hint="eastAsia" w:ascii="仿宋_GB2312" w:eastAsia="仿宋_GB2312" w:cs="DengXian-Regular"/>
          <w:sz w:val="32"/>
          <w:szCs w:val="32"/>
        </w:rPr>
        <w:t>一般公共预算财政拨款</w:t>
      </w:r>
      <w:r>
        <w:rPr>
          <w:rFonts w:hint="eastAsia" w:ascii="仿宋_GB2312" w:eastAsia="仿宋_GB2312" w:cs="DengXian-Regular"/>
          <w:sz w:val="32"/>
          <w:szCs w:val="32"/>
          <w:lang w:eastAsia="zh-CN"/>
        </w:rPr>
        <w:t>的资金的拨付</w:t>
      </w:r>
      <w:r>
        <w:rPr>
          <w:rFonts w:hint="eastAsia" w:ascii="仿宋_GB2312" w:eastAsia="仿宋_GB2312" w:cs="DengXian-Regular"/>
          <w:sz w:val="32"/>
          <w:szCs w:val="32"/>
        </w:rPr>
        <w:t>；支出完成年初预算</w:t>
      </w:r>
      <w:r>
        <w:rPr>
          <w:rFonts w:hint="eastAsia" w:ascii="仿宋_GB2312" w:eastAsia="仿宋_GB2312" w:cs="DengXian-Regular"/>
          <w:sz w:val="32"/>
          <w:szCs w:val="32"/>
          <w:lang w:val="en-US" w:eastAsia="zh-CN"/>
        </w:rPr>
        <w:t>68</w:t>
      </w:r>
      <w:r>
        <w:rPr>
          <w:rFonts w:hint="eastAsia" w:ascii="仿宋_GB2312" w:eastAsia="仿宋_GB2312" w:cs="DengXian-Regular"/>
          <w:sz w:val="32"/>
          <w:szCs w:val="32"/>
        </w:rPr>
        <w:t>%，比年初预算减少</w:t>
      </w:r>
      <w:r>
        <w:rPr>
          <w:rFonts w:hint="eastAsia" w:ascii="仿宋_GB2312" w:eastAsia="仿宋_GB2312" w:cs="DengXian-Regular"/>
          <w:sz w:val="32"/>
          <w:szCs w:val="32"/>
          <w:lang w:val="en-US" w:eastAsia="zh-CN"/>
        </w:rPr>
        <w:t>913.81</w:t>
      </w:r>
      <w:r>
        <w:rPr>
          <w:rFonts w:hint="eastAsia" w:ascii="仿宋_GB2312" w:eastAsia="仿宋_GB2312" w:cs="DengXian-Regular"/>
          <w:sz w:val="32"/>
          <w:szCs w:val="32"/>
        </w:rPr>
        <w:t>万元，主要是</w:t>
      </w:r>
      <w:r>
        <w:rPr>
          <w:rFonts w:hint="eastAsia" w:ascii="仿宋_GB2312" w:eastAsia="仿宋_GB2312" w:cs="DengXian-Regular"/>
          <w:sz w:val="32"/>
          <w:szCs w:val="32"/>
          <w:lang w:val="en-US" w:eastAsia="zh-CN"/>
        </w:rPr>
        <w:t>2018年</w:t>
      </w:r>
      <w:r>
        <w:rPr>
          <w:rFonts w:hint="eastAsia" w:ascii="仿宋_GB2312" w:eastAsia="仿宋_GB2312" w:cs="DengXian-Regular"/>
          <w:sz w:val="32"/>
          <w:szCs w:val="32"/>
          <w:lang w:eastAsia="zh-CN"/>
        </w:rPr>
        <w:t>减少了</w:t>
      </w:r>
      <w:r>
        <w:rPr>
          <w:rFonts w:hint="eastAsia" w:ascii="仿宋" w:hAnsi="仿宋" w:eastAsia="仿宋" w:cs="仿宋"/>
          <w:color w:val="auto"/>
          <w:sz w:val="32"/>
          <w:szCs w:val="32"/>
          <w:lang w:eastAsia="zh-CN"/>
        </w:rPr>
        <w:t>农村生活垃圾市场化运营专项资金</w:t>
      </w:r>
      <w:r>
        <w:rPr>
          <w:rFonts w:hint="eastAsia" w:ascii="仿宋_GB2312" w:eastAsia="仿宋_GB2312" w:cs="DengXian-Regular"/>
          <w:sz w:val="32"/>
          <w:szCs w:val="32"/>
          <w:lang w:eastAsia="zh-CN"/>
        </w:rPr>
        <w:t>政府性基金</w:t>
      </w:r>
      <w:r>
        <w:rPr>
          <w:rFonts w:hint="eastAsia" w:ascii="仿宋_GB2312" w:eastAsia="仿宋_GB2312" w:cs="DengXian-Regular"/>
          <w:sz w:val="32"/>
          <w:szCs w:val="32"/>
        </w:rPr>
        <w:t>拨</w:t>
      </w:r>
      <w:r>
        <w:rPr>
          <w:rFonts w:hint="eastAsia" w:ascii="仿宋_GB2312" w:eastAsia="仿宋_GB2312" w:cs="DengXian-Regular"/>
          <w:sz w:val="32"/>
          <w:szCs w:val="32"/>
          <w:lang w:eastAsia="zh-CN"/>
        </w:rPr>
        <w:t>付</w:t>
      </w:r>
      <w:r>
        <w:rPr>
          <w:rFonts w:hint="eastAsia" w:ascii="仿宋_GB2312" w:eastAsia="仿宋_GB2312" w:cs="DengXian-Regular"/>
          <w:sz w:val="32"/>
          <w:szCs w:val="32"/>
        </w:rPr>
        <w:t>。</w:t>
      </w:r>
    </w:p>
    <w:p w14:paraId="7E10263F">
      <w:pPr>
        <w:adjustRightInd w:val="0"/>
        <w:snapToGrid w:val="0"/>
        <w:spacing w:after="0" w:line="580" w:lineRule="exact"/>
        <w:ind w:firstLine="420" w:firstLineChars="200"/>
        <w:rPr>
          <w:rFonts w:ascii="仿宋_GB2312" w:eastAsia="仿宋_GB2312" w:cs="DengXian-Regular"/>
          <w:sz w:val="32"/>
          <w:szCs w:val="32"/>
          <w:highlight w:val="yellow"/>
        </w:rPr>
      </w:pPr>
      <w:r>
        <w:rPr>
          <w:rFonts w:ascii="Times New Roman" w:hAnsi="Times New Roman" w:eastAsia="宋体" w:cs="Times New Roman"/>
          <w:kern w:val="2"/>
          <w:sz w:val="21"/>
          <w:szCs w:val="24"/>
          <w:lang w:val="en-US" w:eastAsia="zh-CN" w:bidi="ar-SA"/>
        </w:rPr>
        <w:pict>
          <v:shape id="图片框 1105" o:spid="_x0000_s1054" o:spt="75" type="#_x0000_t75" style="position:absolute;left:0pt;margin-left:16.55pt;margin-top:8.3pt;height:187.9pt;width:402.45pt;z-index:251688960;mso-width-relative:page;mso-height-relative:page;" fillcolor="#FFFFFF" filled="f" o:preferrelative="t" stroked="f" coordsize="21600,21600">
            <v:path/>
            <v:fill on="f" color2="#FFFFFF" focussize="0,0"/>
            <v:stroke on="f"/>
            <v:imagedata r:id="rId11" gain="65536f" blacklevel="0f" gamma="0" o:title=""/>
            <o:lock v:ext="edit" position="f" selection="f" grouping="f" rotation="f" cropping="f" text="f" aspectratio="t"/>
          </v:shape>
        </w:pict>
      </w:r>
    </w:p>
    <w:p w14:paraId="6001CA40">
      <w:pPr>
        <w:adjustRightInd w:val="0"/>
        <w:snapToGrid w:val="0"/>
        <w:spacing w:after="0" w:line="580" w:lineRule="exact"/>
        <w:ind w:firstLine="640" w:firstLineChars="200"/>
        <w:rPr>
          <w:rFonts w:ascii="仿宋_GB2312" w:eastAsia="仿宋_GB2312" w:cs="DengXian-Regular"/>
          <w:sz w:val="32"/>
          <w:szCs w:val="32"/>
          <w:highlight w:val="yellow"/>
        </w:rPr>
      </w:pPr>
    </w:p>
    <w:p w14:paraId="1C7F18D1">
      <w:pPr>
        <w:adjustRightInd w:val="0"/>
        <w:snapToGrid w:val="0"/>
        <w:spacing w:after="0" w:line="580" w:lineRule="exact"/>
        <w:ind w:firstLine="640" w:firstLineChars="200"/>
        <w:rPr>
          <w:rFonts w:ascii="仿宋_GB2312" w:eastAsia="仿宋_GB2312" w:cs="DengXian-Regular"/>
          <w:sz w:val="32"/>
          <w:szCs w:val="32"/>
          <w:highlight w:val="yellow"/>
        </w:rPr>
      </w:pPr>
    </w:p>
    <w:p w14:paraId="129ED883">
      <w:pPr>
        <w:adjustRightInd w:val="0"/>
        <w:snapToGrid w:val="0"/>
        <w:spacing w:after="0" w:line="580" w:lineRule="exact"/>
        <w:ind w:firstLine="640" w:firstLineChars="200"/>
        <w:rPr>
          <w:rFonts w:ascii="仿宋_GB2312" w:eastAsia="仿宋_GB2312" w:cs="DengXian-Regular"/>
          <w:sz w:val="32"/>
          <w:szCs w:val="32"/>
          <w:highlight w:val="yellow"/>
        </w:rPr>
      </w:pPr>
    </w:p>
    <w:p w14:paraId="1D97DAD6">
      <w:pPr>
        <w:adjustRightInd w:val="0"/>
        <w:snapToGrid w:val="0"/>
        <w:spacing w:after="0" w:line="580" w:lineRule="exact"/>
        <w:ind w:firstLine="640" w:firstLineChars="200"/>
        <w:rPr>
          <w:rFonts w:ascii="仿宋_GB2312" w:eastAsia="仿宋_GB2312" w:cs="DengXian-Regular"/>
          <w:sz w:val="32"/>
          <w:szCs w:val="32"/>
          <w:highlight w:val="yellow"/>
        </w:rPr>
      </w:pPr>
    </w:p>
    <w:p w14:paraId="2C21720A">
      <w:pPr>
        <w:adjustRightInd w:val="0"/>
        <w:snapToGrid w:val="0"/>
        <w:spacing w:after="0" w:line="580" w:lineRule="exact"/>
        <w:ind w:firstLine="640" w:firstLineChars="200"/>
        <w:rPr>
          <w:rFonts w:ascii="仿宋_GB2312" w:eastAsia="仿宋_GB2312" w:cs="DengXian-Regular"/>
          <w:sz w:val="32"/>
          <w:szCs w:val="32"/>
          <w:highlight w:val="yellow"/>
        </w:rPr>
      </w:pPr>
    </w:p>
    <w:p w14:paraId="2DDFED20">
      <w:pPr>
        <w:adjustRightInd w:val="0"/>
        <w:snapToGrid w:val="0"/>
        <w:spacing w:after="0" w:line="580" w:lineRule="exact"/>
        <w:ind w:firstLine="640" w:firstLineChars="200"/>
        <w:rPr>
          <w:rFonts w:ascii="仿宋_GB2312" w:eastAsia="仿宋_GB2312" w:cs="DengXian-Regular"/>
          <w:sz w:val="32"/>
          <w:szCs w:val="32"/>
          <w:highlight w:val="yellow"/>
        </w:rPr>
      </w:pPr>
      <w:r>
        <w:rPr>
          <w:rFonts w:ascii="Times New Roman" w:hAnsi="Times New Roman" w:eastAsia="宋体" w:cs="Times New Roman"/>
          <w:kern w:val="2"/>
          <w:sz w:val="32"/>
          <w:szCs w:val="24"/>
          <w:lang w:val="en-US" w:eastAsia="zh-CN" w:bidi="ar-SA"/>
        </w:rPr>
        <w:pict>
          <v:shape id="文本框 28" o:spid="_x0000_s1035" o:spt="202" type="#_x0000_t202" style="position:absolute;left:0pt;margin-left:42.95pt;margin-top:24.65pt;height:38.95pt;width:343.1pt;z-index:251669504;mso-width-relative:page;mso-height-relative:page;" fillcolor="#FFFFFF" filled="t" o:preferrelative="t" stroked="f" coordsize="21600,21600">
            <v:path/>
            <v:fill on="t" focussize="0,0"/>
            <v:stroke on="f"/>
            <v:imagedata gain="65536f" blacklevel="0f" gamma="0" o:title=""/>
            <o:lock v:ext="edit" position="f" selection="f" grouping="f" rotation="f" cropping="f" text="f" aspectratio="f"/>
            <v:textbox>
              <w:txbxContent>
                <w:p w14:paraId="0EF8F575">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14:paraId="38C48D96">
                  <w:pPr>
                    <w:rPr>
                      <w:sz w:val="18"/>
                      <w:szCs w:val="21"/>
                    </w:rPr>
                  </w:pPr>
                </w:p>
              </w:txbxContent>
            </v:textbox>
          </v:shape>
        </w:pict>
      </w:r>
    </w:p>
    <w:p w14:paraId="3B97AE27">
      <w:pPr>
        <w:adjustRightInd w:val="0"/>
        <w:snapToGrid w:val="0"/>
        <w:spacing w:after="0" w:line="580" w:lineRule="exact"/>
        <w:ind w:firstLine="640" w:firstLineChars="200"/>
        <w:rPr>
          <w:rFonts w:ascii="仿宋_GB2312" w:eastAsia="仿宋_GB2312" w:cs="DengXian-Regular"/>
          <w:sz w:val="32"/>
          <w:szCs w:val="32"/>
          <w:highlight w:val="yellow"/>
        </w:rPr>
      </w:pPr>
    </w:p>
    <w:p w14:paraId="7D6EA70A">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14:paraId="217C8FC2">
      <w:pPr>
        <w:numPr>
          <w:ilvl w:val="0"/>
          <w:numId w:val="0"/>
        </w:numPr>
        <w:adjustRightInd w:val="0"/>
        <w:snapToGrid w:val="0"/>
        <w:spacing w:after="0" w:line="580" w:lineRule="exact"/>
        <w:rPr>
          <w:rFonts w:ascii="楷体_GB2312" w:eastAsia="楷体_GB2312" w:cs="DengXian-Bold"/>
          <w:b/>
          <w:bCs/>
          <w:sz w:val="32"/>
          <w:szCs w:val="32"/>
        </w:rPr>
      </w:pPr>
      <w:r>
        <w:rPr>
          <w:rFonts w:hint="eastAsia" w:ascii="仿宋_GB2312" w:eastAsia="仿宋_GB2312" w:cs="DengXian-Regular"/>
          <w:sz w:val="32"/>
          <w:szCs w:val="32"/>
          <w:lang w:val="en-US" w:eastAsia="zh-CN"/>
        </w:rPr>
        <w:t xml:space="preserve">    </w:t>
      </w: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4188.77</w:t>
      </w:r>
      <w:r>
        <w:rPr>
          <w:rFonts w:hint="eastAsia" w:ascii="仿宋_GB2312" w:eastAsia="仿宋_GB2312" w:cs="DengXian-Regular"/>
          <w:sz w:val="32"/>
          <w:szCs w:val="32"/>
        </w:rPr>
        <w:t>万元，主要用于以下</w:t>
      </w:r>
      <w:r>
        <w:rPr>
          <w:rFonts w:hint="eastAsia" w:ascii="仿宋_GB2312" w:eastAsia="仿宋_GB2312" w:cs="DengXian-Regular"/>
          <w:sz w:val="32"/>
          <w:szCs w:val="32"/>
          <w:highlight w:val="none"/>
        </w:rPr>
        <w:t>方面：</w:t>
      </w:r>
      <w:r>
        <w:rPr>
          <w:rFonts w:hint="eastAsia" w:ascii="仿宋_GB2312" w:eastAsia="仿宋_GB2312" w:cs="DengXian-Regular"/>
          <w:sz w:val="32"/>
          <w:szCs w:val="32"/>
        </w:rPr>
        <w:t>一般公共服务（类）支出</w:t>
      </w:r>
      <w:r>
        <w:rPr>
          <w:rFonts w:hint="eastAsia" w:ascii="仿宋_GB2312" w:eastAsia="仿宋_GB2312" w:cs="DengXian-Regular"/>
          <w:sz w:val="32"/>
          <w:szCs w:val="32"/>
          <w:lang w:val="en-US" w:eastAsia="zh-CN"/>
        </w:rPr>
        <w:t>4188.77</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w:t>
      </w:r>
    </w:p>
    <w:p w14:paraId="607B21C1">
      <w:pPr>
        <w:adjustRightInd w:val="0"/>
        <w:snapToGrid w:val="0"/>
        <w:spacing w:after="0" w:line="580" w:lineRule="exact"/>
        <w:ind w:firstLine="420" w:firstLineChars="200"/>
        <w:rPr>
          <w:rFonts w:hint="eastAsia" w:ascii="楷体_GB2312" w:eastAsia="楷体_GB2312" w:cs="DengXian-Bold"/>
          <w:b/>
          <w:bCs/>
          <w:sz w:val="32"/>
          <w:szCs w:val="32"/>
        </w:rPr>
      </w:pPr>
      <w:r>
        <w:rPr>
          <w:rFonts w:ascii="Times New Roman" w:hAnsi="Times New Roman" w:eastAsia="宋体" w:cs="Times New Roman"/>
          <w:kern w:val="2"/>
          <w:sz w:val="21"/>
          <w:szCs w:val="24"/>
          <w:lang w:val="en-US" w:eastAsia="zh-CN" w:bidi="ar-SA"/>
        </w:rPr>
        <w:pict>
          <v:shape id="图片框 1098" o:spid="_x0000_s1055" o:spt="75" type="#_x0000_t75" style="position:absolute;left:0pt;margin-left:6.05pt;margin-top:10.15pt;height:303.35pt;width:442.05pt;mso-wrap-distance-bottom:0pt;mso-wrap-distance-top:0pt;z-index:251689984;mso-width-relative:page;mso-height-relative:page;" fillcolor="#FFFFFF" filled="f" o:preferrelative="t" stroked="f" coordsize="21600,21600">
            <v:path/>
            <v:fill on="f" color2="#FFFFFF" focussize="0,0"/>
            <v:stroke on="f"/>
            <v:imagedata r:id="rId12" gain="65536f" blacklevel="0f" gamma="0" o:title=""/>
            <o:lock v:ext="edit" position="f" selection="f" grouping="f" rotation="f" cropping="f" text="f" aspectratio="t"/>
            <w10:wrap type="topAndBottom"/>
          </v:shape>
        </w:pict>
      </w:r>
    </w:p>
    <w:p w14:paraId="0EB10A7D">
      <w:pPr>
        <w:adjustRightInd w:val="0"/>
        <w:snapToGrid w:val="0"/>
        <w:spacing w:after="0" w:line="580" w:lineRule="exact"/>
        <w:ind w:left="420" w:leftChars="200"/>
        <w:rPr>
          <w:rFonts w:ascii="楷体_GB2312" w:eastAsia="楷体_GB2312" w:cs="DengXian-Bold"/>
          <w:b/>
          <w:bCs/>
          <w:sz w:val="32"/>
          <w:szCs w:val="32"/>
        </w:rPr>
      </w:pPr>
      <w:r>
        <w:rPr>
          <w:rFonts w:ascii="Times New Roman" w:hAnsi="Times New Roman" w:eastAsia="宋体" w:cs="Times New Roman"/>
          <w:kern w:val="2"/>
          <w:sz w:val="44"/>
          <w:szCs w:val="24"/>
          <w:lang w:val="en-US" w:eastAsia="zh-CN" w:bidi="ar-SA"/>
        </w:rPr>
        <w:pict>
          <v:group id="组合 1056" o:spid="_x0000_s1046" o:spt="203" style="position:absolute;left:0pt;margin-left:0pt;margin-top:29.3pt;height:43.95pt;width:301.85pt;mso-position-horizontal-relative:page;mso-position-vertical-relative:page;z-index:251680768;mso-width-relative:page;mso-height-relative:page;" coordorigin="4551,52615" coordsize="8546,1398">
            <o:lock v:ext="edit" position="f" selection="f" grouping="f" rotation="f" cropping="f" text="f" aspectratio="f"/>
            <v:rect id="矩形 13" o:spid="_x0000_s1067"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68" o:spt="1" style="position:absolute;left:4577;top:52890;height:1123;width:8324;v-text-anchor:middle;" fillcolor="#AD002D" filled="t" o:preferrelative="t" stroked="t" coordsize="21600,21600">
              <v:path/>
              <v:fill on="t" focussize="0,0"/>
              <v:stroke color="#B0761F" color2="#FFFFFF" miterlimit="2"/>
              <v:imagedata gain="65536f" blacklevel="0f" gamma="0" o:title=""/>
              <o:lock v:ext="edit" position="f" selection="f" grouping="f" rotation="f" cropping="f" text="f" aspectratio="f"/>
              <v:textbox>
                <w:txbxContent>
                  <w:p w14:paraId="27B0A8E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253FA9BB">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p>
    <w:p w14:paraId="0649594B">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_GB2312" w:eastAsia="仿宋_GB2312" w:cs="DengXian-Regular"/>
          <w:sz w:val="32"/>
          <w:szCs w:val="32"/>
          <w:lang w:val="en-US" w:eastAsia="zh-CN"/>
        </w:rPr>
        <w:t>177.52</w:t>
      </w:r>
      <w:r>
        <w:rPr>
          <w:rFonts w:hint="eastAsia" w:ascii="仿宋_GB2312" w:eastAsia="仿宋_GB2312" w:cs="DengXian-Regular"/>
          <w:sz w:val="32"/>
          <w:szCs w:val="32"/>
        </w:rPr>
        <w:t>万元，其中：人员经费</w:t>
      </w:r>
      <w:r>
        <w:rPr>
          <w:rFonts w:hint="eastAsia" w:ascii="仿宋_GB2312" w:eastAsia="仿宋_GB2312" w:cs="DengXian-Regular"/>
          <w:sz w:val="32"/>
          <w:szCs w:val="32"/>
          <w:lang w:val="en-US" w:eastAsia="zh-CN"/>
        </w:rPr>
        <w:t>149.53</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eastAsia="仿宋_GB2312" w:cs="DengXian-Regular"/>
          <w:sz w:val="32"/>
          <w:szCs w:val="32"/>
          <w:lang w:val="en-US" w:eastAsia="zh-CN"/>
        </w:rPr>
        <w:t>27.99</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0408A728">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14:paraId="300FE4B2">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“三公”经费支出共计万元，</w:t>
      </w:r>
      <w:r>
        <w:rPr>
          <w:rFonts w:hint="eastAsia" w:ascii="仿宋_GB2312" w:eastAsia="仿宋_GB2312" w:cs="DengXian-Regular"/>
          <w:b/>
          <w:bCs/>
          <w:sz w:val="32"/>
          <w:szCs w:val="32"/>
        </w:rPr>
        <w:t>较年初预算增加</w:t>
      </w:r>
      <w:r>
        <w:rPr>
          <w:rFonts w:hint="eastAsia" w:ascii="仿宋_GB2312" w:eastAsia="仿宋_GB2312" w:cs="DengXian-Regular"/>
          <w:b/>
          <w:bCs/>
          <w:sz w:val="32"/>
          <w:szCs w:val="32"/>
          <w:lang w:val="en-US" w:eastAsia="zh-CN"/>
        </w:rPr>
        <w:t>0</w:t>
      </w:r>
      <w:r>
        <w:rPr>
          <w:rFonts w:hint="eastAsia" w:ascii="仿宋_GB2312" w:eastAsia="仿宋_GB2312" w:cs="DengXian-Regular"/>
          <w:b/>
          <w:bCs/>
          <w:sz w:val="32"/>
          <w:szCs w:val="32"/>
        </w:rPr>
        <w:t>万元，增长</w:t>
      </w:r>
      <w:r>
        <w:rPr>
          <w:rFonts w:hint="eastAsia" w:ascii="仿宋_GB2312" w:eastAsia="仿宋_GB2312" w:cs="DengXian-Regular"/>
          <w:b/>
          <w:bCs/>
          <w:sz w:val="32"/>
          <w:szCs w:val="32"/>
          <w:lang w:val="en-US" w:eastAsia="zh-CN"/>
        </w:rPr>
        <w:t>0</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精神和厉行节约要求，从严控制“三公”经费开支，全年实际支出比预算有所节约。具体情况如下：</w:t>
      </w:r>
    </w:p>
    <w:p w14:paraId="1D24766F">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rFonts w:ascii="Times New Roman" w:hAnsi="Times New Roman" w:eastAsia="宋体" w:cs="Times New Roman"/>
          <w:kern w:val="2"/>
          <w:sz w:val="44"/>
          <w:szCs w:val="24"/>
          <w:lang w:val="en-US" w:eastAsia="zh-CN" w:bidi="ar-SA"/>
        </w:rPr>
        <w:pict>
          <v:group id="组合 1059" o:spid="_x0000_s1047" o:spt="203" style="position:absolute;left:0pt;margin-left:0pt;margin-top:29.3pt;height:43.95pt;width:301.85pt;mso-position-horizontal-relative:page;mso-position-vertical-relative:page;z-index:251681792;mso-width-relative:page;mso-height-relative:page;" coordorigin="4551,52615" coordsize="8546,1398">
            <o:lock v:ext="edit" position="f" selection="f" grouping="f" rotation="f" cropping="f" text="f" aspectratio="f"/>
            <v:rect id="矩形 13" o:spid="_x0000_s1069"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70" o:spt="1" style="position:absolute;left:4577;top:52890;height:1123;width:8324;v-text-anchor:middle;" fillcolor="#AD002D" filled="t" o:preferrelative="t" stroked="t" coordsize="21600,21600">
              <v:path/>
              <v:fill on="t" focussize="0,0"/>
              <v:stroke color="#B0761F" color2="#FFFFFF" miterlimit="2"/>
              <v:imagedata gain="65536f" blacklevel="0f" gamma="0" o:title=""/>
              <o:lock v:ext="edit" position="f" selection="f" grouping="f" rotation="f" cropping="f" text="f" aspectratio="f"/>
              <v:textbox>
                <w:txbxContent>
                  <w:p w14:paraId="3412628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1CB6986">
                    <w:pPr>
                      <w:jc w:val="center"/>
                    </w:pPr>
                  </w:p>
                </w:txbxContent>
              </v:textbox>
            </v:rect>
            <w10:anchorlock/>
          </v:group>
        </w:pic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人/无本单位组织的出国（境）团组。因公出国（境）费支出较年初预算增加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w:t>
      </w:r>
    </w:p>
    <w:p w14:paraId="1A22C859">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14:paraId="08CD903B">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万元。公务用车购置费支出较年初预算增加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%,主要是未发生公务用车购置。</w:t>
      </w:r>
    </w:p>
    <w:p w14:paraId="37614E34">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辆。公车运行维护费支出较年初预算增加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w:t>
      </w:r>
    </w:p>
    <w:p w14:paraId="29740511">
      <w:pPr>
        <w:numPr>
          <w:ilvl w:val="0"/>
          <w:numId w:val="2"/>
        </w:numPr>
        <w:adjustRightInd w:val="0"/>
        <w:snapToGrid w:val="0"/>
        <w:spacing w:after="0" w:line="580" w:lineRule="exact"/>
        <w:ind w:firstLine="643" w:firstLineChars="200"/>
        <w:rPr>
          <w:rFonts w:hint="eastAsia" w:ascii="仿宋_GB2312" w:eastAsia="仿宋_GB2312" w:cs="DengXian-Regular"/>
          <w:sz w:val="32"/>
          <w:szCs w:val="32"/>
        </w:rPr>
      </w:pPr>
      <w:r>
        <w:rPr>
          <w:rFonts w:hint="eastAsia" w:ascii="楷体_GB2312" w:eastAsia="楷体_GB2312" w:cs="DengXian-Bold"/>
          <w:b/>
          <w:bCs/>
          <w:sz w:val="32"/>
          <w:szCs w:val="32"/>
        </w:rPr>
        <w:t>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ascii="Times New Roman" w:hAnsi="Times New Roman" w:eastAsia="宋体" w:cs="Times New Roman"/>
          <w:kern w:val="2"/>
          <w:sz w:val="44"/>
          <w:szCs w:val="24"/>
          <w:lang w:val="en-US" w:eastAsia="zh-CN" w:bidi="ar-SA"/>
        </w:rPr>
        <w:pict>
          <v:group id="组合 1062" o:spid="_x0000_s1048" o:spt="203" style="position:absolute;left:0pt;margin-left:0pt;margin-top:29.3pt;height:43.95pt;width:301.85pt;mso-position-horizontal-relative:page;mso-position-vertical-relative:page;z-index:251682816;mso-width-relative:page;mso-height-relative:page;" coordorigin="4551,52615" coordsize="8546,1398">
            <o:lock v:ext="edit" position="f" selection="f" grouping="f" rotation="f" cropping="f" text="f" aspectratio="f"/>
            <v:rect id="矩形 13" o:spid="_x0000_s1071"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72" o:spt="1" style="position:absolute;left:4577;top:52890;height:1123;width:8324;v-text-anchor:middle;" fillcolor="#AD002D" filled="t" o:preferrelative="t" stroked="t" coordsize="21600,21600">
              <v:path/>
              <v:fill on="t" focussize="0,0"/>
              <v:stroke color="#B0761F" color2="#FFFFFF" miterlimit="2"/>
              <v:imagedata gain="65536f" blacklevel="0f" gamma="0" o:title=""/>
              <o:lock v:ext="edit" position="f" selection="f" grouping="f" rotation="f" cropping="f" text="f" aspectratio="f"/>
              <v:textbox>
                <w:txbxContent>
                  <w:p w14:paraId="2431AF7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B184320">
                    <w:pPr>
                      <w:jc w:val="center"/>
                    </w:pPr>
                  </w:p>
                </w:txbxContent>
              </v:textbox>
            </v:rect>
            <w10:anchorlock/>
          </v:group>
        </w:pict>
      </w:r>
      <w:r>
        <w:rPr>
          <w:rFonts w:hint="eastAsia" w:ascii="仿宋_GB2312" w:eastAsia="仿宋_GB2312" w:cs="DengXian-Regular"/>
          <w:sz w:val="32"/>
          <w:szCs w:val="32"/>
        </w:rPr>
        <w:t>本部门2018年度公务接待共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人次。公务接待费支出较年初预算增加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w:t>
      </w:r>
      <w:r>
        <w:rPr>
          <w:rFonts w:hint="eastAsia" w:ascii="仿宋_GB2312" w:eastAsia="仿宋_GB2312" w:cs="DengXian-Regular"/>
          <w:sz w:val="32"/>
          <w:szCs w:val="32"/>
          <w:lang w:eastAsia="zh-CN"/>
        </w:rPr>
        <w:t>，</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w:t>
      </w:r>
    </w:p>
    <w:p w14:paraId="6F5C2912">
      <w:pPr>
        <w:pStyle w:val="3"/>
        <w:widowControl w:val="0"/>
        <w:wordWrap/>
        <w:spacing w:before="0" w:after="0" w:line="360" w:lineRule="auto"/>
        <w:ind w:left="0" w:leftChars="0" w:right="0" w:firstLine="643" w:firstLineChars="200"/>
        <w:jc w:val="both"/>
        <w:textAlignment w:val="auto"/>
        <w:rPr>
          <w:rFonts w:ascii="黑体" w:eastAsia="黑体" w:cs="Times New Roman"/>
          <w:shd w:val="pct10" w:color="auto" w:fill="FFFFFF"/>
        </w:rPr>
      </w:pPr>
      <w:r>
        <w:rPr>
          <w:rFonts w:hint="eastAsia" w:ascii="仿宋_GB2312" w:eastAsia="仿宋_GB2312" w:cs="DengXian-Regular"/>
          <w:sz w:val="32"/>
          <w:szCs w:val="32"/>
          <w:lang w:val="en-US" w:eastAsia="zh-CN"/>
        </w:rPr>
        <w:t xml:space="preserve"> </w:t>
      </w:r>
      <w:r>
        <w:rPr>
          <w:rFonts w:hint="eastAsia" w:ascii="黑体" w:eastAsia="黑体"/>
          <w:szCs w:val="40"/>
        </w:rPr>
        <w:t>六、</w:t>
      </w:r>
      <w:r>
        <w:rPr>
          <w:rFonts w:hint="eastAsia" w:ascii="黑体" w:eastAsia="黑体" w:cs="Times New Roman"/>
          <w:shd w:val="clear" w:color="auto" w:fill="auto"/>
        </w:rPr>
        <w:t>绩效预算情况说明</w:t>
      </w:r>
    </w:p>
    <w:p w14:paraId="1978C98F">
      <w:pPr>
        <w:widowControl w:val="0"/>
        <w:wordWrap/>
        <w:adjustRightInd w:val="0"/>
        <w:snapToGrid w:val="0"/>
        <w:spacing w:before="0" w:after="0" w:line="360" w:lineRule="auto"/>
        <w:ind w:left="0" w:leftChars="0" w:right="0" w:firstLine="640" w:firstLineChars="200"/>
        <w:jc w:val="both"/>
        <w:textAlignment w:val="auto"/>
        <w:rPr>
          <w:rFonts w:ascii="仿宋_GB2312" w:eastAsia="仿宋_GB2312" w:cs="DengXian-Regular"/>
          <w:color w:val="FF0000"/>
          <w:sz w:val="32"/>
          <w:szCs w:val="32"/>
          <w:shd w:val="clear" w:color="auto" w:fill="auto"/>
        </w:rPr>
      </w:pPr>
      <w:r>
        <w:rPr>
          <w:rFonts w:hint="eastAsia" w:ascii="仿宋_GB2312" w:eastAsia="仿宋_GB2312" w:cs="DengXian-Regular"/>
          <w:sz w:val="32"/>
          <w:szCs w:val="32"/>
          <w:shd w:val="clear" w:color="auto" w:fill="auto"/>
        </w:rPr>
        <w:t>（一）绩效管理工作开展情况。根据《</w:t>
      </w:r>
      <w:r>
        <w:rPr>
          <w:rFonts w:hint="eastAsia" w:ascii="仿宋_GB2312" w:eastAsia="仿宋_GB2312" w:cs="DengXian-Regular"/>
          <w:sz w:val="32"/>
          <w:szCs w:val="32"/>
          <w:shd w:val="clear" w:color="auto" w:fill="auto"/>
          <w:lang w:eastAsia="zh-CN"/>
        </w:rPr>
        <w:t>藁城区</w:t>
      </w:r>
      <w:r>
        <w:rPr>
          <w:rFonts w:hint="eastAsia" w:ascii="仿宋_GB2312" w:eastAsia="仿宋_GB2312" w:cs="DengXian-Regular"/>
          <w:sz w:val="32"/>
          <w:szCs w:val="32"/>
          <w:shd w:val="clear" w:color="auto" w:fill="auto"/>
        </w:rPr>
        <w:t>关于开展财政专项资金部门绩效自评价</w:t>
      </w:r>
      <w:r>
        <w:rPr>
          <w:rFonts w:hint="eastAsia" w:ascii="仿宋_GB2312" w:eastAsia="仿宋_GB2312" w:cs="DengXian-Regular"/>
          <w:sz w:val="32"/>
          <w:szCs w:val="32"/>
          <w:shd w:val="clear" w:color="auto" w:fill="auto"/>
          <w:lang w:eastAsia="zh-CN"/>
        </w:rPr>
        <w:t>及财政重点绩效评价的工作方案</w:t>
      </w:r>
      <w:r>
        <w:rPr>
          <w:rFonts w:hint="eastAsia" w:ascii="仿宋_GB2312" w:eastAsia="仿宋_GB2312" w:cs="DengXian-Regular"/>
          <w:sz w:val="32"/>
          <w:szCs w:val="32"/>
          <w:shd w:val="clear" w:color="auto" w:fill="auto"/>
        </w:rPr>
        <w:t>》（</w:t>
      </w:r>
      <w:r>
        <w:rPr>
          <w:rFonts w:hint="eastAsia" w:ascii="仿宋_GB2312" w:eastAsia="仿宋_GB2312" w:cs="DengXian-Regular"/>
          <w:sz w:val="32"/>
          <w:szCs w:val="32"/>
          <w:shd w:val="clear" w:color="auto" w:fill="auto"/>
          <w:lang w:eastAsia="zh-CN"/>
        </w:rPr>
        <w:t>藁财字</w:t>
      </w:r>
      <w:r>
        <w:rPr>
          <w:rFonts w:hint="eastAsia" w:ascii="宋体" w:hAnsi="宋体" w:cs="宋体"/>
          <w:sz w:val="32"/>
          <w:szCs w:val="32"/>
          <w:shd w:val="clear" w:color="auto" w:fill="auto"/>
        </w:rPr>
        <w:t>﹝2019〕</w:t>
      </w:r>
      <w:r>
        <w:rPr>
          <w:rFonts w:hint="eastAsia" w:ascii="仿宋_GB2312" w:eastAsia="仿宋_GB2312" w:cs="DengXian-Regular"/>
          <w:sz w:val="32"/>
          <w:szCs w:val="32"/>
          <w:shd w:val="clear" w:color="auto" w:fill="auto"/>
        </w:rPr>
        <w:t>1</w:t>
      </w:r>
      <w:r>
        <w:rPr>
          <w:rFonts w:hint="eastAsia" w:ascii="仿宋_GB2312" w:eastAsia="仿宋_GB2312" w:cs="DengXian-Regular"/>
          <w:sz w:val="32"/>
          <w:szCs w:val="32"/>
          <w:shd w:val="clear" w:color="auto" w:fill="auto"/>
          <w:lang w:val="en-US" w:eastAsia="zh-CN"/>
        </w:rPr>
        <w:t>9</w:t>
      </w:r>
      <w:r>
        <w:rPr>
          <w:rFonts w:hint="eastAsia" w:ascii="仿宋_GB2312" w:eastAsia="仿宋_GB2312" w:cs="DengXian-Regular"/>
          <w:sz w:val="32"/>
          <w:szCs w:val="32"/>
          <w:shd w:val="clear" w:color="auto" w:fill="auto"/>
        </w:rPr>
        <w:t>号），本单位认真开展了预算绩效管理改革开展情况自查，对部门全面规范绩效预算编制、严格预算执行管理、推进绩效评价工作、推进预决算信息公开等方面进行了自评，考核结果为优秀。</w:t>
      </w:r>
    </w:p>
    <w:p w14:paraId="588B1CF2">
      <w:pPr>
        <w:widowControl w:val="0"/>
        <w:wordWrap/>
        <w:adjustRightInd w:val="0"/>
        <w:snapToGrid w:val="0"/>
        <w:spacing w:before="0" w:after="0" w:line="360" w:lineRule="auto"/>
        <w:ind w:left="0" w:leftChars="0" w:right="0" w:firstLine="640" w:firstLineChars="200"/>
        <w:jc w:val="both"/>
        <w:textAlignment w:val="auto"/>
        <w:rPr>
          <w:rFonts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（二）预算项目绩效评价开展情况根据预算绩效管理要求，本单位组织对</w:t>
      </w:r>
      <w:r>
        <w:rPr>
          <w:rFonts w:hint="eastAsia" w:ascii="仿宋" w:hAnsi="仿宋" w:eastAsia="仿宋" w:cs="仿宋"/>
          <w:sz w:val="32"/>
          <w:szCs w:val="32"/>
          <w:shd w:val="clear" w:color="auto" w:fill="auto"/>
        </w:rPr>
        <w:t>2018年度一般公共预算项目支出全面开展绩效自评，涉及</w:t>
      </w:r>
      <w:r>
        <w:rPr>
          <w:rFonts w:hint="eastAsia" w:ascii="仿宋" w:hAnsi="仿宋" w:eastAsia="仿宋" w:cs="仿宋"/>
          <w:sz w:val="32"/>
          <w:szCs w:val="32"/>
          <w:shd w:val="clear" w:color="auto" w:fill="auto"/>
          <w:lang w:eastAsia="zh-CN"/>
        </w:rPr>
        <w:t>农村生活垃圾市场化运营、美丽乡村建设、农产改项目经费、革命老区重点建设资金</w:t>
      </w:r>
      <w:r>
        <w:rPr>
          <w:rFonts w:hint="eastAsia" w:ascii="仿宋_GB2312" w:eastAsia="仿宋_GB2312" w:cs="DengXian-Regular"/>
          <w:color w:val="auto"/>
          <w:sz w:val="32"/>
          <w:szCs w:val="32"/>
          <w:shd w:val="clear" w:color="auto" w:fill="auto"/>
        </w:rPr>
        <w:t>等</w:t>
      </w:r>
      <w:r>
        <w:rPr>
          <w:rFonts w:hint="eastAsia" w:ascii="仿宋_GB2312" w:eastAsia="仿宋_GB2312" w:cs="DengXian-Regular"/>
          <w:color w:val="auto"/>
          <w:sz w:val="32"/>
          <w:szCs w:val="32"/>
          <w:shd w:val="clear" w:color="auto" w:fill="auto"/>
          <w:lang w:val="en-US" w:eastAsia="zh-CN"/>
        </w:rPr>
        <w:t>4</w:t>
      </w:r>
      <w:r>
        <w:rPr>
          <w:rFonts w:hint="eastAsia" w:ascii="仿宋_GB2312" w:eastAsia="仿宋_GB2312" w:cs="DengXian-Regular"/>
          <w:color w:val="auto"/>
          <w:sz w:val="32"/>
          <w:szCs w:val="32"/>
          <w:shd w:val="clear" w:color="auto" w:fill="auto"/>
        </w:rPr>
        <w:t>个项目，涉及资金</w:t>
      </w:r>
      <w:r>
        <w:rPr>
          <w:rFonts w:hint="eastAsia" w:ascii="仿宋_GB2312" w:eastAsia="仿宋_GB2312" w:cs="DengXian-Regular"/>
          <w:color w:val="auto"/>
          <w:sz w:val="32"/>
          <w:szCs w:val="32"/>
          <w:shd w:val="clear" w:color="auto" w:fill="auto"/>
          <w:lang w:val="en-US" w:eastAsia="zh-CN"/>
        </w:rPr>
        <w:t>4011.25</w:t>
      </w:r>
      <w:r>
        <w:rPr>
          <w:rFonts w:hint="eastAsia" w:ascii="仿宋_GB2312" w:eastAsia="仿宋_GB2312" w:cs="DengXian-Regular"/>
          <w:color w:val="auto"/>
          <w:sz w:val="32"/>
          <w:szCs w:val="32"/>
          <w:shd w:val="clear" w:color="auto" w:fill="auto"/>
        </w:rPr>
        <w:t>万元。从评价情况看，评价结果为优秀的项目有6个</w:t>
      </w:r>
      <w:r>
        <w:rPr>
          <w:rFonts w:hint="eastAsia" w:ascii="仿宋_GB2312" w:eastAsia="仿宋_GB2312" w:cs="DengXian-Regular"/>
          <w:color w:val="auto"/>
          <w:sz w:val="32"/>
          <w:szCs w:val="32"/>
          <w:shd w:val="clear" w:color="auto" w:fill="auto"/>
          <w:lang w:eastAsia="zh-CN"/>
        </w:rPr>
        <w:t>。</w:t>
      </w:r>
    </w:p>
    <w:p w14:paraId="5FEB5214">
      <w:pPr>
        <w:widowControl w:val="0"/>
        <w:wordWrap/>
        <w:adjustRightInd w:val="0"/>
        <w:snapToGrid w:val="0"/>
        <w:spacing w:before="0" w:line="360" w:lineRule="auto"/>
        <w:ind w:left="0" w:leftChars="0" w:right="0" w:firstLine="640" w:firstLineChars="200"/>
        <w:jc w:val="both"/>
        <w:textAlignment w:val="auto"/>
        <w:rPr>
          <w:rFonts w:hint="eastAsia" w:ascii="仿宋_GB2312" w:hAnsi="仿宋_GB2312" w:eastAsia="仿宋_GB2312" w:cs="仿宋_GB2312"/>
          <w:sz w:val="32"/>
          <w:szCs w:val="32"/>
          <w:shd w:val="pct10" w:color="auto" w:fill="FFFFFF"/>
        </w:rPr>
      </w:pPr>
      <w:r>
        <w:rPr>
          <w:rFonts w:hint="eastAsia" w:ascii="仿宋_GB2312" w:hAnsi="仿宋_GB2312" w:eastAsia="仿宋_GB2312" w:cs="仿宋_GB2312"/>
          <w:sz w:val="32"/>
          <w:szCs w:val="32"/>
          <w:shd w:val="clear" w:color="auto" w:fill="auto"/>
        </w:rPr>
        <w:t>（三）预算项目绩效自评选例</w:t>
      </w:r>
      <w:r>
        <w:rPr>
          <w:rFonts w:hint="eastAsia" w:ascii="仿宋_GB2312" w:hAnsi="仿宋_GB2312" w:eastAsia="仿宋_GB2312" w:cs="仿宋_GB2312"/>
          <w:sz w:val="32"/>
          <w:szCs w:val="32"/>
          <w:shd w:val="clear" w:color="auto" w:fill="auto"/>
          <w:lang w:eastAsia="zh-CN"/>
        </w:rPr>
        <w:t>。</w:t>
      </w:r>
      <w:r>
        <w:rPr>
          <w:rFonts w:hint="eastAsia" w:ascii="仿宋_GB2312" w:hAnsi="仿宋_GB2312" w:eastAsia="仿宋_GB2312" w:cs="仿宋_GB2312"/>
          <w:color w:val="auto"/>
          <w:sz w:val="32"/>
          <w:szCs w:val="32"/>
          <w:shd w:val="clear" w:color="auto" w:fill="auto"/>
        </w:rPr>
        <w:t>本单位</w:t>
      </w:r>
      <w:r>
        <w:rPr>
          <w:rFonts w:hint="eastAsia" w:ascii="仿宋" w:hAnsi="仿宋" w:eastAsia="仿宋" w:cs="仿宋"/>
          <w:color w:val="auto"/>
          <w:sz w:val="32"/>
          <w:szCs w:val="32"/>
          <w:shd w:val="clear" w:color="auto" w:fill="auto"/>
          <w:lang w:eastAsia="zh-CN"/>
        </w:rPr>
        <w:t>农村生活垃圾市场化运营</w:t>
      </w:r>
      <w:r>
        <w:rPr>
          <w:rFonts w:hint="eastAsia" w:ascii="仿宋_GB2312" w:hAnsi="仿宋_GB2312" w:eastAsia="仿宋_GB2312" w:cs="仿宋_GB2312"/>
          <w:color w:val="auto"/>
          <w:sz w:val="32"/>
          <w:szCs w:val="32"/>
          <w:shd w:val="clear" w:color="auto" w:fill="auto"/>
        </w:rPr>
        <w:t>项目绩效自评：根据年初设定的绩效目标，</w:t>
      </w:r>
      <w:r>
        <w:rPr>
          <w:rFonts w:hint="eastAsia" w:ascii="仿宋" w:hAnsi="仿宋" w:eastAsia="仿宋" w:cs="仿宋"/>
          <w:color w:val="auto"/>
          <w:sz w:val="32"/>
          <w:szCs w:val="32"/>
          <w:shd w:val="clear" w:color="auto" w:fill="auto"/>
          <w:lang w:eastAsia="zh-CN"/>
        </w:rPr>
        <w:t>农村生活垃圾市场化运营</w:t>
      </w:r>
      <w:r>
        <w:rPr>
          <w:rFonts w:hint="eastAsia" w:ascii="仿宋_GB2312" w:hAnsi="仿宋_GB2312" w:eastAsia="仿宋_GB2312" w:cs="仿宋_GB2312"/>
          <w:color w:val="auto"/>
          <w:sz w:val="32"/>
          <w:szCs w:val="32"/>
          <w:shd w:val="clear" w:color="auto" w:fill="auto"/>
        </w:rPr>
        <w:t>项目绩效自评结果为优秀。项目全年预算数为</w:t>
      </w:r>
      <w:r>
        <w:rPr>
          <w:rFonts w:hint="eastAsia" w:ascii="仿宋_GB2312" w:hAnsi="仿宋_GB2312" w:eastAsia="仿宋_GB2312" w:cs="仿宋_GB2312"/>
          <w:color w:val="auto"/>
          <w:sz w:val="32"/>
          <w:szCs w:val="32"/>
          <w:shd w:val="clear" w:color="auto" w:fill="auto"/>
          <w:lang w:val="en-US" w:eastAsia="zh-CN"/>
        </w:rPr>
        <w:t>2823.62</w:t>
      </w:r>
      <w:r>
        <w:rPr>
          <w:rFonts w:hint="eastAsia" w:ascii="仿宋_GB2312" w:hAnsi="仿宋_GB2312" w:eastAsia="仿宋_GB2312" w:cs="仿宋_GB2312"/>
          <w:color w:val="auto"/>
          <w:sz w:val="32"/>
          <w:szCs w:val="32"/>
          <w:shd w:val="clear" w:color="auto" w:fill="auto"/>
        </w:rPr>
        <w:t>万元，执行数为</w:t>
      </w:r>
      <w:r>
        <w:rPr>
          <w:rFonts w:hint="eastAsia" w:ascii="仿宋_GB2312" w:hAnsi="仿宋_GB2312" w:eastAsia="仿宋_GB2312" w:cs="仿宋_GB2312"/>
          <w:color w:val="auto"/>
          <w:sz w:val="32"/>
          <w:szCs w:val="32"/>
          <w:shd w:val="clear" w:color="auto" w:fill="auto"/>
          <w:lang w:val="en-US" w:eastAsia="zh-CN"/>
        </w:rPr>
        <w:t>2823.62</w:t>
      </w:r>
      <w:r>
        <w:rPr>
          <w:rFonts w:hint="eastAsia" w:ascii="仿宋_GB2312" w:hAnsi="仿宋_GB2312" w:eastAsia="仿宋_GB2312" w:cs="仿宋_GB2312"/>
          <w:color w:val="auto"/>
          <w:sz w:val="32"/>
          <w:szCs w:val="32"/>
          <w:shd w:val="clear" w:color="auto" w:fill="auto"/>
        </w:rPr>
        <w:t>万元，完成预算的100%。主要产出和效果是</w:t>
      </w:r>
      <w:r>
        <w:rPr>
          <w:rFonts w:hint="eastAsia" w:ascii="仿宋" w:hAnsi="仿宋" w:eastAsia="仿宋" w:cs="仿宋"/>
          <w:sz w:val="32"/>
          <w:szCs w:val="32"/>
        </w:rPr>
        <w:t>我区的农村生活垃圾处理市场化运营工作</w:t>
      </w:r>
      <w:r>
        <w:rPr>
          <w:rFonts w:hint="eastAsia" w:ascii="仿宋" w:hAnsi="仿宋" w:eastAsia="仿宋" w:cs="仿宋"/>
          <w:sz w:val="32"/>
          <w:szCs w:val="32"/>
          <w:lang w:eastAsia="zh-CN"/>
        </w:rPr>
        <w:t>全面开展以来，</w:t>
      </w:r>
      <w:r>
        <w:rPr>
          <w:rFonts w:hint="eastAsia" w:ascii="仿宋" w:hAnsi="仿宋" w:eastAsia="仿宋" w:cs="仿宋"/>
          <w:color w:val="auto"/>
          <w:sz w:val="32"/>
          <w:szCs w:val="32"/>
        </w:rPr>
        <w:t>农村环境卫生状况得到明显好转，群众卫生意识明显提升，农村生活垃圾处理市场化运行机制基本建</w:t>
      </w:r>
      <w:r>
        <w:rPr>
          <w:rFonts w:hint="eastAsia" w:ascii="仿宋" w:hAnsi="仿宋" w:eastAsia="仿宋" w:cs="仿宋"/>
          <w:sz w:val="32"/>
          <w:szCs w:val="32"/>
        </w:rPr>
        <w:t>立并得到不断提高完善，群众满意度显著提升</w:t>
      </w:r>
      <w:r>
        <w:rPr>
          <w:rFonts w:hint="eastAsia" w:ascii="仿宋_GB2312" w:hAnsi="仿宋_GB2312" w:eastAsia="仿宋_GB2312" w:cs="仿宋_GB2312"/>
          <w:color w:val="FF0000"/>
          <w:sz w:val="32"/>
          <w:szCs w:val="32"/>
        </w:rPr>
        <w:t>。</w:t>
      </w:r>
    </w:p>
    <w:p w14:paraId="7DCF88AB">
      <w:pPr>
        <w:widowControl w:val="0"/>
        <w:wordWrap/>
        <w:adjustRightInd w:val="0"/>
        <w:snapToGrid w:val="0"/>
        <w:spacing w:before="0" w:line="360" w:lineRule="auto"/>
        <w:ind w:left="0" w:leftChars="0" w:right="0"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在运行过程中，区委、区政府高度重视，对保洁标准、保洁面积、保洁质量提升等方面多次</w:t>
      </w:r>
      <w:r>
        <w:rPr>
          <w:rFonts w:hint="eastAsia" w:ascii="仿宋" w:hAnsi="仿宋" w:eastAsia="仿宋" w:cs="仿宋"/>
          <w:sz w:val="32"/>
          <w:szCs w:val="32"/>
          <w:lang w:eastAsia="zh-CN"/>
        </w:rPr>
        <w:t>提出要求，但由于资金投入不够，保洁效果达不到领导要求和群众的期盼。</w:t>
      </w:r>
    </w:p>
    <w:p w14:paraId="715FC78F">
      <w:pPr>
        <w:widowControl w:val="0"/>
        <w:wordWrap/>
        <w:adjustRightInd w:val="0"/>
        <w:snapToGrid w:val="0"/>
        <w:spacing w:before="0" w:line="360" w:lineRule="auto"/>
        <w:ind w:left="0" w:leftChars="0" w:right="0" w:firstLine="672" w:firstLineChars="200"/>
        <w:jc w:val="both"/>
        <w:textAlignment w:val="auto"/>
        <w:rPr>
          <w:rFonts w:hint="eastAsia" w:ascii="仿宋_GB2312" w:eastAsia="仿宋_GB2312" w:cs="DengXian-Regular"/>
          <w:color w:val="auto"/>
          <w:sz w:val="32"/>
          <w:szCs w:val="32"/>
          <w:lang w:val="en-US" w:eastAsia="zh-CN"/>
        </w:rPr>
      </w:pPr>
      <w:r>
        <w:rPr>
          <w:rFonts w:hint="eastAsia" w:ascii="仿宋_GB2312" w:hAnsi="仿宋_GB2312" w:eastAsia="仿宋_GB2312" w:cs="仿宋_GB2312"/>
          <w:color w:val="auto"/>
          <w:spacing w:val="8"/>
          <w:sz w:val="32"/>
          <w:szCs w:val="32"/>
          <w:shd w:val="clear" w:color="auto" w:fill="FFFFFF"/>
        </w:rPr>
        <w:t>改进措施：及时与</w:t>
      </w:r>
      <w:r>
        <w:rPr>
          <w:rFonts w:hint="eastAsia" w:ascii="仿宋_GB2312" w:hAnsi="仿宋_GB2312" w:eastAsia="仿宋_GB2312" w:cs="仿宋_GB2312"/>
          <w:color w:val="auto"/>
          <w:spacing w:val="8"/>
          <w:sz w:val="32"/>
          <w:szCs w:val="32"/>
          <w:shd w:val="clear" w:color="auto" w:fill="FFFFFF"/>
          <w:lang w:eastAsia="zh-CN"/>
        </w:rPr>
        <w:t>保洁公司</w:t>
      </w:r>
      <w:r>
        <w:rPr>
          <w:rFonts w:hint="eastAsia" w:ascii="仿宋_GB2312" w:hAnsi="仿宋_GB2312" w:eastAsia="仿宋_GB2312" w:cs="仿宋_GB2312"/>
          <w:color w:val="auto"/>
          <w:spacing w:val="8"/>
          <w:sz w:val="32"/>
          <w:szCs w:val="32"/>
          <w:shd w:val="clear" w:color="auto" w:fill="FFFFFF"/>
        </w:rPr>
        <w:t>沟通，</w:t>
      </w:r>
      <w:r>
        <w:rPr>
          <w:rFonts w:hint="eastAsia" w:ascii="仿宋_GB2312" w:hAnsi="仿宋_GB2312" w:eastAsia="仿宋_GB2312" w:cs="仿宋_GB2312"/>
          <w:color w:val="auto"/>
          <w:spacing w:val="8"/>
          <w:sz w:val="32"/>
          <w:szCs w:val="32"/>
          <w:shd w:val="clear" w:color="auto" w:fill="FFFFFF"/>
          <w:lang w:eastAsia="zh-CN"/>
        </w:rPr>
        <w:t>提高保洁标准；向领导请示，加大资金投入。</w:t>
      </w:r>
    </w:p>
    <w:p w14:paraId="29DCC49C">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14:paraId="6597F74E">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14:paraId="62FC2F0E">
      <w:pPr>
        <w:adjustRightInd w:val="0"/>
        <w:snapToGrid w:val="0"/>
        <w:spacing w:after="0" w:line="580" w:lineRule="exact"/>
        <w:ind w:firstLine="640" w:firstLineChars="200"/>
        <w:rPr>
          <w:rFonts w:ascii="仿宋_GB2312" w:eastAsia="仿宋_GB2312" w:cs="DengXian-Regular"/>
          <w:color w:val="auto"/>
          <w:sz w:val="32"/>
          <w:szCs w:val="32"/>
        </w:rPr>
      </w:pPr>
      <w:r>
        <w:rPr>
          <w:rFonts w:hint="eastAsia" w:ascii="仿宋_GB2312" w:eastAsia="仿宋_GB2312" w:cs="DengXian-Regular"/>
          <w:sz w:val="32"/>
          <w:szCs w:val="32"/>
        </w:rPr>
        <w:t>本部门2018年度机关运行经费支出</w:t>
      </w:r>
      <w:r>
        <w:rPr>
          <w:rFonts w:hint="eastAsia" w:ascii="仿宋_GB2312" w:eastAsia="仿宋_GB2312" w:cs="DengXian-Regular"/>
          <w:sz w:val="32"/>
          <w:szCs w:val="32"/>
          <w:lang w:val="en-US" w:eastAsia="zh-CN"/>
        </w:rPr>
        <w:t>27.99</w:t>
      </w:r>
      <w:r>
        <w:rPr>
          <w:rFonts w:hint="eastAsia" w:ascii="仿宋_GB2312" w:eastAsia="仿宋_GB2312" w:cs="DengXian-Regular"/>
          <w:sz w:val="32"/>
          <w:szCs w:val="32"/>
        </w:rPr>
        <w:t>万元</w:t>
      </w:r>
      <w:r>
        <w:rPr>
          <w:rFonts w:hint="eastAsia" w:ascii="仿宋_GB2312" w:eastAsia="仿宋_GB2312" w:cs="DengXian-Regular"/>
          <w:color w:val="auto"/>
          <w:sz w:val="32"/>
          <w:szCs w:val="32"/>
        </w:rPr>
        <w:t>，比年初预算数增加</w:t>
      </w:r>
      <w:r>
        <w:rPr>
          <w:rFonts w:hint="eastAsia" w:ascii="仿宋_GB2312" w:eastAsia="仿宋_GB2312" w:cs="DengXian-Regular"/>
          <w:color w:val="auto"/>
          <w:sz w:val="32"/>
          <w:szCs w:val="32"/>
          <w:lang w:val="en-US" w:eastAsia="zh-CN"/>
        </w:rPr>
        <w:t>5.4</w:t>
      </w:r>
      <w:r>
        <w:rPr>
          <w:rFonts w:hint="eastAsia" w:ascii="仿宋_GB2312" w:eastAsia="仿宋_GB2312" w:cs="DengXian-Regular"/>
          <w:color w:val="auto"/>
          <w:sz w:val="32"/>
          <w:szCs w:val="32"/>
        </w:rPr>
        <w:t>万元，增长</w:t>
      </w:r>
      <w:r>
        <w:rPr>
          <w:rFonts w:hint="eastAsia" w:ascii="仿宋_GB2312" w:eastAsia="仿宋_GB2312" w:cs="DengXian-Regular"/>
          <w:color w:val="auto"/>
          <w:sz w:val="32"/>
          <w:szCs w:val="32"/>
          <w:lang w:val="en-US" w:eastAsia="zh-CN"/>
        </w:rPr>
        <w:t>15</w:t>
      </w:r>
      <w:r>
        <w:rPr>
          <w:rFonts w:hint="eastAsia" w:ascii="仿宋_GB2312" w:eastAsia="仿宋_GB2312" w:cs="DengXian-Regular"/>
          <w:color w:val="auto"/>
          <w:sz w:val="32"/>
          <w:szCs w:val="32"/>
        </w:rPr>
        <w:t>%。主要原因是</w:t>
      </w:r>
      <w:r>
        <w:rPr>
          <w:rFonts w:hint="eastAsia" w:ascii="仿宋_GB2312" w:eastAsia="仿宋_GB2312" w:cs="DengXian-Regular"/>
          <w:color w:val="auto"/>
          <w:sz w:val="32"/>
          <w:szCs w:val="32"/>
          <w:lang w:eastAsia="zh-CN"/>
        </w:rPr>
        <w:t>通讯补贴费类入了机关运行费</w:t>
      </w:r>
      <w:r>
        <w:rPr>
          <w:rFonts w:hint="eastAsia" w:ascii="仿宋_GB2312" w:eastAsia="仿宋_GB2312" w:cs="DengXian-Regular"/>
          <w:color w:val="auto"/>
          <w:sz w:val="32"/>
          <w:szCs w:val="32"/>
        </w:rPr>
        <w:t>。</w:t>
      </w:r>
    </w:p>
    <w:p w14:paraId="747B13AA">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14:paraId="7B9A349C">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p>
    <w:p w14:paraId="25956F87">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14:paraId="012673ED">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辆，比上年增加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辆。其中，副部（省）级及以上领导用车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辆，机要通信用车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辆，应急保障用车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辆，离退休干部用车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台（套），比上年增加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台（套）比上年增加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套。</w:t>
      </w:r>
    </w:p>
    <w:p w14:paraId="6F5F5FBE">
      <w:pPr>
        <w:pStyle w:val="4"/>
        <w:numPr>
          <w:ilvl w:val="0"/>
          <w:numId w:val="3"/>
        </w:numPr>
        <w:spacing w:before="0" w:after="0" w:line="580" w:lineRule="exact"/>
        <w:ind w:firstLine="643" w:firstLineChars="200"/>
      </w:pPr>
      <w:r>
        <w:rPr>
          <w:rFonts w:hint="eastAsia" w:ascii="楷体_GB2312" w:eastAsia="楷体_GB2312" w:cs="DengXian-Bold"/>
        </w:rPr>
        <w:t>其他需要说明的情况</w:t>
      </w:r>
    </w:p>
    <w:p w14:paraId="5E73FBB0">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本部门2018年度无国有资本经营情况，故国有资本经营预算财政拨款支出决算表以空表列示</w:t>
      </w:r>
      <w:r>
        <w:rPr>
          <w:rFonts w:hint="eastAsia" w:ascii="仿宋_GB2312" w:eastAsia="仿宋_GB2312" w:cs="DengXian-Regular"/>
          <w:sz w:val="32"/>
          <w:szCs w:val="32"/>
          <w:lang w:eastAsia="zh-CN"/>
        </w:rPr>
        <w:t>；“三公经费”支出没有发生，故</w:t>
      </w:r>
      <w:r>
        <w:rPr>
          <w:rFonts w:hint="eastAsia" w:ascii="仿宋_GB2312" w:eastAsia="仿宋_GB2312" w:cs="DengXian-Regular"/>
          <w:sz w:val="32"/>
          <w:szCs w:val="32"/>
          <w:lang w:val="en-US" w:eastAsia="zh-CN"/>
        </w:rPr>
        <w:t>“三公经费”支出决算表为空；2018年无政府采购，故政府采购情况表为空。</w:t>
      </w:r>
    </w:p>
    <w:p w14:paraId="2E7AD02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由于决算公开表格中金额数值应当保留两位小数，公开数据为四舍五入计算结</w:t>
      </w:r>
      <w:r>
        <w:rPr>
          <w:rFonts w:ascii="Times New Roman" w:hAnsi="Times New Roman" w:eastAsia="宋体" w:cs="Times New Roman"/>
          <w:kern w:val="2"/>
          <w:sz w:val="44"/>
          <w:szCs w:val="24"/>
          <w:lang w:val="en-US" w:eastAsia="zh-CN" w:bidi="ar-SA"/>
        </w:rPr>
        <w:pict>
          <v:group id="组合 1065" o:spid="_x0000_s1049" o:spt="203" style="position:absolute;left:0pt;margin-left:0pt;margin-top:29.3pt;height:43.95pt;width:301.85pt;mso-position-horizontal-relative:page;mso-position-vertical-relative:page;z-index:251683840;mso-width-relative:page;mso-height-relative:page;" coordorigin="4551,52615" coordsize="8546,1398">
            <o:lock v:ext="edit" position="f" selection="f" grouping="f" rotation="f" cropping="f" text="f" aspectratio="f"/>
            <v:rect id="矩形 13" o:spid="_x0000_s1073"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74" o:spt="1" style="position:absolute;left:4577;top:52890;height:1123;width:8324;v-text-anchor:middle;" fillcolor="#AD002D" filled="t" o:preferrelative="t" stroked="t" coordsize="21600,21600">
              <v:path/>
              <v:fill on="t" focussize="0,0"/>
              <v:stroke color="#B0761F" color2="#FFFFFF" miterlimit="2"/>
              <v:imagedata gain="65536f" blacklevel="0f" gamma="0" o:title=""/>
              <o:lock v:ext="edit" position="f" selection="f" grouping="f" rotation="f" cropping="f" text="f" aspectratio="f"/>
              <v:textbox>
                <w:txbxContent>
                  <w:p w14:paraId="2F165E10">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52C2C1A">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14:paraId="69C3E4A1">
      <w:pPr>
        <w:widowControl/>
        <w:spacing w:after="0" w:line="580" w:lineRule="exact"/>
        <w:ind w:firstLine="420" w:firstLineChars="200"/>
        <w:jc w:val="left"/>
        <w:sectPr>
          <w:pgSz w:w="11906" w:h="16838"/>
          <w:pgMar w:top="2098" w:right="1474" w:bottom="1984" w:left="1588" w:header="851" w:footer="992" w:gutter="0"/>
          <w:cols w:space="720" w:num="1"/>
          <w:docGrid w:type="lines" w:linePitch="312" w:charSpace="0"/>
        </w:sectPr>
      </w:pPr>
    </w:p>
    <w:p w14:paraId="173E0AD6">
      <w:pPr>
        <w:sectPr>
          <w:pgSz w:w="11906" w:h="16838"/>
          <w:pgMar w:top="2098" w:right="1474" w:bottom="1984" w:left="1588" w:header="851" w:footer="992" w:gutter="0"/>
          <w:cols w:space="720" w:num="1"/>
          <w:docGrid w:type="lines" w:linePitch="312" w:charSpace="0"/>
        </w:sectPr>
      </w:pPr>
      <w:r>
        <w:rPr>
          <w:rFonts w:hint="eastAsia" w:ascii="宋体" w:hAnsi="宋体" w:eastAsia="宋体" w:cs="ArialUnicodeMS"/>
          <w:color w:val="000000"/>
          <w:kern w:val="0"/>
          <w:sz w:val="21"/>
          <w:szCs w:val="24"/>
          <w:lang w:val="en-US" w:eastAsia="zh-CN" w:bidi="ar-SA"/>
        </w:rPr>
        <w:pict>
          <v:shape id="图片 21" o:spid="_x0000_s1029" o:spt="75" type="#_x0000_t75" style="position:absolute;left:0pt;margin-left:-78.8pt;margin-top:-104.7pt;height:840.95pt;width:594.5pt;z-index:-251653120;mso-width-relative:page;mso-height-relative:page;" fillcolor="#FFFFFF" filled="f" o:preferrelative="t" stroked="f" coordsize="21600,21600">
            <v:path/>
            <v:fill on="f" color2="#FFFFFF" focussize="0,0"/>
            <v:stroke on="f"/>
            <v:imagedata r:id="rId7" gain="65536f" blacklevel="0f" gamma="0" o:title=""/>
            <o:lock v:ext="edit" position="f" selection="f" grouping="f" rotation="f" cropping="f" text="f" aspectratio="t"/>
          </v:shape>
        </w:pict>
      </w:r>
      <w:r>
        <w:rPr>
          <w:rFonts w:ascii="Times New Roman" w:hAnsi="Times New Roman" w:eastAsia="宋体" w:cs="Times New Roman"/>
          <w:kern w:val="2"/>
          <w:sz w:val="72"/>
          <w:szCs w:val="24"/>
          <w:lang w:val="en-US" w:eastAsia="zh-CN" w:bidi="ar-SA"/>
        </w:rPr>
        <w:pict>
          <v:shape id="_x0000_s1040" o:spid="_x0000_s1040" o:spt="202" type="#_x0000_t202" style="position:absolute;left:0pt;margin-left:-78pt;margin-top:232.8pt;height:159.1pt;width:596.2pt;z-index:25167462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14:paraId="62728203">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14:paraId="3D0C30F2">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shape>
        </w:pict>
      </w:r>
    </w:p>
    <w:p w14:paraId="15D4E414">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14:paraId="057DEA64">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14:paraId="4BF6E120">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14:paraId="42CACE5A">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1ED4A0D7">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14:paraId="3A1E151D">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14:paraId="775D7565">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w:t>
      </w:r>
      <w:r>
        <w:rPr>
          <w:rFonts w:ascii="仿宋_GB2312" w:hAnsi="宋体" w:eastAsia="仿宋_GB2312" w:cs="Times New Roman"/>
          <w:b/>
          <w:bCs/>
          <w:color w:val="000000"/>
          <w:kern w:val="0"/>
          <w:sz w:val="32"/>
          <w:szCs w:val="32"/>
          <w:lang w:val="en-US" w:eastAsia="zh-CN" w:bidi="ar-SA"/>
        </w:rPr>
        <w:pict>
          <v:group id="组合 1070" o:spid="_x0000_s1042" o:spt="203" style="position:absolute;left:0pt;margin-left:-80.35pt;margin-top:39.65pt;height:43.95pt;width:264.85pt;mso-position-vertical-relative:page;z-index:251676672;mso-width-relative:page;mso-height-relative:page;" coordorigin="4551,52615" coordsize="8546,1398">
            <o:lock v:ext="edit" position="f" selection="f" grouping="f" rotation="f" cropping="f" text="f" aspectratio="f"/>
            <v:rect id="矩形 13" o:spid="_x0000_s1075"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76" o:spt="1" style="position:absolute;left:4577;top:52890;height:1123;width:8324;v-text-anchor:middle;" fillcolor="#AD002D" filled="t" o:preferrelative="t" stroked="t" coordsize="21600,21600">
              <v:path/>
              <v:fill on="t" focussize="0,0"/>
              <v:stroke color="#B0761F" color2="#FFFFFF" miterlimit="2"/>
              <v:imagedata gain="65536f" blacklevel="0f" gamma="0" o:title=""/>
              <o:lock v:ext="edit" position="f" selection="f" grouping="f" rotation="f" cropping="f" text="f" aspectratio="f"/>
              <v:textbox>
                <w:txbxContent>
                  <w:p w14:paraId="064B9A7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6EFC08DB">
                    <w:pPr>
                      <w:jc w:val="center"/>
                    </w:pPr>
                  </w:p>
                </w:txbxContent>
              </v:textbox>
            </v:rect>
            <w10:anchorlock/>
          </v:group>
        </w:pict>
      </w:r>
      <w:r>
        <w:rPr>
          <w:rFonts w:hint="eastAsia" w:ascii="仿宋_GB2312" w:hAnsi="宋体" w:eastAsia="仿宋_GB2312"/>
          <w:b/>
          <w:bCs/>
          <w:color w:val="000000"/>
          <w:kern w:val="0"/>
          <w:sz w:val="32"/>
          <w:szCs w:val="32"/>
        </w:rPr>
        <w:t>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14:paraId="31AAA7E6">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14:paraId="04D77065">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14:paraId="31B97F9C">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14:paraId="10C96EDB">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14:paraId="51C8DCE1">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hAnsi="宋体" w:eastAsia="仿宋_GB2312" w:cs="Times New Roman"/>
          <w:b/>
          <w:bCs/>
          <w:color w:val="000000"/>
          <w:kern w:val="0"/>
          <w:sz w:val="32"/>
          <w:szCs w:val="32"/>
          <w:lang w:val="en-US" w:eastAsia="zh-CN" w:bidi="ar-SA"/>
        </w:rPr>
        <w:pict>
          <v:group id="组合 1073" o:spid="_x0000_s1050" o:spt="203" style="position:absolute;left:0pt;margin-left:-80.35pt;margin-top:39.65pt;height:43.95pt;width:264.85pt;mso-position-vertical-relative:page;z-index:251684864;mso-width-relative:page;mso-height-relative:page;" coordorigin="4551,52615" coordsize="8546,1398">
            <o:lock v:ext="edit" position="f" selection="f" grouping="f" rotation="f" cropping="f" text="f" aspectratio="f"/>
            <v:rect id="矩形 13" o:spid="_x0000_s1077"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78" o:spt="1" style="position:absolute;left:4577;top:52890;height:1123;width:8324;v-text-anchor:middle;" fillcolor="#AD002D" filled="t" o:preferrelative="t" stroked="t" coordsize="21600,21600">
              <v:path/>
              <v:fill on="t" focussize="0,0"/>
              <v:stroke color="#B0761F" color2="#FFFFFF" miterlimit="2"/>
              <v:imagedata gain="65536f" blacklevel="0f" gamma="0" o:title=""/>
              <o:lock v:ext="edit" position="f" selection="f" grouping="f" rotation="f" cropping="f" text="f" aspectratio="f"/>
              <v:textbox>
                <w:txbxContent>
                  <w:p w14:paraId="5BA0E1D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530E24C1">
                    <w:pPr>
                      <w:jc w:val="center"/>
                    </w:pPr>
                  </w:p>
                </w:txbxContent>
              </v:textbox>
            </v:rect>
            <w10:anchorlock/>
          </v:group>
        </w:pict>
      </w:r>
      <w:r>
        <w:rPr>
          <w:rFonts w:hint="eastAsia" w:ascii="仿宋_GB2312" w:hAnsi="宋体" w:eastAsia="仿宋_GB2312"/>
          <w:color w:val="000000"/>
          <w:kern w:val="0"/>
          <w:sz w:val="32"/>
          <w:szCs w:val="32"/>
        </w:rPr>
        <w:t>待费反映单位按规定开支的各类公务接待（含外宾接待）支出。</w:t>
      </w:r>
    </w:p>
    <w:p w14:paraId="533D1272">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w:t>
      </w:r>
      <w:r>
        <w:rPr>
          <w:rFonts w:ascii="仿宋_GB2312" w:hAnsi="宋体" w:eastAsia="仿宋_GB2312" w:cs="Times New Roman"/>
          <w:b/>
          <w:bCs/>
          <w:color w:val="000000"/>
          <w:kern w:val="0"/>
          <w:sz w:val="32"/>
          <w:szCs w:val="32"/>
          <w:lang w:val="en-US" w:eastAsia="zh-CN" w:bidi="ar-SA"/>
        </w:rPr>
        <w:pict>
          <v:group id="组合 1076" o:spid="_x0000_s1051" o:spt="203" style="position:absolute;left:0pt;margin-left:-80.35pt;margin-top:39.65pt;height:43.95pt;width:264.85pt;mso-position-vertical-relative:page;z-index:251685888;mso-width-relative:page;mso-height-relative:page;" coordorigin="4551,52615" coordsize="8546,1398">
            <o:lock v:ext="edit" position="f" selection="f" grouping="f" rotation="f" cropping="f" text="f" aspectratio="f"/>
            <v:rect id="矩形 13" o:spid="_x0000_s1079"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80" o:spt="1" style="position:absolute;left:4577;top:52890;height:1123;width:8324;v-text-anchor:middle;" fillcolor="#AD002D" filled="t" o:preferrelative="t" stroked="t" coordsize="21600,21600">
              <v:path/>
              <v:fill on="t" focussize="0,0"/>
              <v:stroke color="#B0761F" color2="#FFFFFF" miterlimit="2"/>
              <v:imagedata gain="65536f" blacklevel="0f" gamma="0" o:title=""/>
              <o:lock v:ext="edit" position="f" selection="f" grouping="f" rotation="f" cropping="f" text="f" aspectratio="f"/>
              <v:textbox>
                <w:txbxContent>
                  <w:p w14:paraId="19A7E71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2FC2C603">
                    <w:pPr>
                      <w:jc w:val="center"/>
                    </w:pPr>
                  </w:p>
                </w:txbxContent>
              </v:textbox>
            </v:rect>
            <w10:anchorlock/>
          </v:group>
        </w:pict>
      </w:r>
      <w:r>
        <w:rPr>
          <w:rFonts w:hint="eastAsia" w:ascii="仿宋_GB2312" w:hAnsi="宋体" w:eastAsia="仿宋_GB2312"/>
          <w:b/>
          <w:bCs/>
          <w:color w:val="000000"/>
          <w:kern w:val="0"/>
          <w:sz w:val="32"/>
          <w:szCs w:val="32"/>
        </w:rPr>
        <w:t>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14:paraId="2D3731C8">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14:paraId="600964D4">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14:paraId="0D500E6D">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77FA7BFC">
      <w:pPr>
        <w:widowControl/>
        <w:spacing w:after="0" w:line="560" w:lineRule="exact"/>
        <w:ind w:firstLine="643" w:firstLineChars="200"/>
        <w:sectPr>
          <w:pgSz w:w="11906" w:h="16838"/>
          <w:pgMar w:top="2098" w:right="1474" w:bottom="1985" w:left="1588" w:header="851" w:footer="992" w:gutter="0"/>
          <w:cols w:space="720" w:num="1"/>
          <w:docGrid w:type="lines" w:linePitch="312" w:charSpace="0"/>
        </w:sectPr>
      </w:pPr>
      <w:r>
        <w:rPr>
          <w:rFonts w:hint="eastAsia" w:ascii="仿宋_GB2312" w:hAnsi="宋体" w:eastAsia="仿宋_GB2312"/>
          <w:b/>
          <w:bCs/>
          <w:color w:val="000000"/>
          <w:kern w:val="0"/>
          <w:sz w:val="32"/>
          <w:szCs w:val="32"/>
        </w:rPr>
        <w:t>（十七）经费形式:</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1DE3116C">
      <w:pPr>
        <w:widowControl/>
        <w:spacing w:after="0" w:line="560" w:lineRule="exact"/>
        <w:ind w:firstLine="640" w:firstLineChars="200"/>
        <w:rPr>
          <w:rFonts w:ascii="仿宋_GB2312" w:hAnsi="Cambria" w:eastAsia="仿宋_GB2312" w:cs="ArialUnicodeMS"/>
          <w:kern w:val="0"/>
          <w:sz w:val="32"/>
          <w:szCs w:val="32"/>
        </w:rPr>
      </w:pPr>
      <w:r>
        <w:rPr>
          <w:rFonts w:ascii="仿宋_GB2312" w:hAnsi="Cambria" w:eastAsia="仿宋_GB2312" w:cs="ArialUnicodeMS"/>
          <w:kern w:val="0"/>
          <w:sz w:val="32"/>
          <w:szCs w:val="32"/>
          <w:lang w:val="en-US" w:eastAsia="zh-CN" w:bidi="ar-SA"/>
        </w:rPr>
        <w:pict>
          <v:shape id="图片 101" o:spid="_x0000_s1030" o:spt="75" type="#_x0000_t75" style="position:absolute;left:0pt;margin-left:-77.35pt;margin-top:-106.05pt;height:845.35pt;width:597.65pt;z-index:-251652096;mso-width-relative:page;mso-height-relative:page;" fillcolor="#FFFFFF" filled="f" o:preferrelative="t" stroked="f" coordsize="21600,21600">
            <v:path/>
            <v:fill on="f" color2="#FFFFFF" focussize="0,0"/>
            <v:stroke on="f"/>
            <v:imagedata r:id="rId13" gain="65536f" blacklevel="0f" gamma="0" o:title=""/>
            <o:lock v:ext="edit" position="f" selection="f" grouping="f" rotation="f" cropping="f" text="f" aspectratio="t"/>
          </v:shape>
        </w:pict>
      </w:r>
    </w:p>
    <w:sectPr>
      <w:pgSz w:w="11906" w:h="16838"/>
      <w:pgMar w:top="2098" w:right="1474" w:bottom="1985" w:left="1588"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1" w:csb1="00000000"/>
  </w:font>
  <w:font w:name="仿宋_GB2312">
    <w:altName w:val="仿宋"/>
    <w:panose1 w:val="02010609030101010101"/>
    <w:charset w:val="86"/>
    <w:family w:val="auto"/>
    <w:pitch w:val="default"/>
    <w:sig w:usb0="00000000" w:usb1="00000000" w:usb2="00000000"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华文中宋"/>
    <w:panose1 w:val="00000000000000000000"/>
    <w:charset w:val="86"/>
    <w:family w:val="auto"/>
    <w:pitch w:val="default"/>
    <w:sig w:usb0="00000000" w:usb1="00000000" w:usb2="00000010" w:usb3="00000000" w:csb0="00040001" w:csb1="0000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Times New Roman"/>
    <w:panose1 w:val="00000000000000000000"/>
    <w:charset w:val="00"/>
    <w:family w:val="auto"/>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9"/>
    <w:multiLevelType w:val="singleLevel"/>
    <w:tmpl w:val="00000009"/>
    <w:lvl w:ilvl="0" w:tentative="0">
      <w:start w:val="4"/>
      <w:numFmt w:val="chineseCounting"/>
      <w:suff w:val="nothing"/>
      <w:lvlText w:val="（%1）"/>
      <w:lvlJc w:val="left"/>
    </w:lvl>
  </w:abstractNum>
  <w:abstractNum w:abstractNumId="1">
    <w:nsid w:val="0000000A"/>
    <w:multiLevelType w:val="singleLevel"/>
    <w:tmpl w:val="0000000A"/>
    <w:lvl w:ilvl="0" w:tentative="0">
      <w:start w:val="3"/>
      <w:numFmt w:val="chineseCounting"/>
      <w:suff w:val="nothing"/>
      <w:lvlText w:val="（%1）"/>
      <w:lvlJc w:val="left"/>
    </w:lvl>
  </w:abstractNum>
  <w:abstractNum w:abstractNumId="2">
    <w:nsid w:val="0000000B"/>
    <w:multiLevelType w:val="singleLevel"/>
    <w:tmpl w:val="0000000B"/>
    <w:lvl w:ilvl="0" w:tentative="0">
      <w:start w:val="3"/>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TMzZmIyODEyYmQwZGE2MGU2MDg2NjQ2ZDRlZTY2ODcifQ=="/>
  </w:docVars>
  <w:rsids>
    <w:rsidRoot w:val="00000000"/>
    <w:rsid w:val="71B2324F"/>
    <w:rsid w:val="DEF78A0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qFormat/>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3"/>
    <w:qFormat/>
    <w:uiPriority w:val="0"/>
    <w:pPr>
      <w:keepNext/>
      <w:keepLines/>
      <w:spacing w:before="260" w:after="260" w:line="416" w:lineRule="auto"/>
      <w:outlineLvl w:val="1"/>
    </w:pPr>
    <w:rPr>
      <w:rFonts w:ascii="Calibri" w:hAnsi="Calibri" w:eastAsia="宋体" w:cs="黑体"/>
      <w:b/>
      <w:bCs/>
      <w:sz w:val="32"/>
      <w:szCs w:val="32"/>
    </w:rPr>
  </w:style>
  <w:style w:type="paragraph" w:styleId="4">
    <w:name w:val="heading 3"/>
    <w:basedOn w:val="1"/>
    <w:next w:val="1"/>
    <w:link w:val="14"/>
    <w:qFormat/>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eastAsia="宋体" w:cs="黑体"/>
      <w:b/>
      <w:bCs/>
      <w:sz w:val="28"/>
      <w:szCs w:val="28"/>
    </w:rPr>
  </w:style>
  <w:style w:type="character" w:default="1" w:styleId="11">
    <w:name w:val="Default Paragraph Font"/>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6">
    <w:name w:val="footer"/>
    <w:basedOn w:val="1"/>
    <w:link w:val="18"/>
    <w:qFormat/>
    <w:uiPriority w:val="0"/>
    <w:pPr>
      <w:tabs>
        <w:tab w:val="center" w:pos="4153"/>
        <w:tab w:val="right" w:pos="8306"/>
      </w:tabs>
      <w:snapToGrid w:val="0"/>
      <w:jc w:val="left"/>
    </w:pPr>
    <w:rPr>
      <w:sz w:val="18"/>
      <w:szCs w:val="18"/>
    </w:rPr>
  </w:style>
  <w:style w:type="paragraph" w:styleId="7">
    <w:name w:val="header"/>
    <w:basedOn w:val="1"/>
    <w:link w:val="19"/>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20"/>
    <w:qFormat/>
    <w:uiPriority w:val="0"/>
    <w:pPr>
      <w:widowControl/>
      <w:spacing w:after="200" w:line="276" w:lineRule="auto"/>
      <w:jc w:val="left"/>
    </w:pPr>
    <w:rPr>
      <w:rFonts w:ascii="Calibri" w:hAnsi="Calibri" w:eastAsia="宋体" w:cs="黑体"/>
      <w:i/>
      <w:iCs/>
      <w:color w:val="F0A22E"/>
      <w:spacing w:val="15"/>
      <w:kern w:val="0"/>
      <w:sz w:val="24"/>
      <w:szCs w:val="24"/>
    </w:rPr>
  </w:style>
  <w:style w:type="paragraph" w:styleId="9">
    <w:name w:val="Title"/>
    <w:basedOn w:val="1"/>
    <w:next w:val="1"/>
    <w:link w:val="21"/>
    <w:qFormat/>
    <w:uiPriority w:val="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12">
    <w:name w:val="标题 1 Char"/>
    <w:basedOn w:val="11"/>
    <w:link w:val="2"/>
    <w:semiHidden/>
    <w:qFormat/>
    <w:uiPriority w:val="0"/>
    <w:rPr>
      <w:rFonts w:ascii="Times New Roman" w:hAnsi="Times New Roman" w:eastAsia="宋体" w:cs="Times New Roman"/>
      <w:b/>
      <w:bCs/>
      <w:kern w:val="44"/>
      <w:sz w:val="44"/>
      <w:szCs w:val="44"/>
    </w:rPr>
  </w:style>
  <w:style w:type="character" w:customStyle="1" w:styleId="13">
    <w:name w:val="标题 2 Char"/>
    <w:basedOn w:val="11"/>
    <w:link w:val="3"/>
    <w:semiHidden/>
    <w:qFormat/>
    <w:uiPriority w:val="0"/>
    <w:rPr>
      <w:rFonts w:ascii="Calibri" w:hAnsi="Calibri" w:eastAsia="宋体" w:cs="黑体"/>
      <w:b/>
      <w:bCs/>
      <w:sz w:val="32"/>
      <w:szCs w:val="32"/>
    </w:rPr>
  </w:style>
  <w:style w:type="character" w:customStyle="1" w:styleId="14">
    <w:name w:val="标题 3 Char"/>
    <w:basedOn w:val="11"/>
    <w:link w:val="4"/>
    <w:semiHidden/>
    <w:qFormat/>
    <w:uiPriority w:val="0"/>
    <w:rPr>
      <w:rFonts w:ascii="Times New Roman" w:hAnsi="Times New Roman" w:eastAsia="宋体" w:cs="Times New Roman"/>
      <w:b/>
      <w:bCs/>
      <w:sz w:val="32"/>
      <w:szCs w:val="32"/>
    </w:rPr>
  </w:style>
  <w:style w:type="character" w:customStyle="1" w:styleId="15">
    <w:name w:val="标题 4 Char"/>
    <w:basedOn w:val="11"/>
    <w:link w:val="5"/>
    <w:semiHidden/>
    <w:qFormat/>
    <w:uiPriority w:val="0"/>
    <w:rPr>
      <w:rFonts w:ascii="Calibri" w:hAnsi="Calibri" w:eastAsia="宋体" w:cs="黑体"/>
      <w:b/>
      <w:bCs/>
      <w:sz w:val="28"/>
      <w:szCs w:val="28"/>
    </w:rPr>
  </w:style>
  <w:style w:type="character" w:customStyle="1" w:styleId="16">
    <w:name w:val="日期 Char"/>
    <w:basedOn w:val="11"/>
    <w:link w:val="17"/>
    <w:semiHidden/>
    <w:qFormat/>
    <w:uiPriority w:val="0"/>
    <w:rPr>
      <w:rFonts w:ascii="Times New Roman" w:hAnsi="Times New Roman" w:eastAsia="宋体" w:cs="Times New Roman"/>
      <w:szCs w:val="24"/>
    </w:rPr>
  </w:style>
  <w:style w:type="paragraph" w:customStyle="1" w:styleId="17">
    <w:name w:val="Date"/>
    <w:basedOn w:val="1"/>
    <w:next w:val="1"/>
    <w:link w:val="16"/>
    <w:qFormat/>
    <w:uiPriority w:val="0"/>
    <w:pPr>
      <w:ind w:left="100" w:leftChars="2500"/>
    </w:pPr>
    <w:rPr>
      <w:rFonts w:ascii="Times New Roman" w:hAnsi="Times New Roman" w:eastAsia="宋体" w:cs="Times New Roman"/>
      <w:szCs w:val="24"/>
    </w:rPr>
  </w:style>
  <w:style w:type="character" w:customStyle="1" w:styleId="18">
    <w:name w:val="页脚 Char"/>
    <w:basedOn w:val="11"/>
    <w:link w:val="6"/>
    <w:semiHidden/>
    <w:qFormat/>
    <w:uiPriority w:val="0"/>
    <w:rPr>
      <w:sz w:val="18"/>
      <w:szCs w:val="18"/>
    </w:rPr>
  </w:style>
  <w:style w:type="character" w:customStyle="1" w:styleId="19">
    <w:name w:val="页眉 Char"/>
    <w:basedOn w:val="11"/>
    <w:link w:val="7"/>
    <w:semiHidden/>
    <w:qFormat/>
    <w:uiPriority w:val="0"/>
    <w:rPr>
      <w:sz w:val="18"/>
      <w:szCs w:val="18"/>
    </w:rPr>
  </w:style>
  <w:style w:type="character" w:customStyle="1" w:styleId="20">
    <w:name w:val="副标题 Char"/>
    <w:basedOn w:val="11"/>
    <w:link w:val="8"/>
    <w:semiHidden/>
    <w:qFormat/>
    <w:uiPriority w:val="0"/>
    <w:rPr>
      <w:rFonts w:ascii="Calibri" w:hAnsi="Calibri" w:eastAsia="宋体" w:cs="黑体"/>
      <w:i/>
      <w:iCs/>
      <w:color w:val="F0A22E"/>
      <w:spacing w:val="15"/>
      <w:kern w:val="0"/>
      <w:sz w:val="24"/>
      <w:szCs w:val="24"/>
    </w:rPr>
  </w:style>
  <w:style w:type="character" w:customStyle="1" w:styleId="21">
    <w:name w:val="标题 Char"/>
    <w:basedOn w:val="11"/>
    <w:link w:val="9"/>
    <w:semiHidden/>
    <w:qFormat/>
    <w:uiPriority w:val="0"/>
    <w:rPr>
      <w:rFonts w:ascii="Calibri" w:hAnsi="Calibri" w:eastAsia="宋体" w:cs="黑体"/>
      <w:color w:val="392B23"/>
      <w:spacing w:val="5"/>
      <w:kern w:val="28"/>
      <w:sz w:val="52"/>
      <w:szCs w:val="52"/>
    </w:rPr>
  </w:style>
  <w:style w:type="paragraph" w:customStyle="1" w:styleId="22">
    <w:name w:val="批注框文本 Char Char"/>
    <w:basedOn w:val="1"/>
    <w:link w:val="25"/>
    <w:qFormat/>
    <w:uiPriority w:val="0"/>
    <w:rPr>
      <w:rFonts w:ascii="Times New Roman" w:hAnsi="Times New Roman" w:eastAsia="宋体" w:cs="Times New Roman"/>
      <w:sz w:val="18"/>
      <w:szCs w:val="18"/>
    </w:rPr>
  </w:style>
  <w:style w:type="paragraph" w:customStyle="1" w:styleId="23">
    <w:name w:val="No Spacing"/>
    <w:link w:val="27"/>
    <w:qFormat/>
    <w:uiPriority w:val="0"/>
    <w:pPr>
      <w:spacing w:after="160" w:line="480" w:lineRule="auto"/>
    </w:pPr>
    <w:rPr>
      <w:rFonts w:ascii="Times New Roman" w:hAnsi="Times New Roman" w:eastAsia="宋体" w:cs="Times New Roman"/>
      <w:kern w:val="0"/>
      <w:sz w:val="22"/>
      <w:lang w:val="en-US" w:eastAsia="zh-CN" w:bidi="ar-SA"/>
    </w:rPr>
  </w:style>
  <w:style w:type="paragraph" w:customStyle="1" w:styleId="24">
    <w:name w:val="List Paragraph"/>
    <w:basedOn w:val="1"/>
    <w:qFormat/>
    <w:uiPriority w:val="0"/>
    <w:pPr>
      <w:ind w:firstLine="420" w:firstLineChars="200"/>
    </w:pPr>
  </w:style>
  <w:style w:type="character" w:customStyle="1" w:styleId="25">
    <w:name w:val="批注框文本 Char Char Char Char"/>
    <w:basedOn w:val="11"/>
    <w:link w:val="22"/>
    <w:semiHidden/>
    <w:qFormat/>
    <w:uiPriority w:val="0"/>
    <w:rPr>
      <w:rFonts w:ascii="Times New Roman" w:hAnsi="Times New Roman" w:eastAsia="宋体" w:cs="Times New Roman"/>
      <w:sz w:val="18"/>
      <w:szCs w:val="18"/>
    </w:rPr>
  </w:style>
  <w:style w:type="character" w:customStyle="1" w:styleId="26">
    <w:name w:val="page number"/>
    <w:basedOn w:val="11"/>
    <w:qFormat/>
    <w:uiPriority w:val="0"/>
  </w:style>
  <w:style w:type="character" w:customStyle="1" w:styleId="27">
    <w:name w:val="无间隔 Char"/>
    <w:basedOn w:val="11"/>
    <w:link w:val="23"/>
    <w:semiHidden/>
    <w:qFormat/>
    <w:uiPriority w:val="0"/>
    <w:rPr>
      <w:kern w:val="0"/>
      <w:sz w:val="22"/>
    </w:rPr>
  </w:style>
  <w:style w:type="character" w:customStyle="1" w:styleId="28">
    <w:name w:val="Style1"/>
    <w:basedOn w:val="11"/>
    <w:qFormat/>
    <w:uiPriority w:val="0"/>
    <w:rPr>
      <w:rFonts w:ascii="Cambria" w:hAnsi="黑体" w:eastAsia="黑体" w:cs="黑体"/>
      <w:sz w:val="22"/>
      <w:szCs w:val="22"/>
      <w:lang w:eastAsia="zh-CN"/>
    </w:rPr>
  </w:style>
  <w:style w:type="character" w:customStyle="1" w:styleId="29">
    <w:name w:val="Style2"/>
    <w:basedOn w:val="11"/>
    <w:qFormat/>
    <w:uiPriority w:val="0"/>
    <w:rPr>
      <w:rFonts w:ascii="Cambria" w:hAnsi="黑体" w:eastAsia="黑体" w:cs="黑体"/>
      <w:sz w:val="22"/>
      <w:szCs w:val="22"/>
      <w:lang w:eastAsia="zh-CN"/>
    </w:rPr>
  </w:style>
  <w:style w:type="character" w:customStyle="1" w:styleId="30">
    <w:name w:val="Style3"/>
    <w:basedOn w:val="11"/>
    <w:qFormat/>
    <w:uiPriority w:val="0"/>
    <w:rPr>
      <w:rFonts w:ascii="Cambria" w:hAnsi="黑体" w:eastAsia="黑体" w:cs="黑体"/>
      <w:szCs w:val="22"/>
      <w:lang w:eastAsia="zh-CN"/>
    </w:rPr>
  </w:style>
  <w:style w:type="character" w:customStyle="1" w:styleId="31">
    <w:name w:val="Style4"/>
    <w:basedOn w:val="11"/>
    <w:qFormat/>
    <w:uiPriority w:val="0"/>
    <w:rPr>
      <w:rFonts w:ascii="Cambria" w:hAnsi="黑体" w:eastAsia="黑体" w:cs="黑体"/>
      <w:szCs w:val="22"/>
      <w:lang w:eastAsia="zh-CN"/>
    </w:rPr>
  </w:style>
  <w:style w:type="character" w:customStyle="1" w:styleId="32">
    <w:name w:val="Style5"/>
    <w:basedOn w:val="11"/>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8.jpe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5"/>
    <customShpInfo spid="_x0000_s1036"/>
    <customShpInfo spid="_x0000_s1057"/>
    <customShpInfo spid="_x0000_s1058"/>
    <customShpInfo spid="_x0000_s1044"/>
    <customShpInfo spid="_x0000_s1059"/>
    <customShpInfo spid="_x0000_s1060"/>
    <customShpInfo spid="_x0000_s1043"/>
    <customShpInfo spid="_x0000_s1026"/>
    <customShpInfo spid="_x0000_s1041"/>
    <customShpInfo spid="_x0000_s1061"/>
    <customShpInfo spid="_x0000_s1062"/>
    <customShpInfo spid="_x0000_s1037"/>
    <customShpInfo spid="_x0000_s1027"/>
    <customShpInfo spid="_x0000_s1038"/>
    <customShpInfo spid="_x0000_s1028"/>
    <customShpInfo spid="_x0000_s1039"/>
    <customShpInfo spid="_x0000_s1063"/>
    <customShpInfo spid="_x0000_s1064"/>
    <customShpInfo spid="_x0000_s1052"/>
    <customShpInfo spid="_x0000_s1031"/>
    <customShpInfo spid="_x0000_s1032"/>
    <customShpInfo spid="_x0000_s1065"/>
    <customShpInfo spid="_x0000_s1066"/>
    <customShpInfo spid="_x0000_s1045"/>
    <customShpInfo spid="_x0000_s1033"/>
    <customShpInfo spid="_x0000_s1053"/>
    <customShpInfo spid="_x0000_s1034"/>
    <customShpInfo spid="_x0000_s1054"/>
    <customShpInfo spid="_x0000_s1035"/>
    <customShpInfo spid="_x0000_s1055"/>
    <customShpInfo spid="_x0000_s1067"/>
    <customShpInfo spid="_x0000_s1068"/>
    <customShpInfo spid="_x0000_s1046"/>
    <customShpInfo spid="_x0000_s1069"/>
    <customShpInfo spid="_x0000_s1070"/>
    <customShpInfo spid="_x0000_s1047"/>
    <customShpInfo spid="_x0000_s1071"/>
    <customShpInfo spid="_x0000_s1072"/>
    <customShpInfo spid="_x0000_s1048"/>
    <customShpInfo spid="_x0000_s1073"/>
    <customShpInfo spid="_x0000_s1074"/>
    <customShpInfo spid="_x0000_s1049"/>
    <customShpInfo spid="_x0000_s1029"/>
    <customShpInfo spid="_x0000_s1040"/>
    <customShpInfo spid="_x0000_s1075"/>
    <customShpInfo spid="_x0000_s1076"/>
    <customShpInfo spid="_x0000_s1042"/>
    <customShpInfo spid="_x0000_s1077"/>
    <customShpInfo spid="_x0000_s1078"/>
    <customShpInfo spid="_x0000_s1050"/>
    <customShpInfo spid="_x0000_s1079"/>
    <customShpInfo spid="_x0000_s1080"/>
    <customShpInfo spid="_x0000_s1051"/>
    <customShpInfo spid="_x0000_s103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24</Pages>
  <Words>5387</Words>
  <Characters>5760</Characters>
  <Lines>46</Lines>
  <Paragraphs>13</Paragraphs>
  <TotalTime>17</TotalTime>
  <ScaleCrop>false</ScaleCrop>
  <LinksUpToDate>false</LinksUpToDate>
  <CharactersWithSpaces>5817</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2019-09-02T08:40:00Z</dcterms:created>
  <dc:creator>User</dc:creator>
  <cp:lastModifiedBy> </cp:lastModifiedBy>
  <cp:lastPrinted>2019-08-07T01:01:00Z</cp:lastPrinted>
  <dcterms:modified xsi:type="dcterms:W3CDTF">2024-09-19T08:09:30Z</dcterms:modified>
  <dc:subject>石家庄市xxx部门</dc:subject>
  <dc:title>2017年度部门决算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E74434986AC743E581DF25BAA7067B7E_12</vt:lpwstr>
  </property>
</Properties>
</file>