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tabs>
          <w:tab w:val="left" w:pos="1299"/>
          <w:tab w:val="center" w:pos="4543"/>
        </w:tabs>
        <w:kinsoku/>
        <w:wordWrap/>
        <w:overflowPunct/>
        <w:topLinePunct w:val="0"/>
        <w:autoSpaceDE/>
        <w:autoSpaceDN/>
        <w:bidi w:val="0"/>
        <w:adjustRightInd w:val="0"/>
        <w:snapToGrid w:val="0"/>
        <w:spacing w:line="560" w:lineRule="exact"/>
        <w:ind w:right="0"/>
        <w:jc w:val="center"/>
        <w:textAlignment w:val="auto"/>
        <w:rPr>
          <w:rFonts w:hint="eastAsia" w:ascii="宋体" w:hAnsi="宋体" w:cs="宋体"/>
          <w:b/>
          <w:bCs/>
          <w:color w:val="000000"/>
          <w:kern w:val="60"/>
          <w:sz w:val="44"/>
          <w:szCs w:val="44"/>
          <w:lang w:val="en-US" w:eastAsia="zh-CN"/>
        </w:rPr>
      </w:pPr>
      <w:r>
        <w:rPr>
          <w:rFonts w:hint="eastAsia" w:ascii="宋体" w:hAnsi="宋体" w:eastAsia="宋体" w:cs="宋体"/>
          <w:b/>
          <w:bCs/>
          <w:color w:val="000000"/>
          <w:kern w:val="60"/>
          <w:sz w:val="44"/>
          <w:szCs w:val="44"/>
          <w:lang w:eastAsia="zh-CN"/>
        </w:rPr>
        <w:t>关于调整石家庄市</w:t>
      </w:r>
      <w:r>
        <w:rPr>
          <w:rFonts w:hint="eastAsia" w:ascii="宋体" w:hAnsi="宋体" w:cs="宋体"/>
          <w:b/>
          <w:bCs/>
          <w:color w:val="000000"/>
          <w:kern w:val="60"/>
          <w:sz w:val="44"/>
          <w:szCs w:val="44"/>
          <w:lang w:val="en-US" w:eastAsia="zh-CN"/>
        </w:rPr>
        <w:t>公安局藁城分局</w:t>
      </w:r>
    </w:p>
    <w:p>
      <w:pPr>
        <w:keepNext w:val="0"/>
        <w:keepLines w:val="0"/>
        <w:pageBreakBefore w:val="0"/>
        <w:tabs>
          <w:tab w:val="left" w:pos="1299"/>
          <w:tab w:val="center" w:pos="4543"/>
        </w:tabs>
        <w:kinsoku/>
        <w:wordWrap/>
        <w:overflowPunct/>
        <w:topLinePunct w:val="0"/>
        <w:autoSpaceDE/>
        <w:autoSpaceDN/>
        <w:bidi w:val="0"/>
        <w:adjustRightInd w:val="0"/>
        <w:snapToGrid w:val="0"/>
        <w:spacing w:line="560" w:lineRule="exact"/>
        <w:ind w:right="0"/>
        <w:jc w:val="center"/>
        <w:textAlignment w:val="auto"/>
        <w:rPr>
          <w:rFonts w:hint="eastAsia" w:ascii="宋体" w:hAnsi="宋体" w:eastAsia="宋体" w:cs="宋体"/>
          <w:b/>
          <w:bCs/>
          <w:color w:val="000000"/>
          <w:kern w:val="60"/>
          <w:sz w:val="44"/>
          <w:szCs w:val="44"/>
          <w:lang w:val="en-US" w:eastAsia="zh-CN"/>
        </w:rPr>
      </w:pPr>
      <w:r>
        <w:rPr>
          <w:rFonts w:hint="eastAsia" w:ascii="宋体" w:hAnsi="宋体" w:eastAsia="宋体" w:cs="宋体"/>
          <w:b/>
          <w:bCs/>
          <w:color w:val="000000"/>
          <w:kern w:val="60"/>
          <w:sz w:val="44"/>
          <w:szCs w:val="44"/>
          <w:lang w:val="en-US" w:eastAsia="zh-CN"/>
        </w:rPr>
        <w:t>202</w:t>
      </w:r>
      <w:r>
        <w:rPr>
          <w:rFonts w:hint="eastAsia" w:ascii="宋体" w:hAnsi="宋体" w:cs="宋体"/>
          <w:b/>
          <w:bCs/>
          <w:color w:val="000000"/>
          <w:kern w:val="60"/>
          <w:sz w:val="44"/>
          <w:szCs w:val="44"/>
          <w:lang w:val="en-US" w:eastAsia="zh-CN"/>
        </w:rPr>
        <w:t>3</w:t>
      </w:r>
      <w:r>
        <w:rPr>
          <w:rFonts w:hint="eastAsia" w:ascii="宋体" w:hAnsi="宋体" w:eastAsia="宋体" w:cs="宋体"/>
          <w:b/>
          <w:bCs/>
          <w:color w:val="000000"/>
          <w:kern w:val="60"/>
          <w:sz w:val="44"/>
          <w:szCs w:val="44"/>
          <w:lang w:val="en-US" w:eastAsia="zh-CN"/>
        </w:rPr>
        <w:t>年“双随机、一公开”抽查工作计划</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60" w:lineRule="exact"/>
        <w:ind w:left="0" w:leftChars="0" w:right="0" w:rightChars="0" w:firstLine="608"/>
        <w:jc w:val="left"/>
        <w:textAlignment w:val="auto"/>
        <w:outlineLvl w:val="9"/>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right="0" w:rightChars="0" w:firstLine="602"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为贯彻落实省、市政府关于“双随机、一公开”监管工作安排部署，结合我局工作实际，特调整抽查计划：</w:t>
      </w:r>
    </w:p>
    <w:p>
      <w:pPr>
        <w:keepNext w:val="0"/>
        <w:keepLines w:val="0"/>
        <w:pageBreakBefore w:val="0"/>
        <w:widowControl w:val="0"/>
        <w:numPr>
          <w:ilvl w:val="0"/>
          <w:numId w:val="1"/>
        </w:numPr>
        <w:kinsoku/>
        <w:wordWrap/>
        <w:overflowPunct/>
        <w:topLinePunct w:val="0"/>
        <w:autoSpaceDE/>
        <w:autoSpaceDN/>
        <w:bidi w:val="0"/>
        <w:adjustRightInd/>
        <w:snapToGrid/>
        <w:spacing w:before="0" w:beforeLines="0" w:after="0" w:afterLines="0" w:line="560" w:lineRule="exact"/>
        <w:ind w:left="0" w:leftChars="0" w:right="0" w:rightChars="0" w:firstLine="602" w:firstLineChars="200"/>
        <w:jc w:val="both"/>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抽查工作安排</w:t>
      </w: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602" w:firstLineChars="200"/>
        <w:jc w:val="both"/>
        <w:textAlignment w:val="auto"/>
        <w:outlineLvl w:val="9"/>
        <w:rPr>
          <w:rFonts w:hint="eastAsia" w:ascii="仿宋" w:hAnsi="仿宋" w:eastAsia="仿宋" w:cs="仿宋"/>
          <w:color w:val="auto"/>
          <w:sz w:val="32"/>
          <w:szCs w:val="32"/>
          <w:lang w:eastAsia="zh-CN"/>
        </w:rPr>
      </w:pPr>
      <w:r>
        <w:rPr>
          <w:rFonts w:hint="eastAsia" w:ascii="仿宋" w:hAnsi="仿宋" w:eastAsia="仿宋" w:cs="仿宋"/>
          <w:sz w:val="32"/>
          <w:szCs w:val="32"/>
        </w:rPr>
        <w:t>今年</w:t>
      </w:r>
      <w:r>
        <w:rPr>
          <w:rFonts w:hint="eastAsia" w:ascii="仿宋" w:hAnsi="仿宋" w:eastAsia="仿宋" w:cs="仿宋"/>
          <w:sz w:val="32"/>
          <w:szCs w:val="32"/>
          <w:lang w:eastAsia="zh-CN"/>
        </w:rPr>
        <w:t>我</w:t>
      </w:r>
      <w:r>
        <w:rPr>
          <w:rFonts w:hint="eastAsia" w:ascii="仿宋" w:hAnsi="仿宋" w:eastAsia="仿宋" w:cs="仿宋"/>
          <w:sz w:val="32"/>
          <w:szCs w:val="32"/>
          <w:lang w:val="en-US" w:eastAsia="zh-CN"/>
        </w:rPr>
        <w:t>分</w:t>
      </w:r>
      <w:r>
        <w:rPr>
          <w:rFonts w:hint="eastAsia" w:ascii="仿宋" w:hAnsi="仿宋" w:eastAsia="仿宋" w:cs="仿宋"/>
          <w:sz w:val="32"/>
          <w:szCs w:val="32"/>
          <w:lang w:eastAsia="zh-CN"/>
        </w:rPr>
        <w:t>局</w:t>
      </w:r>
      <w:r>
        <w:rPr>
          <w:rFonts w:hint="eastAsia" w:ascii="仿宋" w:hAnsi="仿宋" w:eastAsia="仿宋" w:cs="仿宋"/>
          <w:sz w:val="32"/>
          <w:szCs w:val="32"/>
        </w:rPr>
        <w:t>计划</w:t>
      </w:r>
      <w:r>
        <w:rPr>
          <w:rFonts w:hint="eastAsia" w:ascii="仿宋" w:hAnsi="仿宋" w:eastAsia="仿宋" w:cs="仿宋"/>
          <w:sz w:val="32"/>
          <w:szCs w:val="32"/>
          <w:lang w:val="en-US" w:eastAsia="zh-CN"/>
        </w:rPr>
        <w:t>5</w:t>
      </w:r>
      <w:r>
        <w:rPr>
          <w:rFonts w:hint="eastAsia" w:ascii="仿宋" w:hAnsi="仿宋" w:eastAsia="仿宋" w:cs="仿宋"/>
          <w:sz w:val="32"/>
          <w:szCs w:val="32"/>
        </w:rPr>
        <w:t>月</w:t>
      </w:r>
      <w:r>
        <w:rPr>
          <w:rFonts w:hint="eastAsia" w:ascii="仿宋" w:hAnsi="仿宋" w:eastAsia="仿宋" w:cs="仿宋"/>
          <w:sz w:val="32"/>
          <w:szCs w:val="32"/>
          <w:lang w:eastAsia="zh-CN"/>
        </w:rPr>
        <w:t>至</w:t>
      </w:r>
      <w:r>
        <w:rPr>
          <w:rFonts w:hint="eastAsia" w:ascii="仿宋" w:hAnsi="仿宋" w:eastAsia="仿宋" w:cs="仿宋"/>
          <w:sz w:val="32"/>
          <w:szCs w:val="32"/>
          <w:lang w:val="en-US" w:eastAsia="zh-CN"/>
        </w:rPr>
        <w:t>6</w:t>
      </w:r>
      <w:r>
        <w:rPr>
          <w:rFonts w:hint="eastAsia" w:ascii="仿宋" w:hAnsi="仿宋" w:eastAsia="仿宋" w:cs="仿宋"/>
          <w:sz w:val="32"/>
          <w:szCs w:val="32"/>
        </w:rPr>
        <w:t>月组织开展内部联合抽查</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8</w:t>
      </w:r>
      <w:r>
        <w:rPr>
          <w:rFonts w:hint="default" w:ascii="仿宋" w:hAnsi="仿宋" w:eastAsia="仿宋" w:cs="仿宋"/>
          <w:sz w:val="32"/>
          <w:szCs w:val="32"/>
          <w:lang w:val="en-US" w:eastAsia="zh-CN"/>
        </w:rPr>
        <w:t>月至</w:t>
      </w:r>
      <w:r>
        <w:rPr>
          <w:rFonts w:hint="eastAsia" w:ascii="仿宋" w:hAnsi="仿宋" w:eastAsia="仿宋" w:cs="仿宋"/>
          <w:sz w:val="32"/>
          <w:szCs w:val="32"/>
          <w:lang w:val="en-US" w:eastAsia="zh-CN"/>
        </w:rPr>
        <w:t>10</w:t>
      </w:r>
      <w:r>
        <w:rPr>
          <w:rFonts w:hint="default" w:ascii="仿宋" w:hAnsi="仿宋" w:eastAsia="仿宋" w:cs="仿宋"/>
          <w:sz w:val="32"/>
          <w:szCs w:val="32"/>
          <w:lang w:val="en-US" w:eastAsia="zh-CN"/>
        </w:rPr>
        <w:t>月</w:t>
      </w:r>
      <w:r>
        <w:rPr>
          <w:rFonts w:hint="eastAsia" w:ascii="仿宋" w:hAnsi="仿宋" w:eastAsia="仿宋" w:cs="仿宋"/>
          <w:sz w:val="32"/>
          <w:szCs w:val="32"/>
          <w:lang w:val="en-US" w:eastAsia="zh-CN"/>
        </w:rPr>
        <w:t>组织开展跨部门抽查。根据区“双随机办”的安排部署及党</w:t>
      </w:r>
      <w:r>
        <w:rPr>
          <w:rFonts w:hint="eastAsia" w:ascii="仿宋" w:hAnsi="仿宋" w:eastAsia="仿宋" w:cs="仿宋"/>
          <w:sz w:val="32"/>
          <w:szCs w:val="32"/>
        </w:rPr>
        <w:t>委政府重点工作、辖区市场秩序突出风险点和监管重点</w:t>
      </w:r>
      <w:r>
        <w:rPr>
          <w:rFonts w:hint="eastAsia" w:ascii="仿宋" w:hAnsi="仿宋" w:eastAsia="仿宋" w:cs="仿宋"/>
          <w:sz w:val="32"/>
          <w:szCs w:val="32"/>
          <w:lang w:eastAsia="zh-CN"/>
        </w:rPr>
        <w:t>，</w:t>
      </w:r>
      <w:r>
        <w:rPr>
          <w:rFonts w:hint="eastAsia" w:ascii="仿宋" w:hAnsi="仿宋" w:eastAsia="仿宋" w:cs="仿宋"/>
          <w:sz w:val="32"/>
          <w:szCs w:val="32"/>
        </w:rPr>
        <w:t>依据任务下移、均衡开展、突</w:t>
      </w:r>
      <w:r>
        <w:rPr>
          <w:rFonts w:hint="eastAsia" w:ascii="仿宋" w:hAnsi="仿宋" w:eastAsia="仿宋" w:cs="仿宋"/>
          <w:color w:val="auto"/>
          <w:sz w:val="32"/>
          <w:szCs w:val="32"/>
        </w:rPr>
        <w:t>出重点的原则，本着对重点检查事项抽查比例不设上限</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一般检查事项严格限制抽查比例的要求，确保完成</w:t>
      </w:r>
      <w:r>
        <w:rPr>
          <w:rFonts w:hint="eastAsia" w:ascii="仿宋" w:hAnsi="仿宋" w:eastAsia="仿宋" w:cs="仿宋"/>
          <w:color w:val="auto"/>
          <w:sz w:val="32"/>
          <w:szCs w:val="32"/>
          <w:lang w:eastAsia="zh-CN"/>
        </w:rPr>
        <w:t>我局</w:t>
      </w:r>
      <w:r>
        <w:rPr>
          <w:rFonts w:hint="eastAsia" w:ascii="仿宋" w:hAnsi="仿宋" w:eastAsia="仿宋" w:cs="仿宋"/>
          <w:color w:val="auto"/>
          <w:sz w:val="32"/>
          <w:szCs w:val="32"/>
        </w:rPr>
        <w:t>抽查工作目标</w:t>
      </w:r>
      <w:r>
        <w:rPr>
          <w:rFonts w:hint="eastAsia" w:ascii="仿宋" w:hAnsi="仿宋" w:eastAsia="仿宋" w:cs="仿宋"/>
          <w:color w:val="auto"/>
          <w:sz w:val="32"/>
          <w:szCs w:val="32"/>
          <w:lang w:eastAsia="zh-CN"/>
        </w:rPr>
        <w:t>。</w:t>
      </w:r>
    </w:p>
    <w:p>
      <w:pPr>
        <w:keepNext w:val="0"/>
        <w:keepLines w:val="0"/>
        <w:pageBreakBefore w:val="0"/>
        <w:widowControl w:val="0"/>
        <w:numPr>
          <w:ilvl w:val="0"/>
          <w:numId w:val="1"/>
        </w:numPr>
        <w:kinsoku/>
        <w:wordWrap/>
        <w:overflowPunct/>
        <w:topLinePunct w:val="0"/>
        <w:autoSpaceDE/>
        <w:autoSpaceDN/>
        <w:bidi w:val="0"/>
        <w:adjustRightInd/>
        <w:snapToGrid/>
        <w:spacing w:before="0" w:beforeLines="0" w:after="0" w:afterLines="0" w:line="560" w:lineRule="exact"/>
        <w:ind w:left="0" w:leftChars="0" w:right="0" w:rightChars="0" w:firstLine="602" w:firstLineChars="200"/>
        <w:jc w:val="both"/>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抽查事项</w:t>
      </w:r>
    </w:p>
    <w:p>
      <w:pPr>
        <w:keepNext w:val="0"/>
        <w:keepLines w:val="0"/>
        <w:pageBreakBefore w:val="0"/>
        <w:kinsoku/>
        <w:wordWrap/>
        <w:overflowPunct/>
        <w:topLinePunct w:val="0"/>
        <w:autoSpaceDE/>
        <w:autoSpaceDN/>
        <w:bidi w:val="0"/>
        <w:adjustRightInd/>
        <w:spacing w:line="600" w:lineRule="exact"/>
        <w:ind w:firstLine="602" w:firstLineChars="200"/>
        <w:textAlignment w:val="auto"/>
        <w:rPr>
          <w:rFonts w:hint="eastAsia" w:ascii="仿宋" w:hAnsi="仿宋" w:eastAsia="仿宋" w:cs="仿宋"/>
          <w:sz w:val="32"/>
          <w:szCs w:val="32"/>
        </w:rPr>
      </w:pPr>
      <w:r>
        <w:rPr>
          <w:rFonts w:hint="eastAsia" w:ascii="仿宋" w:hAnsi="仿宋" w:eastAsia="仿宋" w:cs="仿宋"/>
          <w:sz w:val="32"/>
          <w:szCs w:val="32"/>
        </w:rPr>
        <w:t>按本部门抽查事项清单进行。</w:t>
      </w:r>
    </w:p>
    <w:p>
      <w:pPr>
        <w:keepNext w:val="0"/>
        <w:keepLines w:val="0"/>
        <w:pageBreakBefore w:val="0"/>
        <w:widowControl w:val="0"/>
        <w:numPr>
          <w:ilvl w:val="0"/>
          <w:numId w:val="1"/>
        </w:numPr>
        <w:kinsoku/>
        <w:wordWrap/>
        <w:overflowPunct/>
        <w:topLinePunct w:val="0"/>
        <w:autoSpaceDE/>
        <w:autoSpaceDN/>
        <w:bidi w:val="0"/>
        <w:adjustRightInd/>
        <w:snapToGrid/>
        <w:spacing w:before="0" w:beforeLines="0" w:after="0" w:afterLines="0" w:line="560" w:lineRule="exact"/>
        <w:ind w:left="0" w:leftChars="0" w:right="0" w:rightChars="0" w:firstLine="602" w:firstLineChars="200"/>
        <w:jc w:val="both"/>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抽取方式</w:t>
      </w:r>
    </w:p>
    <w:p>
      <w:pPr>
        <w:keepNext w:val="0"/>
        <w:keepLines w:val="0"/>
        <w:pageBreakBefore w:val="0"/>
        <w:widowControl/>
        <w:kinsoku/>
        <w:wordWrap/>
        <w:overflowPunct/>
        <w:topLinePunct w:val="0"/>
        <w:autoSpaceDE/>
        <w:autoSpaceDN/>
        <w:bidi w:val="0"/>
        <w:snapToGrid w:val="0"/>
        <w:spacing w:line="560" w:lineRule="exact"/>
        <w:ind w:firstLine="602" w:firstLineChars="200"/>
        <w:jc w:val="both"/>
        <w:textAlignment w:val="auto"/>
        <w:rPr>
          <w:rFonts w:hint="eastAsia" w:ascii="仿宋" w:hAnsi="仿宋" w:eastAsia="仿宋" w:cs="仿宋"/>
          <w:kern w:val="0"/>
          <w:sz w:val="32"/>
          <w:szCs w:val="32"/>
        </w:rPr>
      </w:pPr>
      <w:r>
        <w:rPr>
          <w:rFonts w:hint="eastAsia" w:ascii="仿宋" w:hAnsi="仿宋" w:eastAsia="仿宋" w:cs="仿宋"/>
          <w:sz w:val="32"/>
          <w:szCs w:val="32"/>
          <w:lang w:val="en-US" w:eastAsia="zh-CN"/>
        </w:rPr>
        <w:t>利用“河北省双随机执法监管平台”系统，随机抽取市场主体、执法人员，随机编组、随机匹配的方式进行抽取。</w:t>
      </w:r>
      <w:r>
        <w:rPr>
          <w:rFonts w:hint="eastAsia" w:ascii="仿宋" w:hAnsi="仿宋" w:eastAsia="仿宋" w:cs="仿宋"/>
          <w:kern w:val="0"/>
          <w:sz w:val="32"/>
          <w:szCs w:val="32"/>
        </w:rPr>
        <w:t>被抽取的检查人员与被抽取的检查对象有利害关系的，应当</w:t>
      </w:r>
      <w:r>
        <w:rPr>
          <w:rFonts w:hint="eastAsia" w:ascii="仿宋" w:hAnsi="仿宋" w:eastAsia="仿宋" w:cs="仿宋"/>
          <w:kern w:val="0"/>
          <w:sz w:val="32"/>
          <w:szCs w:val="32"/>
          <w:lang w:eastAsia="zh-CN"/>
        </w:rPr>
        <w:t>回</w:t>
      </w:r>
      <w:r>
        <w:rPr>
          <w:rFonts w:hint="eastAsia" w:ascii="仿宋" w:hAnsi="仿宋" w:eastAsia="仿宋" w:cs="仿宋"/>
          <w:kern w:val="0"/>
          <w:sz w:val="32"/>
          <w:szCs w:val="32"/>
        </w:rPr>
        <w:t>避，并重新抽取行政检查人员。每次检查抽取的检查人员不得少于2人。</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right="0" w:rightChars="0" w:firstLine="602" w:firstLineChars="200"/>
        <w:jc w:val="both"/>
        <w:textAlignment w:val="auto"/>
        <w:outlineLvl w:val="9"/>
        <w:rPr>
          <w:rFonts w:hint="eastAsia" w:ascii="仿宋" w:hAnsi="仿宋" w:eastAsia="仿宋" w:cs="仿宋"/>
          <w:b/>
          <w:bCs/>
          <w:sz w:val="32"/>
          <w:szCs w:val="32"/>
          <w:lang w:val="en-US" w:eastAsia="zh-CN"/>
        </w:rPr>
      </w:pPr>
      <w:r>
        <w:rPr>
          <w:rFonts w:hint="eastAsia" w:ascii="黑体" w:hAnsi="黑体" w:eastAsia="黑体" w:cs="黑体"/>
          <w:b w:val="0"/>
          <w:bCs w:val="0"/>
          <w:sz w:val="32"/>
          <w:szCs w:val="32"/>
          <w:lang w:val="en-US" w:eastAsia="zh-CN"/>
        </w:rPr>
        <w:t>四、检查方式</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left="0" w:leftChars="0" w:right="0" w:rightChars="0" w:firstLine="602"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可以采取书面检查、实地检查、网络监测，委托专业机构检查、委托下级检查等方式进行检查。检查中可以利用其他政府部门做出的检查结果或专业机构作出的专业结论。</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right="0" w:rightChars="0" w:firstLine="602" w:firstLineChars="200"/>
        <w:jc w:val="both"/>
        <w:textAlignment w:val="auto"/>
        <w:outlineLvl w:val="9"/>
        <w:rPr>
          <w:rFonts w:hint="eastAsia" w:ascii="仿宋" w:hAnsi="仿宋" w:eastAsia="仿宋" w:cs="仿宋"/>
          <w:sz w:val="32"/>
          <w:szCs w:val="32"/>
          <w:lang w:val="en-US" w:eastAsia="zh-CN"/>
        </w:rPr>
      </w:pPr>
      <w:r>
        <w:rPr>
          <w:rFonts w:hint="eastAsia" w:ascii="黑体" w:hAnsi="黑体" w:eastAsia="黑体" w:cs="黑体"/>
          <w:b w:val="0"/>
          <w:bCs w:val="0"/>
          <w:sz w:val="32"/>
          <w:szCs w:val="32"/>
          <w:lang w:val="en-US" w:eastAsia="zh-CN"/>
        </w:rPr>
        <w:t xml:space="preserve">五、抽查结果 </w:t>
      </w:r>
      <w:r>
        <w:rPr>
          <w:rFonts w:hint="eastAsia" w:ascii="仿宋" w:hAnsi="仿宋" w:eastAsia="仿宋" w:cs="仿宋"/>
          <w:sz w:val="32"/>
          <w:szCs w:val="32"/>
          <w:lang w:val="en-US" w:eastAsia="zh-CN"/>
        </w:rPr>
        <w:t xml:space="preserve">                                </w:t>
      </w:r>
    </w:p>
    <w:p>
      <w:pPr>
        <w:keepNext w:val="0"/>
        <w:keepLines w:val="0"/>
        <w:pageBreakBefore w:val="0"/>
        <w:widowControl w:val="0"/>
        <w:kinsoku/>
        <w:wordWrap/>
        <w:overflowPunct/>
        <w:topLinePunct w:val="0"/>
        <w:autoSpaceDE/>
        <w:autoSpaceDN/>
        <w:bidi w:val="0"/>
        <w:spacing w:before="0" w:beforeLines="0" w:after="0" w:afterLines="0" w:line="560" w:lineRule="exact"/>
        <w:ind w:left="0" w:leftChars="0" w:right="0" w:rightChars="0" w:firstLine="602"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抽查结束后，应通过“河北省双随机执法监管平台”按时间要求录入检查结果，将检查结果向社会公示，抽查结果公示率应达到100%。对检查中发现的违反法律、法规的，依法进行处理并公示处理结果。对检查中发现不属于本部门职权范围内的违法行为，要依法移送有关部门。</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right="0" w:rightChars="0" w:firstLine="602" w:firstLineChars="200"/>
        <w:jc w:val="both"/>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六、严格抽查纪律</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right="0" w:rightChars="0" w:firstLine="602"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检查人员对被抽取的市场主体实施检查时，不能妨碍市场主体正常的活动，不得索取或收受市场主体的财物，不得谋取其他利益。对抽查监管工作中失职渎职和违纪的，要依法依纪严肃处理。</w:t>
      </w:r>
    </w:p>
    <w:p>
      <w:pPr>
        <w:pStyle w:val="5"/>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right="0" w:rightChars="0"/>
        <w:jc w:val="both"/>
        <w:textAlignment w:val="auto"/>
        <w:outlineLvl w:val="9"/>
        <w:rPr>
          <w:rFonts w:hint="eastAsia" w:ascii="仿宋" w:hAnsi="仿宋" w:eastAsia="仿宋" w:cs="仿宋"/>
          <w:sz w:val="32"/>
          <w:szCs w:val="32"/>
          <w:lang w:val="en-US" w:eastAsia="zh-CN"/>
        </w:rPr>
        <w:sectPr>
          <w:headerReference r:id="rId3" w:type="default"/>
          <w:footerReference r:id="rId4" w:type="default"/>
          <w:pgSz w:w="11906" w:h="16838"/>
          <w:pgMar w:top="2154" w:right="1417" w:bottom="2041" w:left="1531" w:header="851" w:footer="1417" w:gutter="0"/>
          <w:pgNumType w:fmt="decimal"/>
          <w:cols w:space="720" w:num="1"/>
          <w:rtlGutter w:val="0"/>
          <w:docGrid w:type="linesAndChars" w:linePitch="287" w:charSpace="-3974"/>
        </w:sectPr>
      </w:pPr>
      <w:r>
        <w:rPr>
          <w:rFonts w:hint="eastAsia" w:ascii="仿宋" w:hAnsi="仿宋" w:eastAsia="仿宋" w:cs="仿宋"/>
          <w:sz w:val="32"/>
          <w:szCs w:val="32"/>
          <w:lang w:val="en-US" w:eastAsia="zh-CN"/>
        </w:rPr>
        <w:t xml:space="preserve">   附件：《石家庄市公安局藁城分局2023年度随机抽查工作计划》</w:t>
      </w:r>
    </w:p>
    <w:p>
      <w:pPr>
        <w:keepNext w:val="0"/>
        <w:keepLines w:val="0"/>
        <w:pageBreakBefore w:val="0"/>
        <w:widowControl w:val="0"/>
        <w:kinsoku/>
        <w:wordWrap/>
        <w:overflowPunct/>
        <w:topLinePunct w:val="0"/>
        <w:autoSpaceDE/>
        <w:autoSpaceDN/>
        <w:bidi w:val="0"/>
        <w:adjustRightInd w:val="0"/>
        <w:snapToGrid w:val="0"/>
        <w:spacing w:after="156" w:afterLines="50"/>
        <w:ind w:left="0" w:leftChars="0" w:right="0" w:rightChars="0" w:firstLine="0" w:firstLineChars="0"/>
        <w:jc w:val="left"/>
        <w:textAlignment w:val="auto"/>
        <w:outlineLvl w:val="9"/>
        <w:rPr>
          <w:rFonts w:hint="eastAsia" w:ascii="宋体" w:hAnsi="宋体" w:eastAsia="宋体" w:cs="宋体"/>
          <w:color w:val="000000"/>
          <w:kern w:val="0"/>
          <w:sz w:val="32"/>
          <w:szCs w:val="32"/>
          <w:lang w:val="en-US" w:eastAsia="zh-CN"/>
        </w:rPr>
      </w:pPr>
      <w:r>
        <w:rPr>
          <w:rFonts w:hint="eastAsia" w:ascii="宋体" w:hAnsi="宋体" w:eastAsia="宋体" w:cs="宋体"/>
          <w:color w:val="000000"/>
          <w:kern w:val="0"/>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val="0"/>
        <w:spacing w:after="156" w:afterLines="50"/>
        <w:ind w:left="0" w:leftChars="0" w:right="0" w:rightChars="0" w:firstLine="0" w:firstLineChars="0"/>
        <w:jc w:val="center"/>
        <w:textAlignment w:val="auto"/>
        <w:outlineLvl w:val="9"/>
        <w:rPr>
          <w:rFonts w:hint="eastAsia" w:ascii="宋体" w:hAnsi="宋体" w:eastAsia="宋体" w:cs="宋体"/>
          <w:b/>
          <w:bCs/>
          <w:color w:val="000000"/>
          <w:kern w:val="0"/>
          <w:sz w:val="36"/>
          <w:szCs w:val="36"/>
        </w:rPr>
      </w:pPr>
      <w:r>
        <w:rPr>
          <w:rFonts w:hint="eastAsia" w:ascii="宋体" w:hAnsi="宋体" w:eastAsia="宋体" w:cs="宋体"/>
          <w:b/>
          <w:bCs/>
          <w:color w:val="000000"/>
          <w:kern w:val="0"/>
          <w:sz w:val="36"/>
          <w:szCs w:val="36"/>
          <w:lang w:eastAsia="zh-CN"/>
        </w:rPr>
        <w:t>关于调整石家庄市</w:t>
      </w:r>
      <w:r>
        <w:rPr>
          <w:rFonts w:hint="eastAsia" w:ascii="宋体" w:hAnsi="宋体" w:cs="宋体"/>
          <w:b/>
          <w:bCs/>
          <w:color w:val="000000"/>
          <w:kern w:val="0"/>
          <w:sz w:val="36"/>
          <w:szCs w:val="36"/>
          <w:lang w:eastAsia="zh-CN"/>
        </w:rPr>
        <w:t>公安局</w:t>
      </w:r>
      <w:r>
        <w:rPr>
          <w:rFonts w:hint="eastAsia" w:ascii="宋体" w:hAnsi="宋体" w:eastAsia="宋体" w:cs="宋体"/>
          <w:b/>
          <w:bCs/>
          <w:color w:val="000000"/>
          <w:kern w:val="0"/>
          <w:sz w:val="36"/>
          <w:szCs w:val="36"/>
          <w:lang w:eastAsia="zh-CN"/>
        </w:rPr>
        <w:t>藁城</w:t>
      </w:r>
      <w:r>
        <w:rPr>
          <w:rFonts w:hint="eastAsia" w:ascii="宋体" w:hAnsi="宋体" w:cs="宋体"/>
          <w:b/>
          <w:bCs/>
          <w:color w:val="000000"/>
          <w:kern w:val="0"/>
          <w:sz w:val="36"/>
          <w:szCs w:val="36"/>
          <w:lang w:eastAsia="zh-CN"/>
        </w:rPr>
        <w:t>分</w:t>
      </w:r>
      <w:r>
        <w:rPr>
          <w:rFonts w:hint="eastAsia" w:ascii="宋体" w:hAnsi="宋体" w:eastAsia="宋体" w:cs="宋体"/>
          <w:b/>
          <w:bCs/>
          <w:color w:val="000000"/>
          <w:kern w:val="0"/>
          <w:sz w:val="36"/>
          <w:szCs w:val="36"/>
          <w:lang w:eastAsia="zh-CN"/>
        </w:rPr>
        <w:t>局</w:t>
      </w:r>
      <w:r>
        <w:rPr>
          <w:rFonts w:hint="eastAsia" w:ascii="宋体" w:hAnsi="宋体" w:eastAsia="宋体" w:cs="宋体"/>
          <w:b/>
          <w:bCs/>
          <w:color w:val="000000"/>
          <w:kern w:val="0"/>
          <w:sz w:val="36"/>
          <w:szCs w:val="36"/>
        </w:rPr>
        <w:t>202</w:t>
      </w:r>
      <w:r>
        <w:rPr>
          <w:rFonts w:hint="eastAsia" w:ascii="宋体" w:hAnsi="宋体" w:cs="宋体"/>
          <w:b/>
          <w:bCs/>
          <w:color w:val="000000"/>
          <w:kern w:val="0"/>
          <w:sz w:val="36"/>
          <w:szCs w:val="36"/>
          <w:lang w:val="en-US" w:eastAsia="zh-CN"/>
        </w:rPr>
        <w:t>3</w:t>
      </w:r>
      <w:r>
        <w:rPr>
          <w:rFonts w:hint="eastAsia" w:ascii="宋体" w:hAnsi="宋体" w:eastAsia="宋体" w:cs="宋体"/>
          <w:b/>
          <w:bCs/>
          <w:color w:val="000000"/>
          <w:kern w:val="0"/>
          <w:sz w:val="36"/>
          <w:szCs w:val="36"/>
        </w:rPr>
        <w:t>年度随机抽查工作计划</w:t>
      </w:r>
    </w:p>
    <w:p>
      <w:pPr>
        <w:pStyle w:val="5"/>
        <w:rPr>
          <w:rFonts w:hint="eastAsia"/>
        </w:rPr>
      </w:pPr>
    </w:p>
    <w:tbl>
      <w:tblPr>
        <w:tblStyle w:val="9"/>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79"/>
        <w:gridCol w:w="1704"/>
        <w:gridCol w:w="852"/>
        <w:gridCol w:w="1583"/>
        <w:gridCol w:w="93"/>
        <w:gridCol w:w="819"/>
        <w:gridCol w:w="1511"/>
        <w:gridCol w:w="150"/>
        <w:gridCol w:w="1166"/>
        <w:gridCol w:w="427"/>
        <w:gridCol w:w="946"/>
        <w:gridCol w:w="265"/>
        <w:gridCol w:w="923"/>
        <w:gridCol w:w="1189"/>
        <w:gridCol w:w="138"/>
        <w:gridCol w:w="9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jc w:val="center"/>
        </w:trPr>
        <w:tc>
          <w:tcPr>
            <w:tcW w:w="14000" w:type="dxa"/>
            <w:gridSpan w:val="16"/>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本</w:t>
            </w:r>
            <w:r>
              <w:rPr>
                <w:rFonts w:hint="eastAsia" w:ascii="黑体" w:hAnsi="黑体" w:eastAsia="黑体" w:cs="宋体"/>
                <w:bCs/>
                <w:color w:val="000000"/>
                <w:kern w:val="0"/>
                <w:sz w:val="24"/>
                <w:lang w:eastAsia="zh-CN"/>
              </w:rPr>
              <w:t>区</w:t>
            </w:r>
            <w:r>
              <w:rPr>
                <w:rFonts w:hint="eastAsia" w:ascii="黑体" w:hAnsi="黑体" w:eastAsia="黑体" w:cs="宋体"/>
                <w:bCs/>
                <w:color w:val="000000"/>
                <w:kern w:val="0"/>
                <w:sz w:val="24"/>
              </w:rPr>
              <w:t>领导小组各成员单位内部联合随机抽查工作计划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8" w:hRule="atLeast"/>
          <w:jc w:val="center"/>
        </w:trPr>
        <w:tc>
          <w:tcPr>
            <w:tcW w:w="1279"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抽查计划编号</w:t>
            </w:r>
          </w:p>
        </w:tc>
        <w:tc>
          <w:tcPr>
            <w:tcW w:w="1704"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抽查计划名称</w:t>
            </w:r>
          </w:p>
        </w:tc>
        <w:tc>
          <w:tcPr>
            <w:tcW w:w="852"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抽查任务编号</w:t>
            </w:r>
          </w:p>
        </w:tc>
        <w:tc>
          <w:tcPr>
            <w:tcW w:w="1676"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ascii="黑体" w:hAnsi="黑体" w:eastAsia="黑体" w:cs="宋体"/>
                <w:bCs/>
                <w:color w:val="000000"/>
                <w:kern w:val="0"/>
                <w:sz w:val="24"/>
              </w:rPr>
            </w:pPr>
            <w:r>
              <w:rPr>
                <w:rFonts w:hint="eastAsia" w:ascii="黑体" w:hAnsi="黑体" w:eastAsia="黑体" w:cs="宋体"/>
                <w:bCs/>
                <w:color w:val="000000"/>
                <w:kern w:val="0"/>
                <w:sz w:val="24"/>
              </w:rPr>
              <w:t>抽查任务</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名称</w:t>
            </w:r>
          </w:p>
        </w:tc>
        <w:tc>
          <w:tcPr>
            <w:tcW w:w="819"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类型</w:t>
            </w:r>
          </w:p>
        </w:tc>
        <w:tc>
          <w:tcPr>
            <w:tcW w:w="1511"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比例</w:t>
            </w:r>
          </w:p>
        </w:tc>
        <w:tc>
          <w:tcPr>
            <w:tcW w:w="1316"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事项</w:t>
            </w:r>
          </w:p>
        </w:tc>
        <w:tc>
          <w:tcPr>
            <w:tcW w:w="1373"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ascii="黑体" w:hAnsi="黑体" w:eastAsia="黑体" w:cs="宋体"/>
                <w:bCs/>
                <w:color w:val="000000"/>
                <w:kern w:val="0"/>
                <w:sz w:val="24"/>
              </w:rPr>
            </w:pPr>
            <w:r>
              <w:rPr>
                <w:rFonts w:hint="eastAsia" w:ascii="黑体" w:hAnsi="黑体" w:eastAsia="黑体" w:cs="宋体"/>
                <w:bCs/>
                <w:color w:val="000000"/>
                <w:kern w:val="0"/>
                <w:sz w:val="24"/>
              </w:rPr>
              <w:t>抽查对象</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范围</w:t>
            </w:r>
          </w:p>
        </w:tc>
        <w:tc>
          <w:tcPr>
            <w:tcW w:w="1188"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发起</w:t>
            </w:r>
            <w:r>
              <w:rPr>
                <w:rFonts w:hint="eastAsia" w:ascii="黑体" w:hAnsi="黑体" w:eastAsia="黑体" w:cs="宋体"/>
                <w:bCs/>
                <w:color w:val="000000"/>
                <w:kern w:val="0"/>
                <w:sz w:val="24"/>
                <w:lang w:eastAsia="zh-CN"/>
              </w:rPr>
              <w:t>股</w:t>
            </w:r>
            <w:r>
              <w:rPr>
                <w:rFonts w:hint="eastAsia" w:ascii="黑体" w:hAnsi="黑体" w:eastAsia="黑体" w:cs="宋体"/>
                <w:bCs/>
                <w:color w:val="000000"/>
                <w:kern w:val="0"/>
                <w:sz w:val="24"/>
              </w:rPr>
              <w:t>室</w:t>
            </w:r>
          </w:p>
        </w:tc>
        <w:tc>
          <w:tcPr>
            <w:tcW w:w="1189"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联合</w:t>
            </w:r>
            <w:r>
              <w:rPr>
                <w:rFonts w:hint="eastAsia" w:ascii="黑体" w:hAnsi="黑体" w:eastAsia="黑体" w:cs="宋体"/>
                <w:bCs/>
                <w:color w:val="000000"/>
                <w:kern w:val="0"/>
                <w:sz w:val="24"/>
                <w:lang w:eastAsia="zh-CN"/>
              </w:rPr>
              <w:t>股</w:t>
            </w:r>
            <w:r>
              <w:rPr>
                <w:rFonts w:hint="eastAsia" w:ascii="黑体" w:hAnsi="黑体" w:eastAsia="黑体" w:cs="宋体"/>
                <w:bCs/>
                <w:color w:val="000000"/>
                <w:kern w:val="0"/>
                <w:sz w:val="24"/>
              </w:rPr>
              <w:t>室</w:t>
            </w:r>
          </w:p>
        </w:tc>
        <w:tc>
          <w:tcPr>
            <w:tcW w:w="1093"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6" w:hRule="atLeast"/>
          <w:jc w:val="center"/>
        </w:trPr>
        <w:tc>
          <w:tcPr>
            <w:tcW w:w="1279"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eastAsia" w:ascii="仿宋_GB2312" w:hAnsi="黑体" w:eastAsia="仿宋_GB2312" w:cs="宋体"/>
                <w:bCs/>
                <w:color w:val="000000"/>
                <w:kern w:val="0"/>
                <w:sz w:val="24"/>
              </w:rPr>
            </w:pPr>
            <w:r>
              <w:rPr>
                <w:rFonts w:hint="eastAsia" w:ascii="仿宋_GB2312" w:hAnsi="宋体" w:eastAsia="仿宋_GB2312" w:cs="宋体"/>
                <w:color w:val="000000"/>
                <w:kern w:val="0"/>
                <w:sz w:val="24"/>
                <w:lang w:eastAsia="zh-CN"/>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001</w:t>
            </w:r>
          </w:p>
        </w:tc>
        <w:tc>
          <w:tcPr>
            <w:tcW w:w="1704"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仿宋_GB2312" w:hAnsi="黑体" w:eastAsia="仿宋_GB2312" w:cs="宋体"/>
                <w:bCs/>
                <w:color w:val="000000"/>
                <w:kern w:val="0"/>
                <w:sz w:val="24"/>
              </w:rPr>
            </w:pPr>
            <w:r>
              <w:rPr>
                <w:rFonts w:hint="eastAsia" w:ascii="仿宋_GB2312" w:hAnsi="宋体" w:eastAsia="仿宋_GB2312" w:cs="宋体"/>
                <w:color w:val="000000"/>
                <w:kern w:val="0"/>
                <w:sz w:val="24"/>
                <w:lang w:eastAsia="zh-CN"/>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石家庄市公安局藁城分局</w:t>
            </w:r>
            <w:r>
              <w:rPr>
                <w:rFonts w:hint="eastAsia" w:ascii="仿宋_GB2312" w:hAnsi="宋体" w:eastAsia="仿宋_GB2312" w:cs="宋体"/>
                <w:color w:val="000000"/>
                <w:kern w:val="0"/>
                <w:sz w:val="24"/>
                <w:lang w:eastAsia="zh-CN"/>
              </w:rPr>
              <w:t>内部门</w:t>
            </w:r>
            <w:r>
              <w:rPr>
                <w:rFonts w:hint="eastAsia" w:ascii="仿宋_GB2312" w:hAnsi="宋体" w:eastAsia="仿宋_GB2312" w:cs="宋体"/>
                <w:color w:val="000000"/>
                <w:kern w:val="0"/>
                <w:sz w:val="24"/>
              </w:rPr>
              <w:t>联合随机抽查001</w:t>
            </w:r>
          </w:p>
        </w:tc>
        <w:tc>
          <w:tcPr>
            <w:tcW w:w="852"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仿宋_GB2312" w:hAnsi="黑体" w:eastAsia="仿宋_GB2312" w:cs="宋体"/>
                <w:bCs/>
                <w:color w:val="000000"/>
                <w:kern w:val="0"/>
                <w:sz w:val="24"/>
              </w:rPr>
            </w:pPr>
            <w:r>
              <w:rPr>
                <w:rFonts w:hint="eastAsia" w:ascii="仿宋_GB2312" w:hAnsi="宋体" w:eastAsia="仿宋_GB2312" w:cs="宋体"/>
                <w:color w:val="000000"/>
                <w:kern w:val="0"/>
                <w:sz w:val="24"/>
              </w:rPr>
              <w:t>001号</w:t>
            </w:r>
          </w:p>
        </w:tc>
        <w:tc>
          <w:tcPr>
            <w:tcW w:w="1676"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仿宋_GB2312" w:hAnsi="黑体" w:eastAsia="仿宋_GB2312" w:cs="宋体"/>
                <w:bCs/>
                <w:color w:val="000000"/>
                <w:kern w:val="0"/>
                <w:sz w:val="24"/>
              </w:rPr>
            </w:pPr>
            <w:r>
              <w:rPr>
                <w:rFonts w:hint="eastAsia" w:ascii="仿宋_GB2312" w:hAnsi="宋体" w:eastAsia="仿宋_GB2312" w:cs="宋体"/>
                <w:color w:val="000000"/>
                <w:spacing w:val="-6"/>
                <w:kern w:val="0"/>
                <w:sz w:val="24"/>
              </w:rPr>
              <w:t>以实施方案名称为准</w:t>
            </w:r>
          </w:p>
        </w:tc>
        <w:tc>
          <w:tcPr>
            <w:tcW w:w="819"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仿宋_GB2312" w:hAnsi="黑体" w:eastAsia="仿宋_GB2312" w:cs="宋体"/>
                <w:bCs/>
                <w:color w:val="000000"/>
                <w:kern w:val="0"/>
                <w:sz w:val="24"/>
              </w:rPr>
            </w:pPr>
            <w:r>
              <w:rPr>
                <w:rFonts w:hint="eastAsia" w:ascii="仿宋_GB2312" w:hAnsi="宋体" w:eastAsia="仿宋_GB2312" w:cs="宋体"/>
                <w:color w:val="000000"/>
                <w:kern w:val="0"/>
                <w:sz w:val="24"/>
                <w:lang w:eastAsia="zh-CN"/>
              </w:rPr>
              <w:t>定向</w:t>
            </w:r>
          </w:p>
        </w:tc>
        <w:tc>
          <w:tcPr>
            <w:tcW w:w="1511"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both"/>
              <w:textAlignment w:val="center"/>
              <w:rPr>
                <w:rFonts w:hint="eastAsia" w:ascii="仿宋_GB2312" w:hAnsi="黑体" w:eastAsia="仿宋_GB2312" w:cs="宋体"/>
                <w:bCs/>
                <w:color w:val="000000"/>
                <w:kern w:val="0"/>
                <w:sz w:val="24"/>
              </w:rPr>
            </w:pPr>
            <w:r>
              <w:rPr>
                <w:rFonts w:hint="eastAsia" w:ascii="仿宋_GB2312" w:hAnsi="宋体" w:eastAsia="仿宋_GB2312" w:cs="仿宋_GB2312"/>
                <w:i w:val="0"/>
                <w:iCs w:val="0"/>
                <w:color w:val="000000"/>
                <w:kern w:val="0"/>
                <w:sz w:val="24"/>
                <w:szCs w:val="24"/>
                <w:u w:val="none"/>
                <w:lang w:val="en-US" w:eastAsia="zh-CN"/>
              </w:rPr>
              <w:t>根据企业信用风险分类结果，按照等级分类差异化监管要求实施</w:t>
            </w:r>
          </w:p>
        </w:tc>
        <w:tc>
          <w:tcPr>
            <w:tcW w:w="1316"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仿宋_GB2312" w:hAnsi="黑体" w:eastAsia="仿宋_GB2312" w:cs="宋体"/>
                <w:bCs/>
                <w:color w:val="000000"/>
                <w:kern w:val="0"/>
                <w:sz w:val="24"/>
              </w:rPr>
            </w:pPr>
            <w:r>
              <w:rPr>
                <w:rFonts w:hint="eastAsia" w:ascii="仿宋" w:hAnsi="仿宋" w:eastAsia="仿宋" w:cs="仿宋"/>
                <w:sz w:val="24"/>
                <w:szCs w:val="24"/>
              </w:rPr>
              <w:t>本部门抽查事项清单进行</w:t>
            </w:r>
          </w:p>
        </w:tc>
        <w:tc>
          <w:tcPr>
            <w:tcW w:w="1373"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仿宋_GB2312" w:hAnsi="黑体" w:eastAsia="仿宋_GB2312" w:cs="宋体"/>
                <w:bCs/>
                <w:color w:val="000000"/>
                <w:kern w:val="0"/>
                <w:sz w:val="24"/>
              </w:rPr>
            </w:pPr>
            <w:r>
              <w:rPr>
                <w:rFonts w:hint="eastAsia" w:ascii="仿宋_GB2312" w:hAnsi="仿宋_GB2312" w:eastAsia="仿宋_GB2312" w:cs="仿宋_GB2312"/>
                <w:b w:val="0"/>
                <w:i w:val="0"/>
                <w:snapToGrid/>
                <w:color w:val="000000"/>
                <w:sz w:val="24"/>
                <w:u w:val="none"/>
              </w:rPr>
              <w:t>根据抽查要求确定</w:t>
            </w:r>
          </w:p>
        </w:tc>
        <w:tc>
          <w:tcPr>
            <w:tcW w:w="1188"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仿宋_GB2312" w:hAnsi="黑体" w:eastAsia="仿宋_GB2312" w:cs="宋体"/>
                <w:bCs/>
                <w:color w:val="000000"/>
                <w:kern w:val="0"/>
                <w:sz w:val="24"/>
              </w:rPr>
            </w:pPr>
            <w:r>
              <w:rPr>
                <w:rFonts w:hint="eastAsia" w:ascii="仿宋_GB2312" w:hAnsi="仿宋_GB2312" w:eastAsia="仿宋_GB2312" w:cs="仿宋_GB2312"/>
                <w:color w:val="000000"/>
                <w:kern w:val="0"/>
                <w:sz w:val="24"/>
                <w:lang w:eastAsia="zh-CN"/>
              </w:rPr>
              <w:t>藁城区公安局治安大队</w:t>
            </w:r>
          </w:p>
        </w:tc>
        <w:tc>
          <w:tcPr>
            <w:tcW w:w="1189"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仿宋_GB2312" w:hAnsi="黑体" w:eastAsia="仿宋_GB2312" w:cs="宋体"/>
                <w:bCs/>
                <w:color w:val="000000"/>
                <w:kern w:val="0"/>
                <w:sz w:val="24"/>
              </w:rPr>
            </w:pPr>
            <w:r>
              <w:rPr>
                <w:rFonts w:hint="eastAsia" w:ascii="仿宋_GB2312" w:hAnsi="宋体" w:eastAsia="仿宋_GB2312" w:cs="宋体"/>
                <w:color w:val="000000"/>
                <w:kern w:val="0"/>
                <w:sz w:val="24"/>
                <w:lang w:eastAsia="zh-CN"/>
              </w:rPr>
              <w:t>各派出所</w:t>
            </w:r>
          </w:p>
        </w:tc>
        <w:tc>
          <w:tcPr>
            <w:tcW w:w="1093"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仿宋_GB2312" w:hAnsi="黑体" w:eastAsia="仿宋_GB2312" w:cs="宋体"/>
                <w:bCs/>
                <w:color w:val="000000"/>
                <w:kern w:val="0"/>
                <w:sz w:val="24"/>
              </w:rPr>
            </w:pPr>
            <w:r>
              <w:rPr>
                <w:rFonts w:hint="eastAsia" w:ascii="仿宋_GB2312" w:hAnsi="宋体" w:eastAsia="仿宋_GB2312" w:cs="宋体"/>
                <w:color w:val="000000"/>
                <w:kern w:val="0"/>
                <w:sz w:val="24"/>
                <w:lang w:eastAsia="zh-CN"/>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5</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jc w:val="center"/>
        </w:trPr>
        <w:tc>
          <w:tcPr>
            <w:tcW w:w="14000" w:type="dxa"/>
            <w:gridSpan w:val="16"/>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ind w:left="0" w:leftChars="0" w:right="0" w:rightChars="0" w:firstLine="0" w:firstLineChars="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本</w:t>
            </w:r>
            <w:r>
              <w:rPr>
                <w:rFonts w:hint="eastAsia" w:ascii="黑体" w:hAnsi="黑体" w:eastAsia="黑体" w:cs="宋体"/>
                <w:bCs/>
                <w:color w:val="000000"/>
                <w:kern w:val="0"/>
                <w:sz w:val="24"/>
                <w:lang w:eastAsia="zh-CN"/>
              </w:rPr>
              <w:t>区</w:t>
            </w:r>
            <w:r>
              <w:rPr>
                <w:rFonts w:hint="eastAsia" w:ascii="黑体" w:hAnsi="黑体" w:eastAsia="黑体" w:cs="宋体"/>
                <w:bCs/>
                <w:color w:val="000000"/>
                <w:kern w:val="0"/>
                <w:sz w:val="24"/>
              </w:rPr>
              <w:t>发起的部门联合随机抽查工作计划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5" w:hRule="atLeast"/>
          <w:jc w:val="center"/>
        </w:trPr>
        <w:tc>
          <w:tcPr>
            <w:tcW w:w="1279"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抽查计划编号</w:t>
            </w:r>
          </w:p>
        </w:tc>
        <w:tc>
          <w:tcPr>
            <w:tcW w:w="1704"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抽查计划名称</w:t>
            </w:r>
          </w:p>
        </w:tc>
        <w:tc>
          <w:tcPr>
            <w:tcW w:w="852"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抽查任务编号</w:t>
            </w:r>
          </w:p>
        </w:tc>
        <w:tc>
          <w:tcPr>
            <w:tcW w:w="1583"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ascii="黑体" w:hAnsi="黑体" w:eastAsia="黑体" w:cs="宋体"/>
                <w:bCs/>
                <w:color w:val="000000"/>
                <w:kern w:val="0"/>
                <w:sz w:val="24"/>
              </w:rPr>
            </w:pPr>
            <w:r>
              <w:rPr>
                <w:rFonts w:hint="eastAsia" w:ascii="黑体" w:hAnsi="黑体" w:eastAsia="黑体" w:cs="宋体"/>
                <w:bCs/>
                <w:color w:val="000000"/>
                <w:kern w:val="0"/>
                <w:sz w:val="24"/>
              </w:rPr>
              <w:t>抽查任务</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名称</w:t>
            </w:r>
          </w:p>
        </w:tc>
        <w:tc>
          <w:tcPr>
            <w:tcW w:w="912"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类型</w:t>
            </w:r>
          </w:p>
        </w:tc>
        <w:tc>
          <w:tcPr>
            <w:tcW w:w="1661"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比例</w:t>
            </w:r>
          </w:p>
        </w:tc>
        <w:tc>
          <w:tcPr>
            <w:tcW w:w="1593"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事项</w:t>
            </w:r>
          </w:p>
        </w:tc>
        <w:tc>
          <w:tcPr>
            <w:tcW w:w="1211"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ascii="黑体" w:hAnsi="黑体" w:eastAsia="黑体" w:cs="宋体"/>
                <w:bCs/>
                <w:color w:val="000000"/>
                <w:kern w:val="0"/>
                <w:sz w:val="24"/>
              </w:rPr>
            </w:pPr>
            <w:r>
              <w:rPr>
                <w:rFonts w:hint="eastAsia" w:ascii="黑体" w:hAnsi="黑体" w:eastAsia="黑体" w:cs="宋体"/>
                <w:bCs/>
                <w:color w:val="000000"/>
                <w:kern w:val="0"/>
                <w:sz w:val="24"/>
              </w:rPr>
              <w:t>抽查对象</w:t>
            </w:r>
          </w:p>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范围</w:t>
            </w:r>
          </w:p>
        </w:tc>
        <w:tc>
          <w:tcPr>
            <w:tcW w:w="923"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发起部门</w:t>
            </w:r>
          </w:p>
        </w:tc>
        <w:tc>
          <w:tcPr>
            <w:tcW w:w="1327"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联合部门</w:t>
            </w:r>
          </w:p>
        </w:tc>
        <w:tc>
          <w:tcPr>
            <w:tcW w:w="955"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黑体" w:hAnsi="黑体" w:eastAsia="黑体" w:cs="宋体"/>
                <w:bCs/>
                <w:color w:val="000000"/>
                <w:kern w:val="0"/>
                <w:sz w:val="24"/>
              </w:rPr>
              <w:t>抽查时间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8" w:hRule="atLeast"/>
          <w:jc w:val="center"/>
        </w:trPr>
        <w:tc>
          <w:tcPr>
            <w:tcW w:w="1279" w:type="dxa"/>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仿宋_GB2312" w:hAnsi="宋体" w:eastAsia="仿宋_GB2312" w:cs="宋体"/>
                <w:color w:val="000000"/>
                <w:kern w:val="0"/>
                <w:sz w:val="24"/>
              </w:rPr>
              <w:t>联</w:t>
            </w:r>
            <w:r>
              <w:rPr>
                <w:rFonts w:hint="eastAsia" w:ascii="仿宋_GB2312" w:hAnsi="宋体" w:eastAsia="仿宋_GB2312" w:cs="宋体"/>
                <w:color w:val="000000"/>
                <w:kern w:val="0"/>
                <w:sz w:val="24"/>
                <w:lang w:eastAsia="zh-CN"/>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001　</w:t>
            </w:r>
          </w:p>
        </w:tc>
        <w:tc>
          <w:tcPr>
            <w:tcW w:w="1704"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仿宋_GB2312" w:hAnsi="宋体" w:eastAsia="仿宋_GB2312" w:cs="宋体"/>
                <w:color w:val="000000"/>
                <w:kern w:val="0"/>
                <w:sz w:val="24"/>
                <w:lang w:eastAsia="zh-CN"/>
              </w:rPr>
              <w:t>藁城区</w:t>
            </w:r>
            <w:r>
              <w:rPr>
                <w:rFonts w:hint="eastAsia" w:ascii="仿宋_GB2312" w:hAnsi="宋体" w:eastAsia="仿宋_GB2312" w:cs="宋体"/>
                <w:color w:val="000000"/>
                <w:kern w:val="0"/>
                <w:sz w:val="24"/>
                <w:lang w:val="en-US" w:eastAsia="zh-CN"/>
              </w:rPr>
              <w:t>2023年宾馆、旅店行业部门联合抽查</w:t>
            </w:r>
          </w:p>
        </w:tc>
        <w:tc>
          <w:tcPr>
            <w:tcW w:w="852"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仿宋_GB2312" w:hAnsi="宋体" w:eastAsia="仿宋_GB2312" w:cs="宋体"/>
                <w:color w:val="000000"/>
                <w:kern w:val="0"/>
                <w:sz w:val="24"/>
              </w:rPr>
              <w:t>联001</w:t>
            </w:r>
          </w:p>
        </w:tc>
        <w:tc>
          <w:tcPr>
            <w:tcW w:w="1583"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仿宋_GB2312" w:hAnsi="宋体" w:eastAsia="仿宋_GB2312" w:cs="宋体"/>
                <w:color w:val="000000"/>
                <w:spacing w:val="-6"/>
                <w:kern w:val="0"/>
                <w:sz w:val="24"/>
              </w:rPr>
              <w:t>以实施方案名称为准</w:t>
            </w:r>
          </w:p>
        </w:tc>
        <w:tc>
          <w:tcPr>
            <w:tcW w:w="912"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仿宋_GB2312" w:hAnsi="宋体" w:eastAsia="仿宋_GB2312" w:cs="宋体"/>
                <w:color w:val="000000"/>
                <w:kern w:val="0"/>
                <w:sz w:val="24"/>
              </w:rPr>
              <w:t>定向</w:t>
            </w:r>
          </w:p>
        </w:tc>
        <w:tc>
          <w:tcPr>
            <w:tcW w:w="1661" w:type="dxa"/>
            <w:gridSpan w:val="2"/>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黑体" w:hAnsi="黑体" w:eastAsia="黑体" w:cs="宋体"/>
                <w:bCs/>
                <w:color w:val="000000"/>
                <w:kern w:val="0"/>
                <w:sz w:val="24"/>
              </w:rPr>
            </w:pPr>
            <w:r>
              <w:rPr>
                <w:rFonts w:hint="eastAsia" w:ascii="仿宋_GB2312" w:hAnsi="宋体" w:eastAsia="仿宋_GB2312" w:cs="仿宋_GB2312"/>
                <w:i w:val="0"/>
                <w:iCs w:val="0"/>
                <w:color w:val="000000"/>
                <w:kern w:val="0"/>
                <w:sz w:val="24"/>
                <w:szCs w:val="24"/>
                <w:u w:val="none"/>
                <w:lang w:val="en-US" w:eastAsia="zh-CN"/>
              </w:rPr>
              <w:t>根据企业信用风险分类结果，按照等级分类差异化监管要求实施</w:t>
            </w:r>
          </w:p>
        </w:tc>
        <w:tc>
          <w:tcPr>
            <w:tcW w:w="1593"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仿宋_GB2312" w:hAnsi="宋体" w:eastAsia="仿宋_GB2312" w:cs="宋体"/>
                <w:color w:val="000000"/>
                <w:kern w:val="0"/>
                <w:sz w:val="24"/>
              </w:rPr>
              <w:t>本次抽查确定的联合抽查事项清单</w:t>
            </w:r>
          </w:p>
        </w:tc>
        <w:tc>
          <w:tcPr>
            <w:tcW w:w="1211"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仿宋_GB2312" w:hAnsi="宋体" w:eastAsia="仿宋_GB2312" w:cs="宋体"/>
                <w:color w:val="000000"/>
                <w:kern w:val="0"/>
                <w:sz w:val="24"/>
              </w:rPr>
              <w:t>依各参与部门需求确定</w:t>
            </w:r>
          </w:p>
        </w:tc>
        <w:tc>
          <w:tcPr>
            <w:tcW w:w="923"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仿宋_GB2312" w:hAnsi="宋体" w:eastAsia="仿宋_GB2312" w:cs="宋体"/>
                <w:color w:val="000000"/>
                <w:kern w:val="0"/>
                <w:sz w:val="24"/>
                <w:lang w:eastAsia="zh-CN"/>
              </w:rPr>
              <w:t>石家庄市公安局藁城分局</w:t>
            </w:r>
          </w:p>
        </w:tc>
        <w:tc>
          <w:tcPr>
            <w:tcW w:w="1327" w:type="dxa"/>
            <w:gridSpan w:val="2"/>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仿宋_GB2312" w:hAnsi="宋体" w:eastAsia="仿宋_GB2312" w:cs="宋体"/>
                <w:color w:val="000000"/>
                <w:kern w:val="0"/>
                <w:sz w:val="24"/>
                <w:lang w:eastAsia="zh-CN"/>
              </w:rPr>
              <w:t>区卫健局、区消防大队</w:t>
            </w:r>
          </w:p>
        </w:tc>
        <w:tc>
          <w:tcPr>
            <w:tcW w:w="955" w:type="dxa"/>
            <w:tcBorders>
              <w:top w:val="single" w:color="auto" w:sz="4" w:space="0"/>
              <w:left w:val="nil"/>
              <w:bottom w:val="single" w:color="auto" w:sz="4" w:space="0"/>
              <w:right w:val="single" w:color="auto" w:sz="4" w:space="0"/>
            </w:tcBorders>
            <w:noWrap w:val="0"/>
            <w:vAlign w:val="center"/>
          </w:tcPr>
          <w:p>
            <w:pPr>
              <w:widowControl/>
              <w:adjustRightInd w:val="0"/>
              <w:snapToGrid w:val="0"/>
              <w:jc w:val="center"/>
              <w:rPr>
                <w:rFonts w:hint="eastAsia" w:ascii="黑体" w:hAnsi="黑体" w:eastAsia="黑体" w:cs="宋体"/>
                <w:bCs/>
                <w:color w:val="000000"/>
                <w:kern w:val="0"/>
                <w:sz w:val="24"/>
              </w:rPr>
            </w:pPr>
            <w:r>
              <w:rPr>
                <w:rFonts w:hint="eastAsia" w:ascii="仿宋_GB2312" w:hAnsi="宋体" w:eastAsia="仿宋_GB2312" w:cs="宋体"/>
                <w:color w:val="000000"/>
                <w:kern w:val="0"/>
                <w:sz w:val="24"/>
                <w:lang w:eastAsia="zh-CN"/>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8</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10</w:t>
            </w:r>
            <w:r>
              <w:rPr>
                <w:rFonts w:hint="eastAsia" w:ascii="仿宋_GB2312" w:hAnsi="宋体" w:eastAsia="仿宋_GB2312" w:cs="宋体"/>
                <w:color w:val="000000"/>
                <w:kern w:val="0"/>
                <w:sz w:val="24"/>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8" w:hRule="atLeast"/>
          <w:jc w:val="center"/>
        </w:trPr>
        <w:tc>
          <w:tcPr>
            <w:tcW w:w="127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宋体" w:eastAsia="仿宋_GB2312" w:cs="仿宋_GB2312"/>
                <w:i w:val="0"/>
                <w:iCs w:val="0"/>
                <w:color w:val="000000"/>
                <w:kern w:val="0"/>
                <w:sz w:val="24"/>
                <w:szCs w:val="24"/>
                <w:u w:val="none"/>
                <w:lang w:val="en-US" w:eastAsia="zh-CN"/>
              </w:rPr>
            </w:pPr>
          </w:p>
        </w:tc>
        <w:tc>
          <w:tcPr>
            <w:tcW w:w="1704"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宋体" w:eastAsia="仿宋_GB2312" w:cs="仿宋_GB2312"/>
                <w:i w:val="0"/>
                <w:iCs w:val="0"/>
                <w:color w:val="000000"/>
                <w:kern w:val="0"/>
                <w:sz w:val="24"/>
                <w:szCs w:val="24"/>
                <w:u w:val="none"/>
                <w:lang w:val="en-US" w:eastAsia="zh-CN"/>
              </w:rPr>
            </w:pPr>
          </w:p>
        </w:tc>
        <w:tc>
          <w:tcPr>
            <w:tcW w:w="852"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宋体" w:eastAsia="仿宋_GB2312" w:cs="仿宋_GB2312"/>
                <w:i w:val="0"/>
                <w:iCs w:val="0"/>
                <w:color w:val="000000"/>
                <w:kern w:val="0"/>
                <w:sz w:val="24"/>
                <w:szCs w:val="24"/>
                <w:u w:val="none"/>
                <w:lang w:val="en-US" w:eastAsia="zh-CN"/>
              </w:rPr>
            </w:pPr>
          </w:p>
        </w:tc>
        <w:tc>
          <w:tcPr>
            <w:tcW w:w="1583"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宋体" w:eastAsia="仿宋_GB2312" w:cs="仿宋_GB2312"/>
                <w:i w:val="0"/>
                <w:iCs w:val="0"/>
                <w:color w:val="000000"/>
                <w:kern w:val="0"/>
                <w:sz w:val="24"/>
                <w:szCs w:val="24"/>
                <w:u w:val="none"/>
                <w:lang w:val="en-US" w:eastAsia="zh-CN"/>
              </w:rPr>
            </w:pPr>
          </w:p>
        </w:tc>
        <w:tc>
          <w:tcPr>
            <w:tcW w:w="912" w:type="dxa"/>
            <w:gridSpan w:val="2"/>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kern w:val="0"/>
                <w:sz w:val="24"/>
                <w:szCs w:val="24"/>
                <w:u w:val="none"/>
                <w:lang w:val="en-US" w:eastAsia="zh-CN"/>
              </w:rPr>
            </w:pPr>
          </w:p>
        </w:tc>
        <w:tc>
          <w:tcPr>
            <w:tcW w:w="1661" w:type="dxa"/>
            <w:gridSpan w:val="2"/>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eastAsia" w:ascii="仿宋_GB2312" w:hAnsi="宋体" w:eastAsia="仿宋_GB2312" w:cs="仿宋_GB2312"/>
                <w:i w:val="0"/>
                <w:iCs w:val="0"/>
                <w:color w:val="000000"/>
                <w:kern w:val="0"/>
                <w:sz w:val="24"/>
                <w:szCs w:val="24"/>
                <w:u w:val="none"/>
                <w:lang w:val="en-US" w:eastAsia="zh-CN"/>
              </w:rPr>
            </w:pPr>
          </w:p>
        </w:tc>
        <w:tc>
          <w:tcPr>
            <w:tcW w:w="1593" w:type="dxa"/>
            <w:gridSpan w:val="2"/>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宋体" w:eastAsia="仿宋_GB2312" w:cs="仿宋_GB2312"/>
                <w:i w:val="0"/>
                <w:iCs w:val="0"/>
                <w:color w:val="000000"/>
                <w:kern w:val="0"/>
                <w:sz w:val="24"/>
                <w:szCs w:val="24"/>
                <w:u w:val="none"/>
                <w:lang w:val="en-US" w:eastAsia="zh-CN"/>
              </w:rPr>
            </w:pPr>
          </w:p>
        </w:tc>
        <w:tc>
          <w:tcPr>
            <w:tcW w:w="1211" w:type="dxa"/>
            <w:gridSpan w:val="2"/>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宋体" w:eastAsia="仿宋_GB2312" w:cs="仿宋_GB2312"/>
                <w:i w:val="0"/>
                <w:iCs w:val="0"/>
                <w:color w:val="000000"/>
                <w:kern w:val="0"/>
                <w:sz w:val="24"/>
                <w:szCs w:val="24"/>
                <w:u w:val="none"/>
                <w:lang w:val="en-US" w:eastAsia="zh-CN"/>
              </w:rPr>
            </w:pPr>
          </w:p>
        </w:tc>
        <w:tc>
          <w:tcPr>
            <w:tcW w:w="923"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kern w:val="0"/>
                <w:sz w:val="24"/>
                <w:szCs w:val="24"/>
                <w:u w:val="none"/>
                <w:lang w:val="en-US" w:eastAsia="zh-CN"/>
              </w:rPr>
            </w:pPr>
          </w:p>
        </w:tc>
        <w:tc>
          <w:tcPr>
            <w:tcW w:w="1327" w:type="dxa"/>
            <w:gridSpan w:val="2"/>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仿宋_GB2312" w:hAnsi="宋体" w:eastAsia="仿宋_GB2312" w:cs="仿宋_GB2312"/>
                <w:i w:val="0"/>
                <w:iCs w:val="0"/>
                <w:color w:val="000000"/>
                <w:kern w:val="0"/>
                <w:sz w:val="24"/>
                <w:szCs w:val="24"/>
                <w:u w:val="none"/>
                <w:lang w:val="en-US" w:eastAsia="zh-CN"/>
              </w:rPr>
            </w:pPr>
          </w:p>
        </w:tc>
        <w:tc>
          <w:tcPr>
            <w:tcW w:w="955" w:type="dxa"/>
            <w:tcBorders>
              <w:top w:val="single" w:color="auto" w:sz="4" w:space="0"/>
              <w:left w:val="nil"/>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仿宋_GB2312" w:hAnsi="宋体" w:eastAsia="仿宋_GB2312" w:cs="仿宋_GB2312"/>
                <w:i w:val="0"/>
                <w:iCs w:val="0"/>
                <w:color w:val="000000"/>
                <w:kern w:val="0"/>
                <w:sz w:val="24"/>
                <w:szCs w:val="24"/>
                <w:u w:val="none"/>
                <w:lang w:val="en-US" w:eastAsia="zh-CN"/>
              </w:rPr>
            </w:pP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小标宋简体">
    <w:altName w:val="黑体"/>
    <w:panose1 w:val="03000509000000000000"/>
    <w:charset w:val="86"/>
    <w:family w:val="script"/>
    <w:pitch w:val="default"/>
    <w:sig w:usb0="00000000" w:usb1="0000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6"/>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t>1</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path/>
              <v:fill on="f" focussize="0,0"/>
              <v:stroke on="f"/>
              <v:imagedata o:title=""/>
              <o:lock v:ext="edit" grouping="f" rotation="f" text="f" aspectratio="f"/>
              <v:textbox inset="0mm,0mm,0mm,0mm" style="mso-fit-shape-to-text:t;">
                <w:txbxContent>
                  <w:p>
                    <w:pPr>
                      <w:pStyle w:val="6"/>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t>1</w:t>
                    </w:r>
                    <w:r>
                      <w:rPr>
                        <w:rFonts w:hint="eastAsia"/>
                        <w:lang w:eastAsia="zh-CN"/>
                      </w:rPr>
                      <w:fldChar w:fldCharType="end"/>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6"/>
                            <w:rPr>
                              <w:rStyle w:val="11"/>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grouping="f" rotation="f" text="f" aspectratio="f"/>
              <v:textbox inset="0mm,0mm,0mm,0mm" style="mso-fit-shape-to-text:t;">
                <w:txbxContent>
                  <w:p>
                    <w:pPr>
                      <w:pStyle w:val="6"/>
                      <w:rPr>
                        <w:rStyle w:val="11"/>
                      </w:rPr>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4"/>
    <w:multiLevelType w:val="singleLevel"/>
    <w:tmpl w:val="0000000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RiNWFiNDEwZTYzNzQ2NzU0NTc2YjZlNTEyM2RlN2EifQ=="/>
  </w:docVars>
  <w:rsids>
    <w:rsidRoot w:val="52C13B3C"/>
    <w:rsid w:val="52C13B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widowControl w:val="0"/>
      <w:adjustRightInd/>
      <w:snapToGrid/>
      <w:spacing w:after="0" w:afterLines="0" w:line="360" w:lineRule="auto"/>
      <w:ind w:left="0" w:leftChars="0" w:firstLine="420" w:firstLineChars="200"/>
      <w:jc w:val="both"/>
      <w:textAlignment w:val="baseline"/>
    </w:pPr>
    <w:rPr>
      <w:rFonts w:hint="eastAsia" w:ascii="Calibri" w:hAnsi="Calibri" w:eastAsia="宋体"/>
      <w:kern w:val="2"/>
      <w:sz w:val="24"/>
      <w:szCs w:val="24"/>
    </w:rPr>
  </w:style>
  <w:style w:type="paragraph" w:styleId="3">
    <w:name w:val="Body Text Indent"/>
    <w:basedOn w:val="1"/>
    <w:next w:val="4"/>
    <w:qFormat/>
    <w:uiPriority w:val="0"/>
    <w:pPr>
      <w:widowControl/>
      <w:adjustRightInd w:val="0"/>
      <w:snapToGrid w:val="0"/>
      <w:spacing w:after="120" w:afterLines="0" w:line="240" w:lineRule="auto"/>
      <w:ind w:left="420" w:leftChars="200"/>
      <w:jc w:val="left"/>
    </w:pPr>
    <w:rPr>
      <w:rFonts w:ascii="Tahoma" w:hAnsi="Tahoma" w:eastAsia="微软雅黑"/>
      <w:spacing w:val="0"/>
      <w:kern w:val="0"/>
      <w:sz w:val="22"/>
    </w:rPr>
  </w:style>
  <w:style w:type="paragraph" w:styleId="4">
    <w:name w:val="Subtitle"/>
    <w:basedOn w:val="1"/>
    <w:next w:val="1"/>
    <w:qFormat/>
    <w:uiPriority w:val="0"/>
    <w:pPr>
      <w:spacing w:line="700" w:lineRule="exact"/>
      <w:jc w:val="center"/>
      <w:outlineLvl w:val="1"/>
    </w:pPr>
    <w:rPr>
      <w:rFonts w:ascii="Arial" w:hAnsi="Arial" w:eastAsia="方正小标宋简体" w:cs="Arial"/>
      <w:b/>
      <w:bCs/>
      <w:kern w:val="28"/>
      <w:sz w:val="44"/>
      <w:szCs w:val="44"/>
    </w:rPr>
  </w:style>
  <w:style w:type="paragraph" w:styleId="5">
    <w:name w:val="Plain Text"/>
    <w:basedOn w:val="1"/>
    <w:qFormat/>
    <w:uiPriority w:val="0"/>
    <w:rPr>
      <w:rFonts w:ascii="宋体" w:hAnsi="Courier New" w:cs="Courier New"/>
      <w:szCs w:val="21"/>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next w:val="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8">
    <w:name w:val="Quote1"/>
    <w:basedOn w:val="1"/>
    <w:next w:val="1"/>
    <w:qFormat/>
    <w:uiPriority w:val="0"/>
    <w:pPr>
      <w:ind w:left="864" w:right="864"/>
      <w:jc w:val="center"/>
    </w:pPr>
    <w:rPr>
      <w:i/>
      <w:iCs/>
      <w:color w:val="000000"/>
    </w:rPr>
  </w:style>
  <w:style w:type="character" w:styleId="11">
    <w:name w:val="page number"/>
    <w:basedOn w:val="10"/>
    <w:qFormat/>
    <w:uiPriority w:val="0"/>
  </w:style>
  <w:style w:type="paragraph" w:customStyle="1" w:styleId="12">
    <w:name w:val="Char Char Char Char Char Char1"/>
    <w:basedOn w:val="1"/>
    <w:qFormat/>
    <w:uiPriority w:val="0"/>
    <w:pPr>
      <w:widowControl/>
      <w:spacing w:after="160" w:afterLines="0" w:line="240" w:lineRule="exact"/>
      <w:jc w:val="left"/>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2023-03-24T03:45:00Z</dcterms:created>
  <dc:creator>Administrator</dc:creator>
  <cp:lastModifiedBy>Administrator</cp:lastModifiedBy>
  <dcterms:modified xsi:type="dcterms:W3CDTF">2023-03-24T03:45:25Z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E50C4D4EE6E646AE94DC5BB81DCF5612</vt:lpwstr>
  </property>
</Properties>
</file>