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r>
        <mc:AlternateContent>
          <mc:Choice Requires="wps">
            <w:drawing>
              <wp:anchor distT="0" distB="0" distL="114300" distR="114300" simplePos="0" relativeHeight="251668480"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13" name="文本框 5"/>
                <wp:cNvGraphicFramePr/>
                <a:graphic xmlns:a="http://schemas.openxmlformats.org/drawingml/2006/main">
                  <a:graphicData uri="http://schemas.microsoft.com/office/word/2010/wordprocessingShape">
                    <wps:wsp>
                      <wps:cNvSpPr/>
                      <wps:spPr>
                        <a:xfrm>
                          <a:off x="0" y="0"/>
                          <a:ext cx="2131695" cy="517525"/>
                        </a:xfrm>
                        <a:prstGeom prst="rect">
                          <a:avLst/>
                        </a:prstGeom>
                        <a:noFill/>
                        <a:ln>
                          <a:noFill/>
                        </a:ln>
                      </wps:spPr>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wps:txbx>
                      <wps:bodyPr vert="horz" wrap="square" upright="0"/>
                    </wps:wsp>
                  </a:graphicData>
                </a:graphic>
              </wp:anchor>
            </w:drawing>
          </mc:Choice>
          <mc:Fallback>
            <w:pict>
              <v:rect id="文本框 5" o:spid="_x0000_s1026" o:spt="1" style="position:absolute;left:0pt;margin-left:128.25pt;margin-top:619.9pt;height:40.75pt;width:167.85pt;z-index:251668480;mso-width-relative:page;mso-height-relative:page;" filled="f" stroked="f" coordsize="21600,21600" o:gfxdata="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CATH9n3AAAAA0BAAAPAAAA&#10;AAAAAAEAIAAAACIAAABkcnMvZG93bnJldi54bWxQSwECFAAUAAAACACHTuJAJvgK458BAAARAwAA&#10;DgAAAAAAAAABACAAAAArAQAAZHJzL2Uyb0RvYy54bWxQSwUGAAAAAAYABgBZAQAAPAUAAAAA&#10;">
                <v:fill on="f" focussize="0,0"/>
                <v:stroke on="f"/>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rect>
            </w:pict>
          </mc:Fallback>
        </mc:AlternateContent>
      </w:r>
      <w:r>
        <w:drawing>
          <wp:anchor distT="0" distB="0" distL="114300" distR="114300" simplePos="0" relativeHeight="251661312" behindDoc="1" locked="0" layoutInCell="1" allowOverlap="1">
            <wp:simplePos x="0" y="0"/>
            <wp:positionH relativeFrom="column">
              <wp:posOffset>-997585</wp:posOffset>
            </wp:positionH>
            <wp:positionV relativeFrom="paragraph">
              <wp:posOffset>-1360170</wp:posOffset>
            </wp:positionV>
            <wp:extent cx="7592060" cy="10739755"/>
            <wp:effectExtent l="0" t="0" r="8890" b="4445"/>
            <wp:wrapNone/>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10"/>
                    <a:stretch>
                      <a:fillRect/>
                    </a:stretch>
                  </pic:blipFill>
                  <pic:spPr>
                    <a:xfrm>
                      <a:off x="0" y="0"/>
                      <a:ext cx="7592060" cy="10739755"/>
                    </a:xfrm>
                    <a:prstGeom prst="rect">
                      <a:avLst/>
                    </a:prstGeom>
                    <a:noFill/>
                    <a:ln>
                      <a:noFill/>
                    </a:ln>
                  </pic:spPr>
                </pic:pic>
              </a:graphicData>
            </a:graphic>
          </wp:anchor>
        </w:drawing>
      </w:r>
      <w:r>
        <w:br w:type="page"/>
      </w:r>
    </w:p>
    <w:p>
      <w:pPr>
        <w:rPr>
          <w:rFonts w:hint="eastAsia" w:ascii="黑体" w:hAnsi="黑体" w:eastAsia="黑体" w:cs="黑体"/>
          <w:sz w:val="72"/>
          <w:szCs w:val="96"/>
        </w:rPr>
      </w:pPr>
      <w:bookmarkStart w:id="0" w:name="_GoBack"/>
      <w:bookmarkEnd w:id="0"/>
    </w:p>
    <w:p>
      <w:pPr>
        <w:jc w:val="center"/>
        <w:rPr>
          <w:rFonts w:hint="eastAsia" w:ascii="黑体" w:hAnsi="黑体" w:eastAsia="黑体" w:cs="黑体"/>
          <w:sz w:val="72"/>
          <w:szCs w:val="96"/>
        </w:rPr>
      </w:pPr>
      <w:r>
        <w:rPr>
          <w:rFonts w:hint="eastAsia" w:ascii="黑体" w:hAnsi="黑体" w:eastAsia="黑体" w:cs="黑体"/>
          <w:sz w:val="72"/>
          <w:szCs w:val="96"/>
        </w:rPr>
        <w:t>2020年度</w:t>
      </w:r>
    </w:p>
    <w:p>
      <w:pPr>
        <w:jc w:val="center"/>
        <w:rPr>
          <w:rFonts w:ascii="黑体" w:hAnsi="黑体" w:eastAsia="黑体" w:cs="黑体"/>
          <w:sz w:val="72"/>
          <w:szCs w:val="96"/>
        </w:rPr>
      </w:pPr>
      <w:r>
        <w:rPr>
          <w:rFonts w:hint="eastAsia" w:ascii="黑体" w:hAnsi="黑体" w:eastAsia="黑体" w:cs="黑体"/>
          <w:sz w:val="72"/>
          <w:szCs w:val="96"/>
        </w:rPr>
        <w:t>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default" w:ascii="楷体_GB2312" w:hAnsi="楷体_GB2312" w:eastAsia="楷体_GB2312" w:cs="楷体_GB2312"/>
          <w:color w:val="000000"/>
          <w:kern w:val="0"/>
          <w:sz w:val="44"/>
          <w:szCs w:val="44"/>
          <w:highlight w:val="yellow"/>
          <w:lang w:val="en-US" w:eastAsia="zh-CN"/>
        </w:rPr>
      </w:pPr>
      <w:r>
        <w:rPr>
          <w:rFonts w:hint="eastAsia" w:ascii="楷体_GB2312" w:hAnsi="楷体_GB2312" w:eastAsia="楷体_GB2312" w:cs="楷体_GB2312"/>
          <w:color w:val="000000"/>
          <w:kern w:val="0"/>
          <w:sz w:val="44"/>
          <w:szCs w:val="44"/>
          <w:lang w:val="en-US" w:eastAsia="zh-CN"/>
        </w:rPr>
        <w:t>石家庄市藁城区市场监督管理局</w:t>
      </w:r>
    </w:p>
    <w:p>
      <w:pPr>
        <w:snapToGrid w:val="0"/>
        <w:jc w:val="center"/>
        <w:rPr>
          <w:rFonts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0"/>
          <w:szCs w:val="40"/>
        </w:rPr>
        <w:t>二〇二一年</w:t>
      </w:r>
      <w:r>
        <w:rPr>
          <w:rFonts w:hint="eastAsia" w:ascii="楷体_GB2312" w:hAnsi="楷体_GB2312" w:eastAsia="楷体_GB2312" w:cs="楷体_GB2312"/>
          <w:color w:val="000000"/>
          <w:kern w:val="0"/>
          <w:sz w:val="40"/>
          <w:szCs w:val="40"/>
          <w:lang w:val="en-US" w:eastAsia="zh-CN"/>
        </w:rPr>
        <w:t>十</w:t>
      </w:r>
      <w:r>
        <w:rPr>
          <w:rFonts w:hint="eastAsia" w:ascii="楷体_GB2312" w:hAnsi="楷体_GB2312" w:eastAsia="楷体_GB2312" w:cs="楷体_GB2312"/>
          <w:color w:val="000000"/>
          <w:kern w:val="0"/>
          <w:sz w:val="40"/>
          <w:szCs w:val="40"/>
        </w:rPr>
        <w:t>月</w:t>
      </w:r>
    </w:p>
    <w:p>
      <w:pPr>
        <w:ind w:firstLine="2880" w:firstLineChars="600"/>
        <w:rPr>
          <w:rFonts w:hint="eastAsia" w:ascii="黑体" w:hAnsi="Times New Roman" w:eastAsia="黑体" w:cs="Times New Roman"/>
          <w:sz w:val="48"/>
          <w:szCs w:val="48"/>
        </w:rPr>
      </w:pPr>
    </w:p>
    <w:p>
      <w:pPr>
        <w:ind w:firstLine="2880" w:firstLineChars="600"/>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afterLines="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afterLines="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7" name="文本框 143"/>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12700" cap="flat" cmpd="sng">
                          <a:solidFill>
                            <a:srgbClr val="A5A5A5"/>
                          </a:solidFill>
                          <a:prstDash val="solid"/>
                          <a:miter/>
                          <a:headEnd type="none" w="med" len="med"/>
                          <a:tailEnd type="none" w="med" len="med"/>
                        </a:ln>
                      </wps:spPr>
                      <wps:txb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wps:txbx>
                      <wps:bodyPr vert="horz" wrap="square" upright="0"/>
                    </wps:wsp>
                  </a:graphicData>
                </a:graphic>
              </wp:anchor>
            </w:drawing>
          </mc:Choice>
          <mc:Fallback>
            <w:pict>
              <v:rect id="文本框 143" o:spid="_x0000_s1026" o:spt="1" style="position:absolute;left:0pt;margin-left:-85.7pt;margin-top:80.7pt;height:263.1pt;width:613.65pt;z-index:251662336;mso-width-relative:page;mso-height-relative:page;" fillcolor="#7F7F7F" filled="t" stroked="t" coordsize="21600,21600" o:gfxdata="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PMpyjTZAAAADQEAAA8AAAAAAAAAAQAgAAAAIgAAAGRycy9kb3ducmV2Lnht&#10;bFBLAQIUABQAAAAIAIdO4kDTUpQWMQIAAIkEAAAOAAAAAAAAAAEAIAAAACgBAABkcnMvZTJvRG9j&#10;LnhtbFBLBQYAAAAABgAGAFkBAADLBQAAAAA=&#10;">
                <v:fill type="pattern" on="t" color2="#FFFFFF" focussize="0,0" r:id="rId11"/>
                <v:stroke weight="1pt" color="#A5A5A5" joinstyle="miter"/>
                <v:imagedata o:title=""/>
                <o:lock v:ext="edit"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mc:Fallback>
        </mc:AlternateContent>
      </w:r>
      <w:r>
        <w:br w:type="page"/>
      </w:r>
    </w:p>
    <w:p>
      <w:pPr>
        <w:pStyle w:val="2"/>
        <w:spacing w:before="0" w:beforeLines="0" w:after="0" w:afterLines="0" w:line="580" w:lineRule="exact"/>
        <w:ind w:firstLine="960" w:firstLineChars="3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pPr>
        <w:spacing w:line="600" w:lineRule="exact"/>
        <w:ind w:firstLine="640" w:firstLineChars="200"/>
        <w:rPr>
          <w:rFonts w:hint="eastAsia" w:ascii="仿宋" w:hAnsi="仿宋" w:eastAsia="仿宋" w:cs="仿宋"/>
          <w:i/>
          <w:sz w:val="32"/>
          <w:szCs w:val="32"/>
        </w:rPr>
      </w:pPr>
      <w:r>
        <w:rPr>
          <w:rFonts w:hint="eastAsia" w:ascii="仿宋" w:hAnsi="仿宋" w:eastAsia="仿宋" w:cs="仿宋"/>
          <w:sz w:val="32"/>
          <w:szCs w:val="32"/>
        </w:rPr>
        <w:t>（二）负责市场主体信用建设，建立市场主体信息公示和共享机制，依法公示和共享有关信息，加强信用监管，推动市场主体信用体系建设。</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（三）负责市场监管综合执法工作，负责市场监管综合执法队伍建设工作，推动实行统一的市场监管；组织查处重大违法案件；规范市场监管行政执法行为。</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（六）负责全区产品质量安全监督管理工作，承担区级产品质量安全风险监控、监督抽查工作；组织实施质量分级制度、质量安全追溯制度；负责纤维质量监督工作。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（七）负责全区特种设备安全监督管理工作，负责特种设备安全监察、监督管理工作，监督检查高耗能特种设备节能标准和锅炉环境保护标准的执行情况。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（十）负责统一管理全区计量工作。推行法定计量单位和国家计量制度，管理计量器具及量值传递和比对工作。规范、监督商品量和市场计量行为。</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（十一）负责统一管理全区标准化工作，宣传贯彻强制性、推荐性国家标准和行业标准、地方标准；依法协调指导和监督团体标准、企业标准制定工作。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（十二）负责统一管理全区检验检测工作，推进检验检测机构改革，规范检验检测市场，完善检验检测体系，指导协调检验检测行业发展。</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（十三）负责统一管理、监督和协调全区认证认可工作，组织实施国家统一的认证认可和合格评定监督管理制度。</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（十四）负责推进全区知识产权管理工作，拟订加强知识产权强区建设发展规划并组织实施，拟订强化知识产权创造、保护和运用的政策和制度并组织实施。</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（十六）负责促进知识产权运用工作，贯彻落实知识产权运用和规范交易管理办法，促进知识产权转移转化；规范知识产权无形资产评估工作； 负责知识产权中介服务发展的监督管理工作。</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（十七）负责建立知识产权公共服务体系，建设便企利民、互联互通的全区知识产权信息公共服务平台，推动商标、专利等知识产权信息的传播利用。</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（十八）承担上级授权的知识产权代办工作任务，组织实施原产地地理标志统一认定制度。</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（十九）负责市场监督管理科技和信息化建设、新闻宣传、对外交流与合作；负责协调本区涉外知识产权事宜。</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rPr>
        <w:t>（二十）负</w:t>
      </w:r>
      <w:r>
        <w:rPr>
          <w:rFonts w:hint="eastAsia" w:ascii="仿宋" w:hAnsi="仿宋" w:eastAsia="仿宋" w:cs="仿宋"/>
          <w:sz w:val="32"/>
          <w:szCs w:val="32"/>
          <w:lang w:val="zh-CN"/>
        </w:rPr>
        <w:t>责药品（含中药、民族药，下同）、</w:t>
      </w:r>
      <w:r>
        <w:rPr>
          <w:rFonts w:hint="eastAsia" w:ascii="仿宋" w:hAnsi="仿宋" w:eastAsia="仿宋" w:cs="仿宋"/>
          <w:sz w:val="32"/>
          <w:szCs w:val="32"/>
        </w:rPr>
        <w:t xml:space="preserve"> </w:t>
      </w:r>
      <w:r>
        <w:rPr>
          <w:rFonts w:hint="eastAsia" w:ascii="仿宋" w:hAnsi="仿宋" w:eastAsia="仿宋" w:cs="仿宋"/>
          <w:sz w:val="32"/>
          <w:szCs w:val="32"/>
          <w:lang w:val="zh-CN"/>
        </w:rPr>
        <w:t>医疗器械和化妆品安全监督管理。</w:t>
      </w:r>
      <w:r>
        <w:rPr>
          <w:rFonts w:hint="eastAsia" w:ascii="仿宋" w:hAnsi="仿宋" w:eastAsia="仿宋" w:cs="仿宋"/>
          <w:sz w:val="32"/>
          <w:szCs w:val="32"/>
        </w:rPr>
        <w:t>贯彻执行国家、省药品、医疗器械和化妆品法律法规，以及</w:t>
      </w:r>
      <w:r>
        <w:rPr>
          <w:rFonts w:hint="eastAsia" w:ascii="仿宋" w:hAnsi="仿宋" w:eastAsia="仿宋" w:cs="仿宋"/>
          <w:sz w:val="32"/>
          <w:szCs w:val="32"/>
          <w:lang w:val="zh-CN"/>
        </w:rPr>
        <w:t>鼓励药品、医疗器械和化妆品新技术新产品的管理与服务政策，拟订监督管理措施并组织实施，贯彻落实相关地方性法规、政府规章。</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（二十一）负责药品、</w:t>
      </w:r>
      <w:r>
        <w:rPr>
          <w:rFonts w:hint="eastAsia" w:ascii="仿宋" w:hAnsi="仿宋" w:eastAsia="仿宋" w:cs="仿宋"/>
          <w:sz w:val="32"/>
          <w:szCs w:val="32"/>
          <w:lang w:val="zh-CN"/>
        </w:rPr>
        <w:t>医疗器械和化妆品质量管理工作，依职责监督实施药品、医疗器械经营质量管理规范。</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w:t>
      </w:r>
      <w:r>
        <w:rPr>
          <w:rFonts w:hint="eastAsia" w:ascii="仿宋" w:hAnsi="仿宋" w:eastAsia="仿宋" w:cs="仿宋"/>
          <w:sz w:val="32"/>
          <w:szCs w:val="32"/>
        </w:rPr>
        <w:t>二十</w:t>
      </w:r>
      <w:r>
        <w:rPr>
          <w:rFonts w:hint="eastAsia" w:ascii="仿宋" w:hAnsi="仿宋" w:eastAsia="仿宋" w:cs="仿宋"/>
          <w:sz w:val="32"/>
          <w:szCs w:val="32"/>
          <w:lang w:val="zh-CN"/>
        </w:rPr>
        <w:t>二）组织开展药品、化妆品不良反应监测、医疗器械不良事件监测工作，依法承担药品、医疗器械和化妆品安全应急管理工作。</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（二十三）负责药品、医疗器械和化妆品监督检查工作，贯彻落实国家、省、市检查制度，依法查处药品、医疗器械和化妆品经营、使用环节的违法行为。</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（二十四）组织开展药品、医疗器械和化妆品安全宣传、教育培训，推进诚信体系建设。</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（二十五）负责全区药品监督管理工作。推动落实药品、医疗器械和化妆品安全企业主体责任，组织实施药品、医疗器械和化妆品安全考核。</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pPr>
        <w:spacing w:line="600" w:lineRule="exact"/>
        <w:ind w:firstLine="640" w:firstLineChars="200"/>
        <w:rPr>
          <w:rFonts w:hint="eastAsia" w:ascii="仿宋" w:hAnsi="仿宋" w:eastAsia="仿宋" w:cs="仿宋"/>
          <w:sz w:val="32"/>
          <w:szCs w:val="32"/>
          <w:lang w:val="zh-CN"/>
        </w:rPr>
      </w:pPr>
      <w:r>
        <w:rPr>
          <w:rFonts w:hint="eastAsia" w:ascii="仿宋" w:hAnsi="仿宋" w:eastAsia="仿宋" w:cs="仿宋"/>
          <w:sz w:val="32"/>
          <w:szCs w:val="32"/>
          <w:lang w:val="zh-CN"/>
        </w:rPr>
        <w:t>（二十七）承接省、市市场监督管理局和省药品监督管理局委托区级实施的管理事项。</w:t>
      </w:r>
    </w:p>
    <w:p>
      <w:pPr>
        <w:keepNext/>
        <w:keepLines/>
        <w:spacing w:line="580" w:lineRule="exact"/>
        <w:ind w:firstLine="640" w:firstLineChars="200"/>
        <w:jc w:val="left"/>
        <w:outlineLvl w:val="0"/>
        <w:rPr>
          <w:rFonts w:hint="eastAsia" w:ascii="仿宋" w:hAnsi="仿宋" w:eastAsia="仿宋" w:cs="仿宋"/>
          <w:kern w:val="0"/>
          <w:sz w:val="32"/>
          <w:szCs w:val="32"/>
          <w:lang w:eastAsia="zh-CN"/>
        </w:rPr>
      </w:pPr>
      <w:r>
        <w:rPr>
          <w:rFonts w:hint="eastAsia" w:ascii="仿宋" w:hAnsi="仿宋" w:eastAsia="仿宋" w:cs="仿宋"/>
          <w:sz w:val="32"/>
          <w:szCs w:val="32"/>
        </w:rPr>
        <w:t>（二十八）完成区委、区政府交办的其他任务</w:t>
      </w:r>
      <w:r>
        <w:rPr>
          <w:rFonts w:hint="eastAsia" w:ascii="仿宋" w:hAnsi="仿宋" w:eastAsia="仿宋" w:cs="仿宋"/>
          <w:sz w:val="32"/>
          <w:szCs w:val="32"/>
          <w:lang w:eastAsia="zh-CN"/>
        </w:rPr>
        <w:t>。</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600" w:lineRule="exact"/>
        <w:ind w:firstLine="640" w:firstLineChars="200"/>
        <w:rPr>
          <w:rFonts w:hint="eastAsia" w:asciiTheme="minorEastAsia" w:hAnsiTheme="minorEastAsia" w:eastAsiaTheme="minorEastAsia" w:cstheme="minorEastAsia"/>
          <w:sz w:val="32"/>
          <w:szCs w:val="32"/>
        </w:rPr>
      </w:pPr>
      <w:r>
        <w:rPr>
          <w:rFonts w:hint="eastAsia" w:ascii="仿宋" w:hAnsi="仿宋" w:eastAsia="仿宋" w:cs="仿宋"/>
          <w:sz w:val="32"/>
          <w:szCs w:val="32"/>
        </w:rPr>
        <w:t xml:space="preserve">从决算编报单位构成看，纳入2020年度本部门决算汇编范围的独立核算单位（以下简称“单位”）共 </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个，具体情况如下：</w:t>
      </w:r>
    </w:p>
    <w:tbl>
      <w:tblPr>
        <w:tblStyle w:val="6"/>
        <w:tblpPr w:leftFromText="180" w:rightFromText="180" w:vertAnchor="text" w:horzAnchor="page" w:tblpXSpec="center" w:tblpY="10"/>
        <w:tblOverlap w:val="never"/>
        <w:tblW w:w="94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968" w:type="dxa"/>
            <w:noWrap w:val="0"/>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noWrap w:val="0"/>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noWrap w:val="0"/>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noWrap w:val="0"/>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1" w:hRule="atLeast"/>
          <w:jc w:val="center"/>
        </w:trPr>
        <w:tc>
          <w:tcPr>
            <w:tcW w:w="968" w:type="dxa"/>
            <w:noWrap w:val="0"/>
            <w:vAlign w:val="top"/>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noWrap w:val="0"/>
            <w:vAlign w:val="top"/>
          </w:tcPr>
          <w:p>
            <w:pPr>
              <w:spacing w:line="560" w:lineRule="exact"/>
              <w:rPr>
                <w:rFonts w:ascii="仿宋_GB2312" w:hAnsi="Calibri" w:eastAsia="仿宋_GB2312" w:cs="Arial Black"/>
                <w:kern w:val="0"/>
                <w:sz w:val="28"/>
                <w:szCs w:val="28"/>
              </w:rPr>
            </w:pPr>
            <w:r>
              <w:rPr>
                <w:rFonts w:hint="eastAsia" w:ascii="仿宋_GB2312" w:eastAsia="仿宋_GB2312" w:cs="Arial Black"/>
                <w:kern w:val="0"/>
                <w:sz w:val="28"/>
                <w:szCs w:val="28"/>
                <w:lang w:val="en-US" w:eastAsia="zh-CN"/>
              </w:rPr>
              <w:t>石家庄市藁城区市场监督管理局</w:t>
            </w:r>
            <w:r>
              <w:rPr>
                <w:rFonts w:hint="eastAsia" w:ascii="仿宋_GB2312" w:hAnsi="Calibri" w:eastAsia="仿宋_GB2312" w:cs="Arial Black"/>
                <w:kern w:val="0"/>
                <w:sz w:val="28"/>
                <w:szCs w:val="28"/>
              </w:rPr>
              <w:t>(本级)</w:t>
            </w:r>
          </w:p>
        </w:tc>
        <w:tc>
          <w:tcPr>
            <w:tcW w:w="2404" w:type="dxa"/>
            <w:noWrap w:val="0"/>
            <w:vAlign w:val="top"/>
          </w:tcPr>
          <w:p>
            <w:pPr>
              <w:spacing w:line="560" w:lineRule="exact"/>
              <w:jc w:val="center"/>
              <w:rPr>
                <w:rFonts w:hint="default" w:ascii="仿宋_GB2312" w:hAnsi="Calibri" w:eastAsia="仿宋_GB2312" w:cs="Arial Black"/>
                <w:kern w:val="0"/>
                <w:sz w:val="28"/>
                <w:szCs w:val="28"/>
                <w:lang w:val="en-US" w:eastAsia="zh-CN"/>
              </w:rPr>
            </w:pPr>
            <w:r>
              <w:rPr>
                <w:rFonts w:hint="eastAsia" w:ascii="仿宋_GB2312" w:eastAsia="仿宋_GB2312" w:cs="Arial Black"/>
                <w:kern w:val="0"/>
                <w:sz w:val="28"/>
                <w:szCs w:val="28"/>
                <w:lang w:val="en-US" w:eastAsia="zh-CN"/>
              </w:rPr>
              <w:t>行政单位</w:t>
            </w:r>
          </w:p>
        </w:tc>
        <w:tc>
          <w:tcPr>
            <w:tcW w:w="2622" w:type="dxa"/>
            <w:noWrap w:val="0"/>
            <w:vAlign w:val="top"/>
          </w:tcPr>
          <w:p>
            <w:pPr>
              <w:spacing w:line="560" w:lineRule="exact"/>
              <w:jc w:val="center"/>
              <w:rPr>
                <w:rFonts w:hint="eastAsia" w:ascii="仿宋_GB2312" w:hAnsi="Calibri" w:eastAsia="仿宋_GB2312" w:cs="Arial Black"/>
                <w:kern w:val="0"/>
                <w:sz w:val="28"/>
                <w:szCs w:val="28"/>
                <w:lang w:val="en-US" w:eastAsia="zh-CN"/>
              </w:rPr>
            </w:pPr>
            <w:r>
              <w:rPr>
                <w:rFonts w:hint="eastAsia" w:ascii="仿宋_GB2312" w:eastAsia="仿宋_GB2312" w:cs="Arial Black"/>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noWrap w:val="0"/>
            <w:vAlign w:val="top"/>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afterLines="0" w:line="580" w:lineRule="exact"/>
        <w:ind w:firstLine="640" w:firstLineChars="200"/>
        <w:rPr>
          <w:rFonts w:ascii="Times New Roman" w:hAnsi="Times New Roman" w:eastAsia="黑体" w:cs="Times New Roman"/>
          <w:sz w:val="32"/>
          <w:szCs w:val="32"/>
        </w:rPr>
      </w:pPr>
    </w:p>
    <w:p>
      <w:pPr>
        <w:widowControl/>
        <w:spacing w:after="160" w:afterLines="0" w:line="580" w:lineRule="exact"/>
        <w:ind w:firstLine="640" w:firstLineChars="200"/>
        <w:rPr>
          <w:rFonts w:ascii="Times New Roman" w:hAnsi="Times New Roman" w:eastAsia="黑体" w:cs="Times New Roman"/>
          <w:sz w:val="32"/>
          <w:szCs w:val="32"/>
        </w:rPr>
      </w:pPr>
    </w:p>
    <w:p>
      <w:pPr>
        <w:widowControl/>
        <w:spacing w:after="160" w:afterLines="0" w:line="580" w:lineRule="exact"/>
        <w:rPr>
          <w:rFonts w:ascii="Times New Roman" w:hAnsi="Times New Roman" w:eastAsia="黑体" w:cs="Times New Roman"/>
          <w:sz w:val="32"/>
          <w:szCs w:val="32"/>
        </w:rPr>
        <w:sectPr>
          <w:headerReference r:id="rId7" w:type="default"/>
          <w:pgSz w:w="11906" w:h="16838"/>
          <w:pgMar w:top="1701" w:right="1417" w:bottom="1587" w:left="1417" w:header="851" w:footer="992" w:gutter="0"/>
          <w:pgNumType w:fmt="numberInDash"/>
          <w:cols w:space="720" w:num="1"/>
          <w:titlePg/>
          <w:docGrid w:type="lines" w:linePitch="312" w:charSpace="0"/>
        </w:sectPr>
      </w:pPr>
      <w:r>
        <w:rPr>
          <w:sz w:val="72"/>
        </w:rPr>
        <mc:AlternateContent>
          <mc:Choice Requires="wps">
            <w:drawing>
              <wp:anchor distT="0" distB="0" distL="114300" distR="114300" simplePos="0" relativeHeight="25166438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9"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wps:spPr>
                      <wps:txb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vert="horz" wrap="square" upright="0"/>
                    </wps:wsp>
                  </a:graphicData>
                </a:graphic>
              </wp:anchor>
            </w:drawing>
          </mc:Choice>
          <mc:Fallback>
            <w:pict>
              <v:rect id="文本框 151" o:spid="_x0000_s1026" o:spt="1" style="position:absolute;left:0pt;margin-left:-85.7pt;margin-top:238.15pt;height:173.25pt;width:613.65pt;z-index:251664384;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i7GEd4AAAANAQAA&#10;DwAAAAAAAAABACAAAAAiAAAAZHJzL2Rvd25yZXYueG1sUEsBAhQAFAAAAAgAh07iQI1RGeyhAQAA&#10;EwMAAA4AAAAAAAAAAQAgAAAALQEAAGRycy9lMm9Eb2MueG1sUEsFBgAAAAAGAAYAWQEAAEAFAAAA&#10;AA==&#10;">
                <v:fill on="f" focussize="0,0"/>
                <v:stroke on="f"/>
                <v:imagedata o:title=""/>
                <o:lock v:ext="edit"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5408"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10" name="文本框 2"/>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12700" cap="flat" cmpd="sng">
                          <a:solidFill>
                            <a:srgbClr val="A5A5A5"/>
                          </a:solidFill>
                          <a:prstDash val="solid"/>
                          <a:miter/>
                          <a:headEnd type="none" w="med" len="med"/>
                          <a:tailEnd type="none" w="med" len="med"/>
                        </a:ln>
                      </wps:spPr>
                      <wps:txb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2020年部门决算情况说明</w:t>
                            </w:r>
                          </w:p>
                          <w:p>
                            <w:pPr>
                              <w:widowControl/>
                              <w:jc w:val="center"/>
                            </w:pPr>
                          </w:p>
                          <w:p/>
                        </w:txbxContent>
                      </wps:txbx>
                      <wps:bodyPr vert="horz" wrap="square" upright="0"/>
                    </wps:wsp>
                  </a:graphicData>
                </a:graphic>
              </wp:anchor>
            </w:drawing>
          </mc:Choice>
          <mc:Fallback>
            <w:pict>
              <v:rect id="文本框 2" o:spid="_x0000_s1026" o:spt="1" style="position:absolute;left:0pt;margin-left:-80.95pt;margin-top:-207.65pt;height:263.1pt;width:613.65pt;z-index:251665408;mso-width-relative:page;mso-height-relative:page;" fillcolor="#7F7F7F" filled="t" stroked="t" coordsize="21600,21600" o:gfxdata="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BPTtN2wAAAA4BAAAPAAAAAAAAAAEAIAAAACIAAABkcnMvZG93bnJldi54&#10;bWxQSwECFAAUAAAACACHTuJAhDa33jACAACIBAAADgAAAAAAAAABACAAAAAqAQAAZHJzL2Uyb0Rv&#10;Yy54bWxQSwUGAAAAAAYABgBZAQAAzAUAAAAA&#10;">
                <v:fill type="pattern" on="t" color2="#FFFFFF" focussize="0,0" r:id="rId11"/>
                <v:stroke weight="1pt" color="#A5A5A5" joinstyle="miter"/>
                <v:imagedata o:title=""/>
                <o:lock v:ext="edit"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2020年部门决算情况说明</w:t>
                      </w:r>
                    </w:p>
                    <w:p>
                      <w:pPr>
                        <w:widowControl/>
                        <w:jc w:val="center"/>
                      </w:pPr>
                    </w:p>
                    <w:p/>
                  </w:txbxContent>
                </v:textbox>
              </v:rect>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lang w:val="en-US" w:eastAsia="zh-CN"/>
        </w:rPr>
        <w:t xml:space="preserve">  </w:t>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本部门2020年度收、支总计（含结转和结余）</w:t>
      </w:r>
      <w:r>
        <w:rPr>
          <w:rFonts w:hint="eastAsia" w:ascii="仿宋" w:hAnsi="仿宋" w:eastAsia="仿宋" w:cs="仿宋"/>
          <w:sz w:val="32"/>
          <w:szCs w:val="32"/>
          <w:lang w:val="en-US" w:eastAsia="zh-CN"/>
        </w:rPr>
        <w:t>4505.97</w:t>
      </w:r>
      <w:r>
        <w:rPr>
          <w:rFonts w:hint="eastAsia" w:ascii="仿宋" w:hAnsi="仿宋" w:eastAsia="仿宋" w:cs="仿宋"/>
          <w:sz w:val="32"/>
          <w:szCs w:val="32"/>
        </w:rPr>
        <w:t>万元。与2019年度决算相比，收支各增加</w:t>
      </w:r>
      <w:r>
        <w:rPr>
          <w:rFonts w:hint="eastAsia" w:ascii="仿宋" w:hAnsi="仿宋" w:eastAsia="仿宋" w:cs="仿宋"/>
          <w:sz w:val="32"/>
          <w:szCs w:val="32"/>
          <w:lang w:val="en-US" w:eastAsia="zh-CN"/>
        </w:rPr>
        <w:t>227.73</w:t>
      </w:r>
      <w:r>
        <w:rPr>
          <w:rFonts w:hint="eastAsia" w:ascii="仿宋" w:hAnsi="仿宋" w:eastAsia="仿宋" w:cs="仿宋"/>
          <w:sz w:val="32"/>
          <w:szCs w:val="32"/>
        </w:rPr>
        <w:t>万元，</w:t>
      </w:r>
      <w:r>
        <w:rPr>
          <w:rFonts w:hint="eastAsia" w:ascii="仿宋" w:hAnsi="仿宋" w:eastAsia="仿宋" w:cs="仿宋"/>
          <w:sz w:val="32"/>
          <w:szCs w:val="32"/>
          <w:lang w:val="en-US" w:eastAsia="zh-CN"/>
        </w:rPr>
        <w:t>减少4.81</w:t>
      </w:r>
      <w:r>
        <w:rPr>
          <w:rFonts w:hint="eastAsia" w:ascii="仿宋" w:hAnsi="仿宋" w:eastAsia="仿宋" w:cs="仿宋"/>
          <w:sz w:val="32"/>
          <w:szCs w:val="32"/>
        </w:rPr>
        <w:t>%，主要原因是</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退休人员增多</w:t>
      </w:r>
      <w:r>
        <w:rPr>
          <w:rFonts w:hint="eastAsia" w:ascii="仿宋" w:hAnsi="仿宋" w:eastAsia="仿宋" w:cs="仿宋"/>
          <w:sz w:val="32"/>
          <w:szCs w:val="32"/>
        </w:rPr>
        <w:t>，</w:t>
      </w:r>
      <w:r>
        <w:rPr>
          <w:rFonts w:hint="eastAsia" w:ascii="仿宋" w:hAnsi="仿宋" w:eastAsia="仿宋" w:cs="仿宋"/>
          <w:sz w:val="32"/>
          <w:szCs w:val="32"/>
          <w:lang w:val="en-US" w:eastAsia="zh-CN"/>
        </w:rPr>
        <w:t>人员经费和日常支出减少</w:t>
      </w:r>
      <w:r>
        <w:rPr>
          <w:rFonts w:hint="eastAsia" w:ascii="仿宋" w:hAnsi="仿宋" w:eastAsia="仿宋" w:cs="仿宋"/>
          <w:sz w:val="32"/>
          <w:szCs w:val="32"/>
          <w:lang w:eastAsia="zh-CN"/>
        </w:rPr>
        <w:t>。</w:t>
      </w:r>
    </w:p>
    <w:p>
      <w:pPr>
        <w:ind w:firstLine="643" w:firstLineChars="200"/>
        <w:rPr>
          <w:rFonts w:hint="eastAsia" w:ascii="宋体" w:hAnsi="宋体" w:cs="宋体"/>
          <w:b/>
          <w:bCs/>
          <w:sz w:val="32"/>
          <w:szCs w:val="32"/>
          <w:lang w:val="en-US" w:eastAsia="zh-CN"/>
        </w:rPr>
      </w:pPr>
      <w:r>
        <w:rPr>
          <w:rFonts w:hint="eastAsia" w:ascii="宋体" w:hAnsi="宋体" w:cs="宋体"/>
          <w:b/>
          <w:bCs/>
          <w:sz w:val="32"/>
          <w:szCs w:val="32"/>
          <w:lang w:val="en-US" w:eastAsia="zh-CN"/>
        </w:rPr>
        <w:t>如图所示：</w:t>
      </w:r>
    </w:p>
    <w:p>
      <w:pPr>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drawing>
          <wp:inline distT="0" distB="0" distL="114300" distR="114300">
            <wp:extent cx="5080000" cy="3789045"/>
            <wp:effectExtent l="5080" t="4445" r="20320" b="1651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tabs>
          <w:tab w:val="left" w:pos="5800"/>
        </w:tabs>
        <w:adjustRightInd w:val="0"/>
        <w:snapToGrid w:val="0"/>
        <w:spacing w:line="60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二、收入决算情况说明</w:t>
      </w:r>
    </w:p>
    <w:p>
      <w:pPr>
        <w:spacing w:line="6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本部门2020年度本年收入合计</w:t>
      </w:r>
      <w:r>
        <w:rPr>
          <w:rFonts w:hint="eastAsia" w:ascii="仿宋" w:hAnsi="仿宋" w:eastAsia="仿宋" w:cs="仿宋"/>
          <w:sz w:val="32"/>
          <w:szCs w:val="32"/>
          <w:lang w:val="en-US" w:eastAsia="zh-CN"/>
        </w:rPr>
        <w:t>4500.67</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4500.67</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r>
        <w:rPr>
          <w:rFonts w:hint="eastAsia" w:ascii="仿宋" w:hAnsi="仿宋" w:eastAsia="仿宋" w:cs="仿宋"/>
          <w:sz w:val="32"/>
          <w:szCs w:val="32"/>
          <w:lang w:eastAsia="zh-CN"/>
        </w:rPr>
        <w:t>。</w:t>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spacing w:line="6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本部门2020年度本年支出合计</w:t>
      </w:r>
      <w:r>
        <w:rPr>
          <w:rFonts w:hint="eastAsia" w:ascii="仿宋" w:hAnsi="仿宋" w:eastAsia="仿宋" w:cs="仿宋"/>
          <w:sz w:val="32"/>
          <w:szCs w:val="32"/>
          <w:lang w:val="en-US" w:eastAsia="zh-CN"/>
        </w:rPr>
        <w:t>4477.15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2866.65</w:t>
      </w:r>
      <w:r>
        <w:rPr>
          <w:rFonts w:hint="eastAsia" w:ascii="仿宋" w:hAnsi="仿宋" w:eastAsia="仿宋" w:cs="仿宋"/>
          <w:sz w:val="32"/>
          <w:szCs w:val="32"/>
        </w:rPr>
        <w:t>万元，占</w:t>
      </w:r>
      <w:r>
        <w:rPr>
          <w:rFonts w:hint="eastAsia" w:ascii="仿宋" w:hAnsi="仿宋" w:eastAsia="仿宋" w:cs="仿宋"/>
          <w:sz w:val="32"/>
          <w:szCs w:val="32"/>
          <w:lang w:val="en-US" w:eastAsia="zh-CN"/>
        </w:rPr>
        <w:t>64.03</w:t>
      </w:r>
      <w:r>
        <w:rPr>
          <w:rFonts w:hint="eastAsia" w:ascii="仿宋" w:hAnsi="仿宋" w:eastAsia="仿宋" w:cs="仿宋"/>
          <w:sz w:val="32"/>
          <w:szCs w:val="32"/>
        </w:rPr>
        <w:t>%；项目支出</w:t>
      </w:r>
      <w:r>
        <w:rPr>
          <w:rFonts w:hint="eastAsia" w:ascii="仿宋" w:hAnsi="仿宋" w:eastAsia="仿宋" w:cs="仿宋"/>
          <w:sz w:val="32"/>
          <w:szCs w:val="32"/>
          <w:lang w:val="en-US" w:eastAsia="zh-CN"/>
        </w:rPr>
        <w:t>1610.5</w:t>
      </w:r>
      <w:r>
        <w:rPr>
          <w:rFonts w:hint="eastAsia" w:ascii="仿宋" w:hAnsi="仿宋" w:eastAsia="仿宋" w:cs="仿宋"/>
          <w:sz w:val="32"/>
          <w:szCs w:val="32"/>
        </w:rPr>
        <w:t>万元，占</w:t>
      </w:r>
      <w:r>
        <w:rPr>
          <w:rFonts w:hint="eastAsia" w:ascii="仿宋" w:hAnsi="仿宋" w:eastAsia="仿宋" w:cs="仿宋"/>
          <w:sz w:val="32"/>
          <w:szCs w:val="32"/>
          <w:lang w:val="en-US" w:eastAsia="zh-CN"/>
        </w:rPr>
        <w:t>35.97</w:t>
      </w:r>
      <w:r>
        <w:rPr>
          <w:rFonts w:hint="eastAsia" w:ascii="仿宋" w:hAnsi="仿宋" w:eastAsia="仿宋" w:cs="仿宋"/>
          <w:sz w:val="32"/>
          <w:szCs w:val="32"/>
        </w:rPr>
        <w:t>%</w:t>
      </w:r>
      <w:r>
        <w:rPr>
          <w:rFonts w:hint="eastAsia" w:ascii="仿宋" w:hAnsi="仿宋" w:eastAsia="仿宋" w:cs="仿宋"/>
          <w:sz w:val="32"/>
          <w:szCs w:val="32"/>
          <w:lang w:eastAsia="zh-CN"/>
        </w:rPr>
        <w:t>。</w:t>
      </w:r>
    </w:p>
    <w:p>
      <w:pPr>
        <w:adjustRightInd w:val="0"/>
        <w:snapToGrid w:val="0"/>
        <w:spacing w:line="600" w:lineRule="exact"/>
        <w:ind w:firstLine="643" w:firstLineChars="200"/>
        <w:rPr>
          <w:rFonts w:ascii="仿宋_GB2312" w:hAnsi="Times New Roman" w:eastAsia="仿宋_GB2312" w:cs="Wingdings"/>
          <w:b/>
          <w:bCs/>
          <w:sz w:val="32"/>
          <w:szCs w:val="32"/>
        </w:rPr>
      </w:pPr>
      <w:r>
        <w:rPr>
          <w:rFonts w:hint="eastAsia" w:ascii="仿宋_GB2312" w:hAnsi="Times New Roman" w:eastAsia="仿宋_GB2312" w:cs="Wingdings"/>
          <w:b/>
          <w:bCs/>
          <w:sz w:val="32"/>
          <w:szCs w:val="32"/>
        </w:rPr>
        <w:t>如图所示：</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eastAsia="zh-CN"/>
        </w:rPr>
        <w:drawing>
          <wp:anchor distT="0" distB="0" distL="114300" distR="114300" simplePos="0" relativeHeight="251669504" behindDoc="0" locked="0" layoutInCell="1" allowOverlap="1">
            <wp:simplePos x="0" y="0"/>
            <wp:positionH relativeFrom="column">
              <wp:posOffset>409575</wp:posOffset>
            </wp:positionH>
            <wp:positionV relativeFrom="paragraph">
              <wp:posOffset>48895</wp:posOffset>
            </wp:positionV>
            <wp:extent cx="4529455" cy="2921635"/>
            <wp:effectExtent l="4445" t="4445" r="19050" b="7620"/>
            <wp:wrapTopAndBottom/>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sz w:val="32"/>
        </w:rPr>
        <mc:AlternateContent>
          <mc:Choice Requires="wps">
            <w:drawing>
              <wp:anchor distT="0" distB="0" distL="114300" distR="114300" simplePos="0" relativeHeight="251659264" behindDoc="1" locked="0" layoutInCell="1" allowOverlap="1">
                <wp:simplePos x="0" y="0"/>
                <wp:positionH relativeFrom="column">
                  <wp:posOffset>444500</wp:posOffset>
                </wp:positionH>
                <wp:positionV relativeFrom="paragraph">
                  <wp:posOffset>12700</wp:posOffset>
                </wp:positionV>
                <wp:extent cx="3314065" cy="483235"/>
                <wp:effectExtent l="0" t="0" r="635" b="12065"/>
                <wp:wrapNone/>
                <wp:docPr id="2" name="矩形 13"/>
                <wp:cNvGraphicFramePr/>
                <a:graphic xmlns:a="http://schemas.openxmlformats.org/drawingml/2006/main">
                  <a:graphicData uri="http://schemas.microsoft.com/office/word/2010/wordprocessingShape">
                    <wps:wsp>
                      <wps:cNvSpPr/>
                      <wps:spPr>
                        <a:xfrm>
                          <a:off x="0" y="0"/>
                          <a:ext cx="3314065" cy="483235"/>
                        </a:xfrm>
                        <a:prstGeom prst="rect">
                          <a:avLst/>
                        </a:prstGeom>
                        <a:solidFill>
                          <a:srgbClr val="FFFFFF"/>
                        </a:solidFill>
                        <a:ln>
                          <a:noFill/>
                        </a:ln>
                      </wps:spPr>
                      <wps:txbx>
                        <w:txbxContent>
                          <w:p>
                            <w:pPr>
                              <w:adjustRightInd w:val="0"/>
                              <w:snapToGrid w:val="0"/>
                              <w:spacing w:after="160" w:afterLines="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1</w:t>
                            </w:r>
                            <w:r>
                              <w:rPr>
                                <w:rFonts w:hint="eastAsia" w:ascii="仿宋_GB2312" w:hAnsi="Times New Roman" w:eastAsia="仿宋_GB2312" w:cs="Wingdings"/>
                                <w:sz w:val="28"/>
                                <w:szCs w:val="28"/>
                              </w:rPr>
                              <w:t>：支出决算构成情况（按支出性质）</w:t>
                            </w:r>
                          </w:p>
                          <w:p>
                            <w:pPr>
                              <w:spacing w:after="160" w:afterLines="0" w:line="480" w:lineRule="auto"/>
                              <w:rPr>
                                <w:rFonts w:ascii="Times New Roman" w:hAnsi="Times New Roman" w:eastAsia="宋体" w:cs="Times New Roman"/>
                                <w:sz w:val="20"/>
                              </w:rPr>
                            </w:pPr>
                          </w:p>
                        </w:txbxContent>
                      </wps:txbx>
                      <wps:bodyPr vert="horz" wrap="square" anchor="t" upright="0"/>
                    </wps:wsp>
                  </a:graphicData>
                </a:graphic>
              </wp:anchor>
            </w:drawing>
          </mc:Choice>
          <mc:Fallback>
            <w:pict>
              <v:rect id="矩形 13" o:spid="_x0000_s1026" o:spt="1" style="position:absolute;left:0pt;margin-left:35pt;margin-top:1pt;height:38.05pt;width:260.95pt;z-index:-251657216;mso-width-relative:page;mso-height-relative:page;" fillcolor="#FFFFFF" filled="t" stroked="f" coordsize="21600,21600" o:gfxdata="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JJYyA9YAAAAHAQAADwAAAAAAAAABACAAAAAiAAAAZHJzL2Rvd25yZXYueG1sUEsBAhQAFAAAAAgA&#10;h07iQC7zSGW1AQAAQgMAAA4AAAAAAAAAAQAgAAAAJQEAAGRycy9lMm9Eb2MueG1sUEsFBgAAAAAG&#10;AAYAWQEAAEwFAAAAAA==&#10;">
                <v:fill on="t" focussize="0,0"/>
                <v:stroke on="f"/>
                <v:imagedata o:title=""/>
                <o:lock v:ext="edit" aspectratio="f"/>
                <v:textbox>
                  <w:txbxContent>
                    <w:p>
                      <w:pPr>
                        <w:adjustRightInd w:val="0"/>
                        <w:snapToGrid w:val="0"/>
                        <w:spacing w:after="160" w:afterLines="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w:t>
                      </w:r>
                      <w:r>
                        <w:rPr>
                          <w:rFonts w:hint="eastAsia" w:ascii="仿宋_GB2312" w:hAnsi="Times New Roman" w:eastAsia="仿宋_GB2312" w:cs="Wingdings"/>
                          <w:sz w:val="28"/>
                          <w:szCs w:val="28"/>
                          <w:lang w:val="en-US" w:eastAsia="zh-CN"/>
                        </w:rPr>
                        <w:t>1</w:t>
                      </w:r>
                      <w:r>
                        <w:rPr>
                          <w:rFonts w:hint="eastAsia" w:ascii="仿宋_GB2312" w:hAnsi="Times New Roman" w:eastAsia="仿宋_GB2312" w:cs="Wingdings"/>
                          <w:sz w:val="28"/>
                          <w:szCs w:val="28"/>
                        </w:rPr>
                        <w:t>：支出决算构成情况（按支出性质）</w:t>
                      </w:r>
                    </w:p>
                    <w:p>
                      <w:pPr>
                        <w:spacing w:after="160" w:afterLines="0" w:line="480" w:lineRule="auto"/>
                        <w:rPr>
                          <w:rFonts w:ascii="Times New Roman" w:hAnsi="Times New Roman" w:eastAsia="宋体" w:cs="Times New Roman"/>
                          <w:sz w:val="20"/>
                        </w:rPr>
                      </w:pPr>
                    </w:p>
                  </w:txbxContent>
                </v:textbox>
              </v:rect>
            </w:pict>
          </mc:Fallback>
        </mc:AlternateConten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本部门2020年度财政拨款收支均为一般公共预算财政拨款，其中本年收入</w:t>
      </w:r>
      <w:r>
        <w:rPr>
          <w:rFonts w:hint="eastAsia" w:ascii="仿宋" w:hAnsi="仿宋" w:eastAsia="仿宋" w:cs="仿宋"/>
          <w:sz w:val="32"/>
          <w:szCs w:val="32"/>
          <w:lang w:val="en-US" w:eastAsia="zh-CN"/>
        </w:rPr>
        <w:t>4500.67</w:t>
      </w:r>
      <w:r>
        <w:rPr>
          <w:rFonts w:hint="eastAsia" w:ascii="仿宋" w:hAnsi="仿宋" w:eastAsia="仿宋" w:cs="仿宋"/>
          <w:sz w:val="32"/>
          <w:szCs w:val="32"/>
        </w:rPr>
        <w:t>万元,比2019年度减少</w:t>
      </w:r>
      <w:r>
        <w:rPr>
          <w:rFonts w:hint="eastAsia" w:ascii="仿宋" w:hAnsi="仿宋" w:eastAsia="仿宋" w:cs="仿宋"/>
          <w:sz w:val="32"/>
          <w:szCs w:val="32"/>
          <w:lang w:val="en-US" w:eastAsia="zh-CN"/>
        </w:rPr>
        <w:t>221.99</w:t>
      </w:r>
      <w:r>
        <w:rPr>
          <w:rFonts w:hint="eastAsia" w:ascii="仿宋" w:hAnsi="仿宋" w:eastAsia="仿宋" w:cs="仿宋"/>
          <w:sz w:val="32"/>
          <w:szCs w:val="32"/>
        </w:rPr>
        <w:t>万元，降低</w:t>
      </w:r>
      <w:r>
        <w:rPr>
          <w:rFonts w:hint="eastAsia" w:ascii="仿宋" w:hAnsi="仿宋" w:eastAsia="仿宋" w:cs="仿宋"/>
          <w:sz w:val="32"/>
          <w:szCs w:val="32"/>
          <w:lang w:val="en-US" w:eastAsia="zh-CN"/>
        </w:rPr>
        <w:t>4.7</w:t>
      </w:r>
      <w:r>
        <w:rPr>
          <w:rFonts w:hint="eastAsia" w:ascii="仿宋" w:hAnsi="仿宋" w:eastAsia="仿宋" w:cs="仿宋"/>
          <w:sz w:val="32"/>
          <w:szCs w:val="32"/>
        </w:rPr>
        <w:t>%，主要是</w:t>
      </w:r>
      <w:r>
        <w:rPr>
          <w:rFonts w:hint="eastAsia" w:ascii="仿宋" w:hAnsi="仿宋" w:eastAsia="仿宋" w:cs="仿宋"/>
          <w:sz w:val="32"/>
          <w:szCs w:val="32"/>
          <w:lang w:val="en-US" w:eastAsia="zh-CN"/>
        </w:rPr>
        <w:t>退休人员增多</w:t>
      </w:r>
      <w:r>
        <w:rPr>
          <w:rFonts w:hint="eastAsia" w:ascii="仿宋" w:hAnsi="仿宋" w:eastAsia="仿宋" w:cs="仿宋"/>
          <w:sz w:val="32"/>
          <w:szCs w:val="32"/>
        </w:rPr>
        <w:t>，</w:t>
      </w:r>
      <w:r>
        <w:rPr>
          <w:rFonts w:hint="eastAsia" w:ascii="仿宋" w:hAnsi="仿宋" w:eastAsia="仿宋" w:cs="仿宋"/>
          <w:sz w:val="32"/>
          <w:szCs w:val="32"/>
          <w:lang w:val="en-US" w:eastAsia="zh-CN"/>
        </w:rPr>
        <w:t>人员经费和日常支出减少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4477.15</w:t>
      </w:r>
      <w:r>
        <w:rPr>
          <w:rFonts w:hint="eastAsia" w:ascii="仿宋" w:hAnsi="仿宋" w:eastAsia="仿宋" w:cs="仿宋"/>
          <w:sz w:val="32"/>
          <w:szCs w:val="32"/>
        </w:rPr>
        <w:t>万元，减少</w:t>
      </w:r>
      <w:r>
        <w:rPr>
          <w:rFonts w:hint="eastAsia" w:ascii="仿宋" w:hAnsi="仿宋" w:eastAsia="仿宋" w:cs="仿宋"/>
          <w:sz w:val="32"/>
          <w:szCs w:val="32"/>
          <w:lang w:val="en-US" w:eastAsia="zh-CN"/>
        </w:rPr>
        <w:t>251.24</w:t>
      </w:r>
      <w:r>
        <w:rPr>
          <w:rFonts w:hint="eastAsia" w:ascii="仿宋" w:hAnsi="仿宋" w:eastAsia="仿宋" w:cs="仿宋"/>
          <w:sz w:val="32"/>
          <w:szCs w:val="32"/>
        </w:rPr>
        <w:t>万元，降低</w:t>
      </w:r>
      <w:r>
        <w:rPr>
          <w:rFonts w:hint="eastAsia" w:ascii="仿宋" w:hAnsi="仿宋" w:eastAsia="仿宋" w:cs="仿宋"/>
          <w:sz w:val="32"/>
          <w:szCs w:val="32"/>
          <w:lang w:val="en-US" w:eastAsia="zh-CN"/>
        </w:rPr>
        <w:t>5.31</w:t>
      </w:r>
      <w:r>
        <w:rPr>
          <w:rFonts w:hint="eastAsia" w:ascii="仿宋" w:hAnsi="仿宋" w:eastAsia="仿宋" w:cs="仿宋"/>
          <w:sz w:val="32"/>
          <w:szCs w:val="32"/>
        </w:rPr>
        <w:t>%，主要是</w:t>
      </w:r>
      <w:r>
        <w:rPr>
          <w:rFonts w:hint="eastAsia" w:ascii="仿宋" w:hAnsi="仿宋" w:eastAsia="仿宋" w:cs="仿宋"/>
          <w:sz w:val="32"/>
          <w:szCs w:val="32"/>
          <w:lang w:val="en-US" w:eastAsia="zh-CN"/>
        </w:rPr>
        <w:t>退休人员增多</w:t>
      </w:r>
      <w:r>
        <w:rPr>
          <w:rFonts w:hint="eastAsia" w:ascii="仿宋" w:hAnsi="仿宋" w:eastAsia="仿宋" w:cs="仿宋"/>
          <w:sz w:val="32"/>
          <w:szCs w:val="32"/>
        </w:rPr>
        <w:t>，</w:t>
      </w:r>
      <w:r>
        <w:rPr>
          <w:rFonts w:hint="eastAsia" w:ascii="仿宋" w:hAnsi="仿宋" w:eastAsia="仿宋" w:cs="仿宋"/>
          <w:sz w:val="32"/>
          <w:szCs w:val="32"/>
          <w:lang w:val="en-US" w:eastAsia="zh-CN"/>
        </w:rPr>
        <w:t>人员经费和日常支出减少</w:t>
      </w:r>
      <w:r>
        <w:rPr>
          <w:rFonts w:hint="eastAsia" w:ascii="仿宋" w:hAnsi="仿宋" w:eastAsia="仿宋" w:cs="仿宋"/>
          <w:sz w:val="32"/>
          <w:szCs w:val="32"/>
        </w:rPr>
        <w:t>。</w:t>
      </w:r>
    </w:p>
    <w:p>
      <w:pPr>
        <w:spacing w:line="600" w:lineRule="exact"/>
        <w:ind w:firstLine="640" w:firstLineChars="200"/>
        <w:rPr>
          <w:rFonts w:hint="eastAsia" w:ascii="仿宋" w:hAnsi="仿宋" w:eastAsia="仿宋" w:cs="仿宋"/>
          <w:sz w:val="32"/>
          <w:szCs w:val="32"/>
        </w:rPr>
      </w:pPr>
    </w:p>
    <w:p>
      <w:pPr>
        <w:adjustRightInd w:val="0"/>
        <w:snapToGrid w:val="0"/>
        <w:spacing w:line="600" w:lineRule="exact"/>
        <w:ind w:firstLine="640" w:firstLineChars="200"/>
        <w:rPr>
          <w:rFonts w:hint="eastAsia" w:ascii="仿宋_GB2312" w:hAnsi="Times New Roman" w:eastAsia="仿宋_GB2312" w:cs="Wingdings"/>
          <w:sz w:val="32"/>
          <w:szCs w:val="32"/>
        </w:rPr>
      </w:pPr>
    </w:p>
    <w:p>
      <w:pPr>
        <w:adjustRightInd w:val="0"/>
        <w:snapToGrid w:val="0"/>
        <w:spacing w:line="600" w:lineRule="exact"/>
        <w:rPr>
          <w:rFonts w:hint="eastAsia" w:ascii="仿宋_GB2312" w:hAnsi="Times New Roman" w:eastAsia="仿宋_GB2312" w:cs="Wingdings"/>
          <w:b/>
          <w:bCs/>
          <w:sz w:val="32"/>
          <w:szCs w:val="32"/>
          <w:lang w:val="en-US" w:eastAsia="zh-CN"/>
        </w:rPr>
      </w:pPr>
    </w:p>
    <w:p>
      <w:pPr>
        <w:adjustRightInd w:val="0"/>
        <w:snapToGrid w:val="0"/>
        <w:spacing w:line="600" w:lineRule="exact"/>
        <w:rPr>
          <w:rFonts w:hint="eastAsia" w:ascii="仿宋_GB2312" w:hAnsi="Times New Roman" w:eastAsia="仿宋_GB2312" w:cs="Wingdings"/>
          <w:b/>
          <w:bCs/>
          <w:sz w:val="32"/>
          <w:szCs w:val="32"/>
        </w:rPr>
      </w:pPr>
      <w:r>
        <w:rPr>
          <w:rFonts w:hint="eastAsia" w:ascii="仿宋_GB2312" w:hAnsi="Times New Roman" w:eastAsia="仿宋_GB2312" w:cs="Wingdings"/>
          <w:b/>
          <w:bCs/>
          <w:sz w:val="32"/>
          <w:szCs w:val="32"/>
          <w:lang w:val="en-US" w:eastAsia="zh-CN"/>
        </w:rPr>
        <w:t>如图所示：</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anchor distT="0" distB="0" distL="114300" distR="114300" simplePos="0" relativeHeight="251671552" behindDoc="1" locked="0" layoutInCell="1" allowOverlap="1">
            <wp:simplePos x="0" y="0"/>
            <wp:positionH relativeFrom="column">
              <wp:posOffset>198755</wp:posOffset>
            </wp:positionH>
            <wp:positionV relativeFrom="paragraph">
              <wp:posOffset>173355</wp:posOffset>
            </wp:positionV>
            <wp:extent cx="5080000" cy="3810000"/>
            <wp:effectExtent l="4445" t="4445" r="20955" b="14605"/>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tabs>
          <w:tab w:val="left" w:pos="1738"/>
        </w:tabs>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tabs>
          <w:tab w:val="left" w:pos="1738"/>
        </w:tabs>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tabs>
          <w:tab w:val="left" w:pos="1738"/>
        </w:tabs>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tabs>
          <w:tab w:val="left" w:pos="1738"/>
        </w:tabs>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tabs>
          <w:tab w:val="left" w:pos="1738"/>
        </w:tabs>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tabs>
          <w:tab w:val="left" w:pos="1738"/>
        </w:tabs>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0" w:firstLineChars="200"/>
        <w:rPr>
          <w:rFonts w:hint="eastAsia" w:ascii="楷体_GB2312" w:hAnsi="Times New Roman" w:eastAsia="楷体_GB2312" w:cs="Mongolian Baiti"/>
          <w:b w:val="0"/>
          <w:bCs w:val="0"/>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本部门2020年度一般公共预算财政拨款收入</w:t>
      </w:r>
      <w:r>
        <w:rPr>
          <w:rFonts w:hint="eastAsia" w:ascii="仿宋" w:hAnsi="仿宋" w:eastAsia="仿宋" w:cs="仿宋"/>
          <w:sz w:val="32"/>
          <w:szCs w:val="32"/>
          <w:lang w:val="en-US" w:eastAsia="zh-CN"/>
        </w:rPr>
        <w:t>4500.67</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94.27</w:t>
      </w:r>
      <w:r>
        <w:rPr>
          <w:rFonts w:hint="eastAsia" w:ascii="仿宋" w:hAnsi="仿宋" w:eastAsia="仿宋" w:cs="仿宋"/>
          <w:sz w:val="32"/>
          <w:szCs w:val="32"/>
        </w:rPr>
        <w:t>%,比年初预算减少</w:t>
      </w:r>
      <w:r>
        <w:rPr>
          <w:rFonts w:hint="eastAsia" w:ascii="仿宋" w:hAnsi="仿宋" w:eastAsia="仿宋" w:cs="仿宋"/>
          <w:sz w:val="32"/>
          <w:szCs w:val="32"/>
          <w:lang w:val="en-US" w:eastAsia="zh-CN"/>
        </w:rPr>
        <w:t>273.8</w:t>
      </w:r>
      <w:r>
        <w:rPr>
          <w:rFonts w:hint="eastAsia" w:ascii="仿宋" w:hAnsi="仿宋" w:eastAsia="仿宋" w:cs="仿宋"/>
          <w:sz w:val="32"/>
          <w:szCs w:val="32"/>
        </w:rPr>
        <w:t>万元，决算数小于预算数主要原因是</w:t>
      </w:r>
      <w:r>
        <w:rPr>
          <w:rFonts w:hint="eastAsia" w:ascii="仿宋" w:hAnsi="仿宋" w:eastAsia="仿宋" w:cs="仿宋"/>
          <w:sz w:val="32"/>
          <w:szCs w:val="32"/>
          <w:lang w:val="en-US" w:eastAsia="zh-CN"/>
        </w:rPr>
        <w:t>退休人员增加，基本支出减少</w:t>
      </w:r>
      <w:r>
        <w:rPr>
          <w:rFonts w:hint="eastAsia" w:ascii="仿宋" w:hAnsi="仿宋" w:eastAsia="仿宋" w:cs="仿宋"/>
          <w:sz w:val="32"/>
          <w:szCs w:val="32"/>
        </w:rPr>
        <w:t>；本年支出</w:t>
      </w:r>
      <w:r>
        <w:rPr>
          <w:rFonts w:hint="eastAsia" w:ascii="仿宋" w:hAnsi="仿宋" w:eastAsia="仿宋" w:cs="仿宋"/>
          <w:sz w:val="32"/>
          <w:szCs w:val="32"/>
          <w:lang w:val="en-US" w:eastAsia="zh-CN"/>
        </w:rPr>
        <w:t>4477.15</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93.77</w:t>
      </w:r>
      <w:r>
        <w:rPr>
          <w:rFonts w:hint="eastAsia" w:ascii="仿宋" w:hAnsi="仿宋" w:eastAsia="仿宋" w:cs="仿宋"/>
          <w:sz w:val="32"/>
          <w:szCs w:val="32"/>
        </w:rPr>
        <w:t>%,比年初预算减少</w:t>
      </w:r>
      <w:r>
        <w:rPr>
          <w:rFonts w:hint="eastAsia" w:ascii="仿宋" w:hAnsi="仿宋" w:eastAsia="仿宋" w:cs="仿宋"/>
          <w:sz w:val="32"/>
          <w:szCs w:val="32"/>
          <w:lang w:val="en-US" w:eastAsia="zh-CN"/>
        </w:rPr>
        <w:t>297.32</w:t>
      </w:r>
      <w:r>
        <w:rPr>
          <w:rFonts w:hint="eastAsia" w:ascii="仿宋" w:hAnsi="仿宋" w:eastAsia="仿宋" w:cs="仿宋"/>
          <w:sz w:val="32"/>
          <w:szCs w:val="32"/>
        </w:rPr>
        <w:t>万元，决算数小于预算数主要原因是</w:t>
      </w:r>
      <w:r>
        <w:rPr>
          <w:rFonts w:hint="eastAsia" w:ascii="仿宋" w:hAnsi="仿宋" w:eastAsia="仿宋" w:cs="仿宋"/>
          <w:sz w:val="32"/>
          <w:szCs w:val="32"/>
          <w:lang w:val="en-US" w:eastAsia="zh-CN"/>
        </w:rPr>
        <w:t>退休人员增多</w:t>
      </w:r>
      <w:r>
        <w:rPr>
          <w:rFonts w:hint="eastAsia" w:ascii="仿宋" w:hAnsi="仿宋" w:eastAsia="仿宋" w:cs="仿宋"/>
          <w:sz w:val="32"/>
          <w:szCs w:val="32"/>
        </w:rPr>
        <w:t>，</w:t>
      </w:r>
      <w:r>
        <w:rPr>
          <w:rFonts w:hint="eastAsia" w:ascii="仿宋" w:hAnsi="仿宋" w:eastAsia="仿宋" w:cs="仿宋"/>
          <w:sz w:val="32"/>
          <w:szCs w:val="32"/>
          <w:lang w:val="en-US" w:eastAsia="zh-CN"/>
        </w:rPr>
        <w:t>人员经费和日常支出减少</w:t>
      </w:r>
      <w:r>
        <w:rPr>
          <w:rFonts w:hint="eastAsia" w:ascii="仿宋" w:hAnsi="仿宋" w:eastAsia="仿宋" w:cs="仿宋"/>
          <w:sz w:val="32"/>
          <w:szCs w:val="32"/>
        </w:rPr>
        <w:t>。</w:t>
      </w:r>
    </w:p>
    <w:p>
      <w:pPr>
        <w:adjustRightInd w:val="0"/>
        <w:snapToGrid w:val="0"/>
        <w:spacing w:line="600" w:lineRule="exact"/>
        <w:ind w:firstLine="643" w:firstLineChars="200"/>
        <w:rPr>
          <w:rFonts w:hint="eastAsia" w:ascii="楷体_GB2312" w:hAnsi="Times New Roman" w:eastAsia="楷体_GB2312" w:cs="Mongolian Baiti"/>
          <w:b/>
          <w:bCs/>
          <w:sz w:val="32"/>
          <w:szCs w:val="32"/>
          <w:lang w:val="en-US" w:eastAsia="zh-CN"/>
        </w:rPr>
      </w:pPr>
    </w:p>
    <w:p>
      <w:pPr>
        <w:adjustRightInd w:val="0"/>
        <w:snapToGrid w:val="0"/>
        <w:spacing w:line="600" w:lineRule="exact"/>
        <w:ind w:firstLine="643" w:firstLineChars="200"/>
        <w:rPr>
          <w:rFonts w:hint="eastAsia" w:ascii="楷体_GB2312" w:hAnsi="Times New Roman" w:eastAsia="楷体_GB2312" w:cs="Mongolian Baiti"/>
          <w:b/>
          <w:bCs/>
          <w:sz w:val="32"/>
          <w:szCs w:val="32"/>
          <w:lang w:val="en-US" w:eastAsia="zh-CN"/>
        </w:rPr>
      </w:pPr>
    </w:p>
    <w:p>
      <w:pPr>
        <w:adjustRightInd w:val="0"/>
        <w:snapToGrid w:val="0"/>
        <w:spacing w:line="600" w:lineRule="exact"/>
        <w:ind w:firstLine="643" w:firstLineChars="200"/>
        <w:rPr>
          <w:rFonts w:hint="eastAsia" w:ascii="仿宋_GB2312" w:hAnsi="Times New Roman" w:eastAsia="仿宋_GB2312" w:cs="Wingdings"/>
          <w:b/>
          <w:bCs/>
          <w:sz w:val="32"/>
          <w:szCs w:val="32"/>
        </w:rPr>
      </w:pPr>
      <w:r>
        <w:rPr>
          <w:rFonts w:hint="eastAsia" w:ascii="楷体_GB2312" w:hAnsi="Times New Roman" w:eastAsia="楷体_GB2312" w:cs="Mongolian Baiti"/>
          <w:b/>
          <w:bCs/>
          <w:sz w:val="32"/>
          <w:szCs w:val="32"/>
          <w:lang w:val="en-US" w:eastAsia="zh-CN"/>
        </w:rPr>
        <w:t>如图所示：</w:t>
      </w:r>
    </w:p>
    <w:p>
      <w:pPr>
        <w:numPr>
          <w:ilvl w:val="0"/>
          <w:numId w:val="0"/>
        </w:numPr>
        <w:adjustRightInd w:val="0"/>
        <w:snapToGrid w:val="0"/>
        <w:spacing w:line="600" w:lineRule="exact"/>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drawing>
          <wp:anchor distT="0" distB="0" distL="114300" distR="114300" simplePos="0" relativeHeight="251671552" behindDoc="0" locked="0" layoutInCell="1" allowOverlap="1">
            <wp:simplePos x="0" y="0"/>
            <wp:positionH relativeFrom="column">
              <wp:posOffset>325755</wp:posOffset>
            </wp:positionH>
            <wp:positionV relativeFrom="paragraph">
              <wp:posOffset>120015</wp:posOffset>
            </wp:positionV>
            <wp:extent cx="5080000" cy="3810000"/>
            <wp:effectExtent l="4445" t="4445" r="20955" b="14605"/>
            <wp:wrapTopAndBottom/>
            <wp:docPr id="18" name="图表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hint="eastAsia" w:ascii="楷体_GB2312" w:hAnsi="Times New Roman" w:eastAsia="楷体_GB2312" w:cs="Mongolian Baiti"/>
          <w:b/>
          <w:bCs/>
          <w:sz w:val="32"/>
          <w:szCs w:val="32"/>
          <w:lang w:val="en-US" w:eastAsia="zh-CN"/>
        </w:rPr>
        <w:t xml:space="preserve">  </w:t>
      </w: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bCs/>
          <w:sz w:val="32"/>
          <w:szCs w:val="32"/>
          <w:lang w:val="en-US" w:eastAsia="zh-CN"/>
        </w:rPr>
        <w:t>三</w:t>
      </w: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bCs/>
          <w:sz w:val="32"/>
          <w:szCs w:val="32"/>
        </w:rPr>
        <w:t>财政拨款支出决算结构情况。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2020 年度财政拨款支出</w:t>
      </w:r>
      <w:r>
        <w:rPr>
          <w:rFonts w:hint="eastAsia" w:ascii="仿宋" w:hAnsi="仿宋" w:eastAsia="仿宋" w:cs="仿宋"/>
          <w:sz w:val="32"/>
          <w:szCs w:val="32"/>
          <w:lang w:val="en-US" w:eastAsia="zh-CN"/>
        </w:rPr>
        <w:t>4477.15</w:t>
      </w:r>
      <w:r>
        <w:rPr>
          <w:rFonts w:hint="eastAsia" w:ascii="仿宋" w:hAnsi="仿宋" w:eastAsia="仿宋" w:cs="仿宋"/>
          <w:sz w:val="32"/>
          <w:szCs w:val="32"/>
        </w:rPr>
        <w:t>万元，主要用于以下方面</w:t>
      </w:r>
      <w:r>
        <w:rPr>
          <w:rFonts w:hint="eastAsia" w:ascii="仿宋" w:hAnsi="仿宋" w:eastAsia="仿宋" w:cs="仿宋"/>
          <w:sz w:val="32"/>
          <w:szCs w:val="32"/>
          <w:lang w:eastAsia="zh-CN"/>
        </w:rPr>
        <w:t>：</w:t>
      </w:r>
      <w:r>
        <w:rPr>
          <w:rFonts w:hint="eastAsia" w:ascii="仿宋" w:hAnsi="仿宋" w:eastAsia="仿宋" w:cs="仿宋"/>
          <w:sz w:val="32"/>
          <w:szCs w:val="32"/>
        </w:rPr>
        <w:t>一般公共服务（类）支出</w:t>
      </w:r>
      <w:r>
        <w:rPr>
          <w:rFonts w:hint="eastAsia" w:ascii="仿宋" w:hAnsi="仿宋" w:eastAsia="仿宋" w:cs="仿宋"/>
          <w:sz w:val="32"/>
          <w:szCs w:val="32"/>
          <w:lang w:val="en-US" w:eastAsia="zh-CN"/>
        </w:rPr>
        <w:t>4240.93</w:t>
      </w:r>
      <w:r>
        <w:rPr>
          <w:rFonts w:hint="eastAsia" w:ascii="仿宋" w:hAnsi="仿宋" w:eastAsia="仿宋" w:cs="仿宋"/>
          <w:sz w:val="32"/>
          <w:szCs w:val="32"/>
        </w:rPr>
        <w:t>万元，占</w:t>
      </w:r>
      <w:r>
        <w:rPr>
          <w:rFonts w:hint="eastAsia" w:ascii="仿宋" w:hAnsi="仿宋" w:eastAsia="仿宋" w:cs="仿宋"/>
          <w:sz w:val="32"/>
          <w:szCs w:val="32"/>
          <w:lang w:val="en-US" w:eastAsia="zh-CN"/>
        </w:rPr>
        <w:t>94.72</w:t>
      </w:r>
      <w:r>
        <w:rPr>
          <w:rFonts w:hint="eastAsia" w:ascii="仿宋" w:hAnsi="仿宋" w:eastAsia="仿宋" w:cs="仿宋"/>
          <w:sz w:val="32"/>
          <w:szCs w:val="32"/>
        </w:rPr>
        <w:t>%，；</w:t>
      </w:r>
      <w:r>
        <w:rPr>
          <w:rFonts w:hint="eastAsia" w:ascii="仿宋" w:hAnsi="仿宋" w:eastAsia="仿宋" w:cs="仿宋"/>
          <w:sz w:val="32"/>
          <w:szCs w:val="32"/>
          <w:lang w:val="en-US" w:eastAsia="zh-CN"/>
        </w:rPr>
        <w:t>卫生健康</w:t>
      </w:r>
      <w:r>
        <w:rPr>
          <w:rFonts w:hint="eastAsia" w:ascii="仿宋" w:hAnsi="仿宋" w:eastAsia="仿宋" w:cs="仿宋"/>
          <w:sz w:val="32"/>
          <w:szCs w:val="32"/>
        </w:rPr>
        <w:t>（类）支出</w:t>
      </w:r>
      <w:r>
        <w:rPr>
          <w:rFonts w:hint="eastAsia" w:ascii="仿宋" w:hAnsi="仿宋" w:eastAsia="仿宋" w:cs="仿宋"/>
          <w:sz w:val="32"/>
          <w:szCs w:val="32"/>
          <w:lang w:val="en-US" w:eastAsia="zh-CN"/>
        </w:rPr>
        <w:t>42.22</w:t>
      </w:r>
      <w:r>
        <w:rPr>
          <w:rFonts w:hint="eastAsia" w:ascii="仿宋" w:hAnsi="仿宋" w:eastAsia="仿宋" w:cs="仿宋"/>
          <w:sz w:val="32"/>
          <w:szCs w:val="32"/>
        </w:rPr>
        <w:t>万元，占</w:t>
      </w:r>
      <w:r>
        <w:rPr>
          <w:rFonts w:hint="eastAsia" w:ascii="仿宋" w:hAnsi="仿宋" w:eastAsia="仿宋" w:cs="仿宋"/>
          <w:sz w:val="32"/>
          <w:szCs w:val="32"/>
          <w:lang w:val="en-US" w:eastAsia="zh-CN"/>
        </w:rPr>
        <w:t>0.95</w:t>
      </w:r>
      <w:r>
        <w:rPr>
          <w:rFonts w:hint="eastAsia" w:ascii="仿宋" w:hAnsi="仿宋" w:eastAsia="仿宋" w:cs="仿宋"/>
          <w:sz w:val="32"/>
          <w:szCs w:val="32"/>
        </w:rPr>
        <w:t>%；</w:t>
      </w:r>
      <w:r>
        <w:rPr>
          <w:rFonts w:hint="eastAsia" w:ascii="仿宋" w:hAnsi="仿宋" w:eastAsia="仿宋" w:cs="仿宋"/>
          <w:sz w:val="32"/>
          <w:szCs w:val="32"/>
          <w:lang w:val="en-US" w:eastAsia="zh-CN"/>
        </w:rPr>
        <w:t>商业服务</w:t>
      </w:r>
      <w:r>
        <w:rPr>
          <w:rFonts w:hint="eastAsia" w:ascii="仿宋" w:hAnsi="仿宋" w:eastAsia="仿宋" w:cs="仿宋"/>
          <w:sz w:val="32"/>
          <w:szCs w:val="32"/>
        </w:rPr>
        <w:t>（类）支出</w:t>
      </w:r>
      <w:r>
        <w:rPr>
          <w:rFonts w:hint="eastAsia" w:ascii="仿宋" w:hAnsi="仿宋" w:eastAsia="仿宋" w:cs="仿宋"/>
          <w:sz w:val="32"/>
          <w:szCs w:val="32"/>
          <w:lang w:val="en-US" w:eastAsia="zh-CN"/>
        </w:rPr>
        <w:t>194</w:t>
      </w:r>
      <w:r>
        <w:rPr>
          <w:rFonts w:hint="eastAsia" w:ascii="仿宋" w:hAnsi="仿宋" w:eastAsia="仿宋" w:cs="仿宋"/>
          <w:sz w:val="32"/>
          <w:szCs w:val="32"/>
        </w:rPr>
        <w:t xml:space="preserve">万元，占 </w:t>
      </w:r>
      <w:r>
        <w:rPr>
          <w:rFonts w:hint="eastAsia" w:ascii="仿宋" w:hAnsi="仿宋" w:eastAsia="仿宋" w:cs="仿宋"/>
          <w:sz w:val="32"/>
          <w:szCs w:val="32"/>
          <w:lang w:val="en-US" w:eastAsia="zh-CN"/>
        </w:rPr>
        <w:t>4.33</w:t>
      </w:r>
      <w:r>
        <w:rPr>
          <w:rFonts w:hint="eastAsia" w:ascii="仿宋" w:hAnsi="仿宋" w:eastAsia="仿宋" w:cs="仿宋"/>
          <w:sz w:val="32"/>
          <w:szCs w:val="32"/>
        </w:rPr>
        <w:t>%。</w:t>
      </w:r>
    </w:p>
    <w:p>
      <w:pPr>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adjustRightInd w:val="0"/>
        <w:snapToGrid w:val="0"/>
        <w:spacing w:line="600" w:lineRule="exact"/>
        <w:rPr>
          <w:rFonts w:hint="eastAsia" w:ascii="楷体_GB2312" w:hAnsi="Times New Roman" w:eastAsia="楷体_GB2312" w:cs="Mongolian Baiti"/>
          <w:b/>
          <w:bCs/>
          <w:sz w:val="32"/>
          <w:szCs w:val="32"/>
          <w:lang w:val="en-US" w:eastAsia="zh-CN"/>
        </w:rPr>
      </w:pPr>
    </w:p>
    <w:p>
      <w:pPr>
        <w:adjustRightInd w:val="0"/>
        <w:snapToGrid w:val="0"/>
        <w:spacing w:line="600" w:lineRule="exact"/>
        <w:rPr>
          <w:rFonts w:hint="eastAsia" w:ascii="楷体_GB2312" w:hAnsi="Times New Roman" w:eastAsia="楷体_GB2312" w:cs="Mongolian Baiti"/>
          <w:b/>
          <w:bCs/>
          <w:sz w:val="32"/>
          <w:szCs w:val="32"/>
          <w:lang w:val="en-US" w:eastAsia="zh-CN"/>
        </w:rPr>
      </w:pPr>
    </w:p>
    <w:p>
      <w:pPr>
        <w:adjustRightInd w:val="0"/>
        <w:snapToGrid w:val="0"/>
        <w:spacing w:line="600" w:lineRule="exact"/>
        <w:rPr>
          <w:rFonts w:hint="eastAsia" w:ascii="楷体_GB2312" w:hAnsi="Times New Roman" w:eastAsia="楷体_GB2312" w:cs="Mongolian Baiti"/>
          <w:b/>
          <w:bCs/>
          <w:sz w:val="32"/>
          <w:szCs w:val="32"/>
          <w:lang w:val="en-US" w:eastAsia="zh-CN"/>
        </w:rPr>
      </w:pPr>
    </w:p>
    <w:p>
      <w:pPr>
        <w:adjustRightInd w:val="0"/>
        <w:snapToGrid w:val="0"/>
        <w:spacing w:line="600" w:lineRule="exact"/>
        <w:rPr>
          <w:rFonts w:hint="default" w:ascii="楷体_GB2312" w:hAnsi="Times New Roman" w:eastAsia="楷体_GB2312" w:cs="Mongolian Baiti"/>
          <w:b/>
          <w:bCs/>
          <w:sz w:val="32"/>
          <w:szCs w:val="32"/>
          <w:lang w:val="en-US" w:eastAsia="zh-CN"/>
        </w:rPr>
      </w:pPr>
      <w:r>
        <w:rPr>
          <w:rFonts w:hint="eastAsia" w:ascii="楷体_GB2312" w:hAnsi="Times New Roman" w:eastAsia="楷体_GB2312" w:cs="Mongolian Baiti"/>
          <w:b/>
          <w:bCs/>
          <w:sz w:val="32"/>
          <w:szCs w:val="32"/>
          <w:lang w:val="en-US" w:eastAsia="zh-CN"/>
        </w:rPr>
        <w:t xml:space="preserve"> 如图所示：</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lang w:eastAsia="zh-CN"/>
        </w:rPr>
        <w:drawing>
          <wp:anchor distT="0" distB="0" distL="114300" distR="114300" simplePos="0" relativeHeight="251670528" behindDoc="0" locked="0" layoutInCell="1" allowOverlap="1">
            <wp:simplePos x="0" y="0"/>
            <wp:positionH relativeFrom="column">
              <wp:posOffset>57785</wp:posOffset>
            </wp:positionH>
            <wp:positionV relativeFrom="paragraph">
              <wp:posOffset>99695</wp:posOffset>
            </wp:positionV>
            <wp:extent cx="5227955" cy="4117975"/>
            <wp:effectExtent l="4445" t="4445" r="6350" b="1143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楷体_GB2312" w:hAnsi="Times New Roman" w:eastAsia="楷体_GB2312" w:cs="Mongolian Baiti"/>
          <w:b/>
          <w:bCs/>
          <w:sz w:val="32"/>
          <w:szCs w:val="32"/>
        </w:rPr>
        <w:t>（四）一般公共预算基本支出决算情况说明</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2020 年度财政拨款基本支出</w:t>
      </w:r>
      <w:r>
        <w:rPr>
          <w:rFonts w:hint="eastAsia" w:ascii="仿宋" w:hAnsi="仿宋" w:eastAsia="仿宋" w:cs="仿宋"/>
          <w:sz w:val="32"/>
          <w:szCs w:val="32"/>
          <w:lang w:val="en-US" w:eastAsia="zh-CN"/>
        </w:rPr>
        <w:t>2866.65</w:t>
      </w:r>
      <w:r>
        <w:rPr>
          <w:rFonts w:hint="eastAsia" w:ascii="仿宋" w:hAnsi="仿宋" w:eastAsia="仿宋" w:cs="仿宋"/>
          <w:sz w:val="32"/>
          <w:szCs w:val="32"/>
        </w:rPr>
        <w:t xml:space="preserve">万元，其中：人员经费 </w:t>
      </w:r>
      <w:r>
        <w:rPr>
          <w:rFonts w:hint="eastAsia" w:ascii="仿宋" w:hAnsi="仿宋" w:eastAsia="仿宋" w:cs="仿宋"/>
          <w:sz w:val="32"/>
          <w:szCs w:val="32"/>
          <w:lang w:val="en-US" w:eastAsia="zh-CN"/>
        </w:rPr>
        <w:t>2575.93</w:t>
      </w:r>
      <w:r>
        <w:rPr>
          <w:rFonts w:hint="eastAsia" w:ascii="仿宋" w:hAnsi="仿宋" w:eastAsia="仿宋" w:cs="仿宋"/>
          <w:sz w:val="32"/>
          <w:szCs w:val="32"/>
        </w:rPr>
        <w:t xml:space="preserve">万元，主要包括基本工资、津贴补贴、奖金、绩效工资、机关事业单位基本养老保险缴费、职业年金缴费、职工基本医疗保险缴费、公务员医疗补助缴费、住房公积金、其他社会保障缴费、其他工资福利支出、生活补助、奖励金、其他对个人和家庭的补助支出；公用经费 </w:t>
      </w:r>
      <w:r>
        <w:rPr>
          <w:rFonts w:hint="eastAsia" w:ascii="仿宋" w:hAnsi="仿宋" w:eastAsia="仿宋" w:cs="仿宋"/>
          <w:sz w:val="32"/>
          <w:szCs w:val="32"/>
          <w:lang w:val="en-US" w:eastAsia="zh-CN"/>
        </w:rPr>
        <w:t>290.72</w:t>
      </w:r>
      <w:r>
        <w:rPr>
          <w:rFonts w:hint="eastAsia" w:ascii="仿宋" w:hAnsi="仿宋" w:eastAsia="仿宋" w:cs="仿宋"/>
          <w:sz w:val="32"/>
          <w:szCs w:val="32"/>
        </w:rPr>
        <w:t>万元，主要包括办公费、印刷费、水费、电费、邮电费、取暖费、物业管理费、差旅费、维修（护）费、租赁费</w:t>
      </w:r>
      <w:r>
        <w:rPr>
          <w:rFonts w:hint="eastAsia" w:ascii="仿宋" w:hAnsi="仿宋" w:eastAsia="仿宋" w:cs="仿宋"/>
          <w:sz w:val="32"/>
          <w:szCs w:val="32"/>
          <w:lang w:eastAsia="zh-CN"/>
        </w:rPr>
        <w:t>、</w:t>
      </w:r>
      <w:r>
        <w:rPr>
          <w:rFonts w:hint="eastAsia" w:ascii="仿宋" w:hAnsi="仿宋" w:eastAsia="仿宋" w:cs="仿宋"/>
          <w:sz w:val="32"/>
          <w:szCs w:val="32"/>
        </w:rPr>
        <w:t>劳务费、委托业务费、工会经费、福利费、公务用车运行维护费、其他交通费用、其他商品和服务支出、办公设备购置、其他资本性支出。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本部门2020年度“三公”经费财政拨款支出预算为</w:t>
      </w:r>
      <w:r>
        <w:rPr>
          <w:rFonts w:hint="eastAsia" w:ascii="仿宋" w:hAnsi="仿宋" w:eastAsia="仿宋" w:cs="仿宋"/>
          <w:sz w:val="32"/>
          <w:szCs w:val="32"/>
          <w:lang w:val="en-US" w:eastAsia="zh-CN"/>
        </w:rPr>
        <w:t>50.2</w:t>
      </w:r>
      <w:r>
        <w:rPr>
          <w:rFonts w:hint="eastAsia" w:ascii="仿宋" w:hAnsi="仿宋" w:eastAsia="仿宋" w:cs="仿宋"/>
          <w:sz w:val="32"/>
          <w:szCs w:val="32"/>
        </w:rPr>
        <w:t>万元，支出决算为</w:t>
      </w:r>
      <w:r>
        <w:rPr>
          <w:rFonts w:hint="eastAsia" w:ascii="仿宋" w:hAnsi="仿宋" w:eastAsia="仿宋" w:cs="仿宋"/>
          <w:sz w:val="32"/>
          <w:szCs w:val="32"/>
          <w:lang w:val="en-US" w:eastAsia="zh-CN"/>
        </w:rPr>
        <w:t>46.48</w:t>
      </w:r>
      <w:r>
        <w:rPr>
          <w:rFonts w:hint="eastAsia" w:ascii="仿宋" w:hAnsi="仿宋" w:eastAsia="仿宋" w:cs="仿宋"/>
          <w:sz w:val="32"/>
          <w:szCs w:val="32"/>
        </w:rPr>
        <w:t>元，完成预算的</w:t>
      </w:r>
      <w:r>
        <w:rPr>
          <w:rFonts w:hint="eastAsia" w:ascii="仿宋" w:hAnsi="仿宋" w:eastAsia="仿宋" w:cs="仿宋"/>
          <w:sz w:val="32"/>
          <w:szCs w:val="32"/>
          <w:lang w:val="en-US" w:eastAsia="zh-CN"/>
        </w:rPr>
        <w:t>92.59</w:t>
      </w:r>
      <w:r>
        <w:rPr>
          <w:rFonts w:hint="eastAsia" w:ascii="仿宋" w:hAnsi="仿宋" w:eastAsia="仿宋" w:cs="仿宋"/>
          <w:sz w:val="32"/>
          <w:szCs w:val="32"/>
        </w:rPr>
        <w:t>%,较预算减少</w:t>
      </w:r>
      <w:r>
        <w:rPr>
          <w:rFonts w:hint="eastAsia" w:ascii="仿宋" w:hAnsi="仿宋" w:eastAsia="仿宋" w:cs="仿宋"/>
          <w:sz w:val="32"/>
          <w:szCs w:val="32"/>
          <w:lang w:val="en-US" w:eastAsia="zh-CN"/>
        </w:rPr>
        <w:t>3.72</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7.41</w:t>
      </w:r>
      <w:r>
        <w:rPr>
          <w:rFonts w:hint="eastAsia" w:ascii="仿宋" w:hAnsi="仿宋" w:eastAsia="仿宋" w:cs="仿宋"/>
          <w:sz w:val="32"/>
          <w:szCs w:val="32"/>
        </w:rPr>
        <w:t>%，主要是</w:t>
      </w:r>
      <w:r>
        <w:rPr>
          <w:rFonts w:hint="eastAsia" w:ascii="仿宋" w:hAnsi="仿宋" w:eastAsia="仿宋" w:cs="仿宋"/>
          <w:sz w:val="32"/>
          <w:szCs w:val="32"/>
          <w:lang w:val="en-US" w:eastAsia="zh-CN"/>
        </w:rPr>
        <w:t>根据政策，压减“三公”经费</w:t>
      </w:r>
      <w:r>
        <w:rPr>
          <w:rFonts w:hint="eastAsia" w:ascii="仿宋" w:hAnsi="仿宋" w:eastAsia="仿宋" w:cs="仿宋"/>
          <w:sz w:val="32"/>
          <w:szCs w:val="32"/>
        </w:rPr>
        <w:t>；较2019年度减少</w:t>
      </w:r>
      <w:r>
        <w:rPr>
          <w:rFonts w:hint="eastAsia" w:ascii="仿宋" w:hAnsi="仿宋" w:eastAsia="仿宋" w:cs="仿宋"/>
          <w:sz w:val="32"/>
          <w:szCs w:val="32"/>
          <w:lang w:val="en-US" w:eastAsia="zh-CN"/>
        </w:rPr>
        <w:t>7.51</w:t>
      </w:r>
      <w:r>
        <w:rPr>
          <w:rFonts w:hint="eastAsia" w:ascii="仿宋" w:hAnsi="仿宋" w:eastAsia="仿宋" w:cs="仿宋"/>
          <w:sz w:val="32"/>
          <w:szCs w:val="32"/>
        </w:rPr>
        <w:t>万元，降低</w:t>
      </w:r>
      <w:r>
        <w:rPr>
          <w:rFonts w:hint="eastAsia" w:ascii="仿宋" w:hAnsi="仿宋" w:eastAsia="仿宋" w:cs="仿宋"/>
          <w:sz w:val="32"/>
          <w:szCs w:val="32"/>
          <w:lang w:val="en-US" w:eastAsia="zh-CN"/>
        </w:rPr>
        <w:t>13.91</w:t>
      </w:r>
      <w:r>
        <w:rPr>
          <w:rFonts w:hint="eastAsia" w:ascii="仿宋" w:hAnsi="仿宋" w:eastAsia="仿宋" w:cs="仿宋"/>
          <w:sz w:val="32"/>
          <w:szCs w:val="32"/>
        </w:rPr>
        <w:t>%，主要是</w:t>
      </w:r>
      <w:r>
        <w:rPr>
          <w:rFonts w:hint="eastAsia" w:ascii="仿宋" w:hAnsi="仿宋" w:eastAsia="仿宋" w:cs="仿宋"/>
          <w:sz w:val="32"/>
          <w:szCs w:val="32"/>
          <w:lang w:val="en-US" w:eastAsia="zh-CN"/>
        </w:rPr>
        <w:t>压减“三公”经费，减少不必要支出</w:t>
      </w:r>
      <w:r>
        <w:rPr>
          <w:rFonts w:hint="eastAsia" w:ascii="仿宋" w:hAnsi="仿宋" w:eastAsia="仿宋" w:cs="仿宋"/>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hint="eastAsia" w:ascii="仿宋" w:hAnsi="仿宋" w:eastAsia="仿宋" w:cs="仿宋"/>
          <w:sz w:val="32"/>
          <w:szCs w:val="32"/>
          <w:lang w:val="en-US" w:eastAsia="zh-CN"/>
        </w:rPr>
      </w:pPr>
      <w:r>
        <w:rPr>
          <w:rFonts w:hint="eastAsia" w:ascii="楷体_GB2312" w:hAnsi="Times New Roman" w:eastAsia="楷体_GB2312" w:cs="Mongolian Baiti"/>
          <w:b/>
          <w:bCs/>
          <w:sz w:val="32"/>
          <w:szCs w:val="32"/>
        </w:rPr>
        <w:t>1.因公出国（境）费。</w:t>
      </w:r>
      <w:r>
        <w:rPr>
          <w:rFonts w:hint="eastAsia" w:ascii="仿宋" w:hAnsi="仿宋" w:eastAsia="仿宋" w:cs="仿宋"/>
          <w:sz w:val="32"/>
          <w:szCs w:val="32"/>
        </w:rPr>
        <w:t>本部门2020年</w:t>
      </w:r>
      <w:r>
        <w:rPr>
          <w:rFonts w:hint="eastAsia" w:ascii="仿宋" w:hAnsi="仿宋" w:eastAsia="仿宋" w:cs="仿宋"/>
          <w:sz w:val="32"/>
          <w:szCs w:val="32"/>
          <w:lang w:val="en-US" w:eastAsia="zh-CN"/>
        </w:rPr>
        <w:t>未发生</w:t>
      </w:r>
      <w:r>
        <w:rPr>
          <w:rFonts w:hint="eastAsia" w:ascii="仿宋" w:hAnsi="仿宋" w:eastAsia="仿宋" w:cs="仿宋"/>
          <w:sz w:val="32"/>
          <w:szCs w:val="32"/>
        </w:rPr>
        <w:t>因公出国（境）费支出。因公出国（境）费支出与预算持平；与2019年度决算支出持平</w:t>
      </w:r>
      <w:r>
        <w:rPr>
          <w:rFonts w:hint="eastAsia" w:ascii="仿宋" w:hAnsi="仿宋" w:eastAsia="仿宋" w:cs="仿宋"/>
          <w:sz w:val="32"/>
          <w:szCs w:val="32"/>
          <w:lang w:eastAsia="zh-CN"/>
        </w:rPr>
        <w:t>。</w:t>
      </w:r>
    </w:p>
    <w:p>
      <w:pPr>
        <w:adjustRightInd w:val="0"/>
        <w:snapToGrid w:val="0"/>
        <w:spacing w:line="600" w:lineRule="exact"/>
        <w:ind w:firstLine="643" w:firstLineChars="200"/>
        <w:rPr>
          <w:rFonts w:hint="eastAsia" w:ascii="仿宋" w:hAnsi="仿宋" w:eastAsia="仿宋" w:cs="仿宋"/>
          <w:sz w:val="32"/>
          <w:szCs w:val="32"/>
        </w:rPr>
      </w:pPr>
      <w:r>
        <w:rPr>
          <w:rFonts w:hint="eastAsia" w:ascii="楷体_GB2312" w:hAnsi="Times New Roman" w:eastAsia="楷体_GB2312" w:cs="Mongolian Baiti"/>
          <w:b/>
          <w:bCs/>
          <w:color w:val="000000" w:themeColor="text1"/>
          <w:sz w:val="32"/>
          <w:szCs w:val="32"/>
          <w:highlight w:val="none"/>
          <w:shd w:val="clear" w:color="auto" w:fill="auto"/>
          <w14:textFill>
            <w14:solidFill>
              <w14:schemeClr w14:val="tx1"/>
            </w14:solidFill>
          </w14:textFill>
        </w:rPr>
        <w:t>2.公务用车购置及运行维护费。</w:t>
      </w:r>
      <w:r>
        <w:rPr>
          <w:rFonts w:hint="eastAsia" w:ascii="仿宋" w:hAnsi="仿宋" w:eastAsia="仿宋" w:cs="仿宋"/>
          <w:sz w:val="32"/>
          <w:szCs w:val="32"/>
        </w:rPr>
        <w:t>本部门2020年公务用车购置及运行维护费支出</w:t>
      </w:r>
      <w:r>
        <w:rPr>
          <w:rFonts w:hint="eastAsia" w:ascii="仿宋" w:hAnsi="仿宋" w:eastAsia="仿宋" w:cs="仿宋"/>
          <w:sz w:val="32"/>
          <w:szCs w:val="32"/>
          <w:lang w:val="en-US" w:eastAsia="zh-CN"/>
        </w:rPr>
        <w:t>46.48</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92.59</w:t>
      </w:r>
      <w:r>
        <w:rPr>
          <w:rFonts w:hint="eastAsia" w:ascii="仿宋" w:hAnsi="仿宋" w:eastAsia="仿宋" w:cs="仿宋"/>
          <w:sz w:val="32"/>
          <w:szCs w:val="32"/>
        </w:rPr>
        <w:t>%，,较预算减少</w:t>
      </w:r>
      <w:r>
        <w:rPr>
          <w:rFonts w:hint="eastAsia" w:ascii="仿宋" w:hAnsi="仿宋" w:eastAsia="仿宋" w:cs="仿宋"/>
          <w:sz w:val="32"/>
          <w:szCs w:val="32"/>
          <w:lang w:val="en-US" w:eastAsia="zh-CN"/>
        </w:rPr>
        <w:t>3.72</w:t>
      </w:r>
      <w:r>
        <w:rPr>
          <w:rFonts w:hint="eastAsia" w:ascii="仿宋" w:hAnsi="仿宋" w:eastAsia="仿宋" w:cs="仿宋"/>
          <w:sz w:val="32"/>
          <w:szCs w:val="32"/>
        </w:rPr>
        <w:t>万元，降低</w:t>
      </w:r>
      <w:r>
        <w:rPr>
          <w:rFonts w:hint="eastAsia" w:ascii="仿宋" w:hAnsi="仿宋" w:eastAsia="仿宋" w:cs="仿宋"/>
          <w:sz w:val="32"/>
          <w:szCs w:val="32"/>
          <w:lang w:val="en-US" w:eastAsia="zh-CN"/>
        </w:rPr>
        <w:t>7.41</w:t>
      </w:r>
      <w:r>
        <w:rPr>
          <w:rFonts w:hint="eastAsia" w:ascii="仿宋" w:hAnsi="仿宋" w:eastAsia="仿宋" w:cs="仿宋"/>
          <w:sz w:val="32"/>
          <w:szCs w:val="32"/>
        </w:rPr>
        <w:t>%，主要是</w:t>
      </w:r>
      <w:r>
        <w:rPr>
          <w:rFonts w:hint="eastAsia" w:ascii="仿宋" w:hAnsi="仿宋" w:eastAsia="仿宋" w:cs="仿宋"/>
          <w:sz w:val="32"/>
          <w:szCs w:val="32"/>
          <w:lang w:val="en-US" w:eastAsia="zh-CN"/>
        </w:rPr>
        <w:t>根据政策，压减“三公”经费</w:t>
      </w:r>
      <w:r>
        <w:rPr>
          <w:rFonts w:hint="eastAsia" w:ascii="仿宋" w:hAnsi="仿宋" w:eastAsia="仿宋" w:cs="仿宋"/>
          <w:sz w:val="32"/>
          <w:szCs w:val="32"/>
        </w:rPr>
        <w:t>；较</w:t>
      </w:r>
      <w:r>
        <w:rPr>
          <w:rFonts w:hint="eastAsia" w:ascii="仿宋" w:hAnsi="仿宋" w:eastAsia="仿宋" w:cs="仿宋"/>
          <w:sz w:val="32"/>
          <w:szCs w:val="32"/>
          <w:lang w:val="en-US" w:eastAsia="zh-CN"/>
        </w:rPr>
        <w:t>上年</w:t>
      </w:r>
      <w:r>
        <w:rPr>
          <w:rFonts w:hint="eastAsia" w:ascii="仿宋" w:hAnsi="仿宋" w:eastAsia="仿宋" w:cs="仿宋"/>
          <w:sz w:val="32"/>
          <w:szCs w:val="32"/>
        </w:rPr>
        <w:t>度减少</w:t>
      </w:r>
      <w:r>
        <w:rPr>
          <w:rFonts w:hint="eastAsia" w:ascii="仿宋" w:hAnsi="仿宋" w:eastAsia="仿宋" w:cs="仿宋"/>
          <w:sz w:val="32"/>
          <w:szCs w:val="32"/>
          <w:lang w:val="en-US" w:eastAsia="zh-CN"/>
        </w:rPr>
        <w:t>7.51</w:t>
      </w:r>
      <w:r>
        <w:rPr>
          <w:rFonts w:hint="eastAsia" w:ascii="仿宋" w:hAnsi="仿宋" w:eastAsia="仿宋" w:cs="仿宋"/>
          <w:sz w:val="32"/>
          <w:szCs w:val="32"/>
        </w:rPr>
        <w:t>万元，降低</w:t>
      </w:r>
      <w:r>
        <w:rPr>
          <w:rFonts w:hint="eastAsia" w:ascii="仿宋" w:hAnsi="仿宋" w:eastAsia="仿宋" w:cs="仿宋"/>
          <w:sz w:val="32"/>
          <w:szCs w:val="32"/>
          <w:lang w:val="en-US" w:eastAsia="zh-CN"/>
        </w:rPr>
        <w:t>13.91</w:t>
      </w:r>
      <w:r>
        <w:rPr>
          <w:rFonts w:hint="eastAsia" w:ascii="仿宋" w:hAnsi="仿宋" w:eastAsia="仿宋" w:cs="仿宋"/>
          <w:sz w:val="32"/>
          <w:szCs w:val="32"/>
        </w:rPr>
        <w:t>%，主要是</w:t>
      </w:r>
      <w:r>
        <w:rPr>
          <w:rFonts w:hint="eastAsia" w:ascii="仿宋" w:hAnsi="仿宋" w:eastAsia="仿宋" w:cs="仿宋"/>
          <w:sz w:val="32"/>
          <w:szCs w:val="32"/>
          <w:lang w:val="en-US" w:eastAsia="zh-CN"/>
        </w:rPr>
        <w:t>压减“三公”经费，减少不必要支出</w:t>
      </w:r>
      <w:r>
        <w:rPr>
          <w:rFonts w:hint="eastAsia" w:ascii="仿宋" w:hAnsi="仿宋" w:eastAsia="仿宋" w:cs="仿宋"/>
          <w:sz w:val="32"/>
          <w:szCs w:val="32"/>
        </w:rPr>
        <w:t>。</w:t>
      </w:r>
    </w:p>
    <w:p>
      <w:pPr>
        <w:adjustRightInd w:val="0"/>
        <w:snapToGrid w:val="0"/>
        <w:spacing w:line="600" w:lineRule="exact"/>
        <w:ind w:firstLine="643" w:firstLineChars="200"/>
        <w:rPr>
          <w:rFonts w:ascii="仿宋_GB2312" w:hAnsi="Times New Roman" w:eastAsia="仿宋_GB2312" w:cs="Mongolian Baiti"/>
          <w:b/>
          <w:bCs/>
          <w:color w:val="000000" w:themeColor="text1"/>
          <w:sz w:val="32"/>
          <w:szCs w:val="32"/>
          <w:highlight w:val="none"/>
          <w:shd w:val="clear" w:color="auto" w:fill="auto"/>
          <w14:textFill>
            <w14:solidFill>
              <w14:schemeClr w14:val="tx1"/>
            </w14:solidFill>
          </w14:textFill>
        </w:rPr>
      </w:pPr>
      <w:r>
        <w:rPr>
          <w:rFonts w:hint="eastAsia" w:ascii="仿宋_GB2312" w:hAnsi="Times New Roman" w:eastAsia="仿宋_GB2312" w:cs="Mongolian Baiti"/>
          <w:b/>
          <w:bCs/>
          <w:color w:val="000000" w:themeColor="text1"/>
          <w:sz w:val="32"/>
          <w:szCs w:val="32"/>
          <w:highlight w:val="none"/>
          <w:shd w:val="clear" w:color="auto" w:fill="auto"/>
          <w14:textFill>
            <w14:solidFill>
              <w14:schemeClr w14:val="tx1"/>
            </w14:solidFill>
          </w14:textFill>
        </w:rPr>
        <w:t>其中：</w:t>
      </w:r>
    </w:p>
    <w:p>
      <w:pPr>
        <w:adjustRightInd w:val="0"/>
        <w:snapToGrid w:val="0"/>
        <w:spacing w:line="600" w:lineRule="exact"/>
        <w:ind w:firstLine="643" w:firstLineChars="200"/>
        <w:rPr>
          <w:rFonts w:hint="eastAsia" w:ascii="仿宋" w:hAnsi="仿宋" w:eastAsia="仿宋" w:cs="仿宋"/>
          <w:sz w:val="32"/>
          <w:szCs w:val="32"/>
          <w:lang w:val="en-US" w:eastAsia="zh-CN"/>
        </w:rPr>
      </w:pPr>
      <w:r>
        <w:rPr>
          <w:rFonts w:hint="eastAsia" w:ascii="楷体_GB2312" w:hAnsi="Times New Roman" w:eastAsia="楷体_GB2312" w:cs="Mongolian Baiti"/>
          <w:b/>
          <w:bCs/>
          <w:color w:val="000000" w:themeColor="text1"/>
          <w:sz w:val="32"/>
          <w:szCs w:val="32"/>
          <w:highlight w:val="none"/>
          <w:shd w:val="clear" w:color="auto" w:fill="auto"/>
          <w14:textFill>
            <w14:solidFill>
              <w14:schemeClr w14:val="tx1"/>
            </w14:solidFill>
          </w14:textFill>
        </w:rPr>
        <w:t>公务用车购置费支出：</w:t>
      </w:r>
      <w:r>
        <w:rPr>
          <w:rFonts w:hint="eastAsia" w:ascii="仿宋" w:hAnsi="仿宋" w:eastAsia="仿宋" w:cs="仿宋"/>
          <w:sz w:val="32"/>
          <w:szCs w:val="32"/>
          <w:lang w:val="en-US" w:eastAsia="zh-CN"/>
        </w:rPr>
        <w:t>本部门2020年度公务用车购置量0辆，未发生“公务用车购置”经费。公务用车购置费支出与预算持平；与2019年度决算支出持平。</w:t>
      </w:r>
    </w:p>
    <w:p>
      <w:pPr>
        <w:adjustRightInd w:val="0"/>
        <w:snapToGrid w:val="0"/>
        <w:spacing w:line="600" w:lineRule="exact"/>
        <w:ind w:firstLine="643" w:firstLineChars="200"/>
        <w:rPr>
          <w:rFonts w:hint="eastAsia" w:ascii="仿宋" w:hAnsi="仿宋" w:eastAsia="仿宋" w:cs="仿宋"/>
          <w:sz w:val="32"/>
          <w:szCs w:val="32"/>
          <w:lang w:val="en-US" w:eastAsia="zh-CN"/>
        </w:rPr>
      </w:pPr>
      <w:r>
        <w:rPr>
          <w:rFonts w:hint="eastAsia" w:ascii="楷体_GB2312" w:hAnsi="Times New Roman" w:eastAsia="楷体_GB2312" w:cs="Mongolian Baiti"/>
          <w:b/>
          <w:bCs/>
          <w:color w:val="000000" w:themeColor="text1"/>
          <w:sz w:val="32"/>
          <w:szCs w:val="32"/>
          <w:highlight w:val="none"/>
          <w:shd w:val="clear" w:color="auto" w:fill="auto"/>
          <w14:textFill>
            <w14:solidFill>
              <w14:schemeClr w14:val="tx1"/>
            </w14:solidFill>
          </w14:textFill>
        </w:rPr>
        <w:t>公务用车运行维护费支出：</w:t>
      </w:r>
      <w:r>
        <w:rPr>
          <w:rFonts w:hint="eastAsia" w:ascii="仿宋" w:hAnsi="仿宋" w:eastAsia="仿宋" w:cs="仿宋"/>
          <w:sz w:val="32"/>
          <w:szCs w:val="32"/>
          <w:lang w:val="en-US" w:eastAsia="zh-CN"/>
        </w:rPr>
        <w:t>本部门2020年度单位公务用车保有量20辆,发生运行维护费支出46.48万元。公车运行维护费支出较预算减少3.72万元，降低7.41%,主要是根据政策，压减“三公”经费；较上年度减少7.51万元，降低13.91%，主要是压减“三公”经费，减少不必要支出。</w:t>
      </w:r>
    </w:p>
    <w:p>
      <w:pPr>
        <w:adjustRightInd w:val="0"/>
        <w:snapToGrid w:val="0"/>
        <w:spacing w:line="600" w:lineRule="exact"/>
        <w:ind w:firstLine="643" w:firstLineChars="200"/>
        <w:rPr>
          <w:rFonts w:hint="eastAsia" w:ascii="仿宋_GB2312" w:hAnsi="Times New Roman" w:eastAsia="仿宋_GB2312" w:cs="Wingdings"/>
          <w:color w:val="000000" w:themeColor="text1"/>
          <w:sz w:val="32"/>
          <w:szCs w:val="32"/>
          <w:highlight w:val="none"/>
          <w:shd w:val="clear" w:color="auto" w:fill="auto"/>
          <w:lang w:val="en-US" w:eastAsia="zh-CN"/>
          <w14:textFill>
            <w14:solidFill>
              <w14:schemeClr w14:val="tx1"/>
            </w14:solidFill>
          </w14:textFill>
        </w:rPr>
      </w:pPr>
      <w:r>
        <w:rPr>
          <w:rFonts w:hint="eastAsia" w:ascii="楷体_GB2312" w:hAnsi="Times New Roman" w:eastAsia="楷体_GB2312" w:cs="Mongolian Baiti"/>
          <w:b/>
          <w:bCs/>
          <w:color w:val="000000" w:themeColor="text1"/>
          <w:sz w:val="32"/>
          <w:szCs w:val="32"/>
          <w:highlight w:val="none"/>
          <w:shd w:val="clear" w:color="auto" w:fill="auto"/>
          <w14:textFill>
            <w14:solidFill>
              <w14:schemeClr w14:val="tx1"/>
            </w14:solidFill>
          </w14:textFill>
        </w:rPr>
        <w:t>3.公务接待费。</w:t>
      </w:r>
      <w:r>
        <w:rPr>
          <w:rFonts w:hint="eastAsia" w:ascii="仿宋" w:hAnsi="仿宋" w:eastAsia="仿宋" w:cs="仿宋"/>
          <w:sz w:val="32"/>
          <w:szCs w:val="32"/>
          <w:lang w:val="en-US" w:eastAsia="zh-CN"/>
        </w:rPr>
        <w:t>本部门2020年未发生公务接待费支出。公务接待费支出与预算持平；与2019年度决算支出持平。</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根据预算绩效管理要求，本部门组织对2020年度项目支出全面开展绩效自评，一般公共预算项目28个，共涉及资金1610.49万元，占一般公共预算项目支出总额的100%。</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组织对“食品、农产品抽检经费项目开展了部门重点评价，涉及一般公共预算支出277万元，通过内部评审机构开展绩效评价。从评价情况来看，2020年石家庄市藁城区食品、农产品抽检经费项目在立项、过程、产出、效果等各方面均取得了比较满意的结果，评价等级为优秀。</w:t>
      </w:r>
    </w:p>
    <w:p>
      <w:pPr>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藁城区食品、农产品抽检经费项目绩效自评综述：根据年初设定的绩效目标，石家庄市藁城区食品、农产品抽检经费项目绩效自评得分为100分（绩效自评表附后）。全年预算数为277万元，执行数为277万元，完成预算的100%。项目绩效目标完成情况：一是对食品生产、流通、餐饮消费、农产品各个环节进行抽检，及时发现和排除食品安全隐患，确保我区食品安全，保证人民群众饮食安全，使我区不出现重大食品安全事故。发现的主要问题及原因：  由于经费有限，不能做到食品、农产品检测的全覆盖， 容易出现食品安全隐患。下一步改进措施：希望财政加大对食品、农产品抽检资金的支持力度。</w:t>
      </w:r>
    </w:p>
    <w:p>
      <w:pPr>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附：石家庄市藁城区食品、农产品抽检经费项目自评表</w:t>
      </w:r>
    </w:p>
    <w:p>
      <w:pPr>
        <w:numPr>
          <w:ilvl w:val="0"/>
          <w:numId w:val="0"/>
        </w:numPr>
        <w:adjustRightInd w:val="0"/>
        <w:snapToGrid w:val="0"/>
        <w:spacing w:line="600" w:lineRule="exact"/>
        <w:rPr>
          <w:rFonts w:hint="default" w:ascii="仿宋_GB2312" w:hAnsi="仿宋_GB2312" w:eastAsia="仿宋_GB2312" w:cs="仿宋_GB2312"/>
          <w:sz w:val="32"/>
          <w:szCs w:val="32"/>
          <w:lang w:val="en-US" w:eastAsia="zh-CN"/>
        </w:rPr>
      </w:pPr>
    </w:p>
    <w:tbl>
      <w:tblPr>
        <w:tblStyle w:val="6"/>
        <w:tblW w:w="8874" w:type="dxa"/>
        <w:tblInd w:w="0" w:type="dxa"/>
        <w:shd w:val="clear" w:color="auto" w:fill="auto"/>
        <w:tblLayout w:type="fixed"/>
        <w:tblCellMar>
          <w:top w:w="0" w:type="dxa"/>
          <w:left w:w="0" w:type="dxa"/>
          <w:bottom w:w="0" w:type="dxa"/>
          <w:right w:w="0" w:type="dxa"/>
        </w:tblCellMar>
      </w:tblPr>
      <w:tblGrid>
        <w:gridCol w:w="903"/>
        <w:gridCol w:w="2280"/>
        <w:gridCol w:w="1049"/>
        <w:gridCol w:w="1207"/>
        <w:gridCol w:w="300"/>
        <w:gridCol w:w="600"/>
        <w:gridCol w:w="454"/>
        <w:gridCol w:w="334"/>
        <w:gridCol w:w="1024"/>
        <w:gridCol w:w="723"/>
      </w:tblGrid>
      <w:tr>
        <w:tblPrEx>
          <w:shd w:val="clear" w:color="auto" w:fill="auto"/>
          <w:tblLayout w:type="fixed"/>
          <w:tblCellMar>
            <w:top w:w="0" w:type="dxa"/>
            <w:left w:w="0" w:type="dxa"/>
            <w:bottom w:w="0" w:type="dxa"/>
            <w:right w:w="0" w:type="dxa"/>
          </w:tblCellMar>
        </w:tblPrEx>
        <w:trPr>
          <w:trHeight w:val="582" w:hRule="atLeast"/>
        </w:trPr>
        <w:tc>
          <w:tcPr>
            <w:tcW w:w="90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248"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区级部门预算项目绩效自评表</w:t>
            </w:r>
          </w:p>
        </w:tc>
        <w:tc>
          <w:tcPr>
            <w:tcW w:w="72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r>
      <w:tr>
        <w:tblPrEx>
          <w:shd w:val="clear" w:color="auto" w:fill="auto"/>
          <w:tblLayout w:type="fixed"/>
          <w:tblCellMar>
            <w:top w:w="0" w:type="dxa"/>
            <w:left w:w="0" w:type="dxa"/>
            <w:bottom w:w="0" w:type="dxa"/>
            <w:right w:w="0" w:type="dxa"/>
          </w:tblCellMar>
        </w:tblPrEx>
        <w:trPr>
          <w:trHeight w:val="400" w:hRule="atLeast"/>
        </w:trPr>
        <w:tc>
          <w:tcPr>
            <w:tcW w:w="90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4"/>
                <w:szCs w:val="24"/>
                <w:u w:val="none"/>
              </w:rPr>
            </w:pPr>
          </w:p>
        </w:tc>
        <w:tc>
          <w:tcPr>
            <w:tcW w:w="7971"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（2020年度）                            金额单位：万元</w:t>
            </w:r>
          </w:p>
        </w:tc>
      </w:tr>
      <w:tr>
        <w:tblPrEx>
          <w:tblLayout w:type="fixed"/>
          <w:tblCellMar>
            <w:top w:w="0" w:type="dxa"/>
            <w:left w:w="0" w:type="dxa"/>
            <w:bottom w:w="0" w:type="dxa"/>
            <w:right w:w="0" w:type="dxa"/>
          </w:tblCellMar>
        </w:tblPrEx>
        <w:trPr>
          <w:trHeight w:val="480" w:hRule="atLeast"/>
        </w:trPr>
        <w:tc>
          <w:tcPr>
            <w:tcW w:w="90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4536"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c>
          <w:tcPr>
            <w:tcW w:w="30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0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45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33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4"/>
                <w:szCs w:val="24"/>
                <w:u w:val="none"/>
              </w:rPr>
            </w:pPr>
          </w:p>
        </w:tc>
        <w:tc>
          <w:tcPr>
            <w:tcW w:w="1747" w:type="dxa"/>
            <w:gridSpan w:val="2"/>
            <w:tcBorders>
              <w:top w:val="nil"/>
              <w:left w:val="nil"/>
              <w:bottom w:val="nil"/>
              <w:right w:val="nil"/>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540" w:hRule="atLeast"/>
        </w:trPr>
        <w:tc>
          <w:tcPr>
            <w:tcW w:w="9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33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食品、农产品抽检经费</w:t>
            </w:r>
          </w:p>
        </w:tc>
        <w:tc>
          <w:tcPr>
            <w:tcW w:w="10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20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石家庄市藁城区市场监督管理局</w:t>
            </w:r>
          </w:p>
        </w:tc>
      </w:tr>
      <w:tr>
        <w:tblPrEx>
          <w:shd w:val="clear" w:color="auto" w:fill="auto"/>
          <w:tblLayout w:type="fixed"/>
          <w:tblCellMar>
            <w:top w:w="0" w:type="dxa"/>
            <w:left w:w="0" w:type="dxa"/>
            <w:bottom w:w="0" w:type="dxa"/>
            <w:right w:w="0" w:type="dxa"/>
          </w:tblCellMar>
        </w:tblPrEx>
        <w:trPr>
          <w:trHeight w:val="540" w:hRule="atLeast"/>
        </w:trPr>
        <w:tc>
          <w:tcPr>
            <w:tcW w:w="9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二、预算执行情况</w:t>
            </w:r>
          </w:p>
        </w:tc>
        <w:tc>
          <w:tcPr>
            <w:tcW w:w="33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7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shd w:val="clear" w:color="auto" w:fill="auto"/>
          <w:tblLayout w:type="fixed"/>
          <w:tblCellMar>
            <w:top w:w="0" w:type="dxa"/>
            <w:left w:w="0" w:type="dxa"/>
            <w:bottom w:w="0" w:type="dxa"/>
            <w:right w:w="0" w:type="dxa"/>
          </w:tblCellMar>
        </w:tblPrEx>
        <w:trPr>
          <w:trHeight w:val="54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2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05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3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74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Layout w:type="fixed"/>
          <w:tblCellMar>
            <w:top w:w="0" w:type="dxa"/>
            <w:left w:w="0" w:type="dxa"/>
            <w:bottom w:w="0" w:type="dxa"/>
            <w:right w:w="0" w:type="dxa"/>
          </w:tblCellMar>
        </w:tblPrEx>
        <w:trPr>
          <w:trHeight w:val="675"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0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其中：财政资金</w:t>
            </w:r>
          </w:p>
        </w:tc>
        <w:tc>
          <w:tcPr>
            <w:tcW w:w="3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277</w:t>
            </w:r>
          </w:p>
        </w:tc>
        <w:tc>
          <w:tcPr>
            <w:tcW w:w="17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8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3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w:t>
            </w:r>
          </w:p>
        </w:tc>
        <w:tc>
          <w:tcPr>
            <w:tcW w:w="3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74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660" w:hRule="atLeast"/>
        </w:trPr>
        <w:tc>
          <w:tcPr>
            <w:tcW w:w="9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三、目标完成情况</w:t>
            </w:r>
          </w:p>
        </w:tc>
        <w:tc>
          <w:tcPr>
            <w:tcW w:w="483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31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r>
      <w:tr>
        <w:tblPrEx>
          <w:shd w:val="clear" w:color="auto" w:fill="auto"/>
          <w:tblLayout w:type="fixed"/>
          <w:tblCellMar>
            <w:top w:w="0" w:type="dxa"/>
            <w:left w:w="0" w:type="dxa"/>
            <w:bottom w:w="0" w:type="dxa"/>
            <w:right w:w="0" w:type="dxa"/>
          </w:tblCellMar>
        </w:tblPrEx>
        <w:trPr>
          <w:trHeight w:val="72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483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对食品生产、流通、餐饮消费、农产品各个环节进行抽检，及时发现和排除食品安全隐患，确保我区食品安全，保证人民群众饮食安全，使我区不出现重大食品安全事故。</w:t>
            </w:r>
          </w:p>
        </w:tc>
        <w:tc>
          <w:tcPr>
            <w:tcW w:w="313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按照年度制定目标，达到预期效果</w:t>
            </w:r>
          </w:p>
        </w:tc>
      </w:tr>
      <w:tr>
        <w:tblPrEx>
          <w:tblLayout w:type="fixed"/>
          <w:tblCellMar>
            <w:top w:w="0" w:type="dxa"/>
            <w:left w:w="0" w:type="dxa"/>
            <w:bottom w:w="0" w:type="dxa"/>
            <w:right w:w="0" w:type="dxa"/>
          </w:tblCellMar>
        </w:tblPrEx>
        <w:trPr>
          <w:trHeight w:val="580" w:hRule="atLeast"/>
        </w:trPr>
        <w:tc>
          <w:tcPr>
            <w:tcW w:w="9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2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7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shd w:val="clear" w:color="auto" w:fill="auto"/>
          <w:tblLayout w:type="fixed"/>
          <w:tblCellMar>
            <w:top w:w="0" w:type="dxa"/>
            <w:left w:w="0" w:type="dxa"/>
            <w:bottom w:w="0" w:type="dxa"/>
            <w:right w:w="0" w:type="dxa"/>
          </w:tblCellMar>
        </w:tblPrEx>
        <w:trPr>
          <w:trHeight w:val="75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产出指标（40分）</w:t>
            </w:r>
          </w:p>
        </w:tc>
        <w:tc>
          <w:tcPr>
            <w:tcW w:w="10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检验产品批次(批次)</w:t>
            </w: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≥2000批次</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2791批次</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shd w:val="clear" w:color="auto" w:fill="auto"/>
          <w:tblLayout w:type="fixed"/>
          <w:tblCellMar>
            <w:top w:w="0" w:type="dxa"/>
            <w:left w:w="0" w:type="dxa"/>
            <w:bottom w:w="0" w:type="dxa"/>
            <w:right w:w="0" w:type="dxa"/>
          </w:tblCellMar>
        </w:tblPrEx>
        <w:trPr>
          <w:trHeight w:val="75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104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检验数据准确度(％)</w:t>
            </w: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Layout w:type="fixed"/>
          <w:tblCellMar>
            <w:top w:w="0" w:type="dxa"/>
            <w:left w:w="0" w:type="dxa"/>
            <w:bottom w:w="0" w:type="dxa"/>
            <w:right w:w="0" w:type="dxa"/>
          </w:tblCellMar>
        </w:tblPrEx>
        <w:trPr>
          <w:trHeight w:val="75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75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textDirection w:val="tbRlV"/>
            <w:vAlign w:val="center"/>
          </w:tcPr>
          <w:p>
            <w:pPr>
              <w:jc w:val="center"/>
              <w:rPr>
                <w:rFonts w:hint="eastAsia" w:ascii="宋体" w:hAnsi="宋体" w:eastAsia="宋体" w:cs="宋体"/>
                <w:i w:val="0"/>
                <w:color w:val="000000"/>
                <w:sz w:val="18"/>
                <w:szCs w:val="18"/>
                <w:u w:val="none"/>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54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shd w:val="clear" w:color="auto" w:fill="auto"/>
          <w:tblLayout w:type="fixed"/>
          <w:tblCellMar>
            <w:top w:w="0" w:type="dxa"/>
            <w:left w:w="0" w:type="dxa"/>
            <w:bottom w:w="0" w:type="dxa"/>
            <w:right w:w="0" w:type="dxa"/>
          </w:tblCellMar>
        </w:tblPrEx>
        <w:trPr>
          <w:trHeight w:val="42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效益指标（10分）</w:t>
            </w: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shd w:val="clear" w:color="auto" w:fill="auto"/>
          <w:tblLayout w:type="fixed"/>
          <w:tblCellMar>
            <w:top w:w="0" w:type="dxa"/>
            <w:left w:w="0" w:type="dxa"/>
            <w:bottom w:w="0" w:type="dxa"/>
            <w:right w:w="0" w:type="dxa"/>
          </w:tblCellMar>
        </w:tblPrEx>
        <w:trPr>
          <w:trHeight w:val="42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抽检食品合格率(％)</w:t>
            </w: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tblPrEx>
          <w:tblLayout w:type="fixed"/>
          <w:tblCellMar>
            <w:top w:w="0" w:type="dxa"/>
            <w:left w:w="0" w:type="dxa"/>
            <w:bottom w:w="0" w:type="dxa"/>
            <w:right w:w="0" w:type="dxa"/>
          </w:tblCellMar>
        </w:tblPrEx>
        <w:trPr>
          <w:trHeight w:val="42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r>
      <w:tr>
        <w:tblPrEx>
          <w:tblLayout w:type="fixed"/>
          <w:tblCellMar>
            <w:top w:w="0" w:type="dxa"/>
            <w:left w:w="0" w:type="dxa"/>
            <w:bottom w:w="0" w:type="dxa"/>
            <w:right w:w="0" w:type="dxa"/>
          </w:tblCellMar>
        </w:tblPrEx>
        <w:trPr>
          <w:trHeight w:val="420"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满意度指标（10分）</w:t>
            </w:r>
          </w:p>
        </w:tc>
        <w:tc>
          <w:tcPr>
            <w:tcW w:w="10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15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是否出现食品安全事故</w:t>
            </w:r>
          </w:p>
        </w:tc>
        <w:tc>
          <w:tcPr>
            <w:tcW w:w="13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0</w:t>
            </w:r>
          </w:p>
        </w:tc>
        <w:tc>
          <w:tcPr>
            <w:tcW w:w="7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shd w:val="clear" w:color="auto" w:fill="auto"/>
          <w:tblLayout w:type="fixed"/>
          <w:tblCellMar>
            <w:top w:w="0" w:type="dxa"/>
            <w:left w:w="0" w:type="dxa"/>
            <w:bottom w:w="0" w:type="dxa"/>
            <w:right w:w="0" w:type="dxa"/>
          </w:tblCellMar>
        </w:tblPrEx>
        <w:trPr>
          <w:trHeight w:val="499" w:hRule="atLeast"/>
        </w:trPr>
        <w:tc>
          <w:tcPr>
            <w:tcW w:w="9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5691"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100分</w:t>
            </w:r>
          </w:p>
        </w:tc>
      </w:tr>
      <w:tr>
        <w:tblPrEx>
          <w:shd w:val="clear" w:color="auto" w:fill="auto"/>
          <w:tblLayout w:type="fixed"/>
          <w:tblCellMar>
            <w:top w:w="0" w:type="dxa"/>
            <w:left w:w="0" w:type="dxa"/>
            <w:bottom w:w="0" w:type="dxa"/>
            <w:right w:w="0" w:type="dxa"/>
          </w:tblCellMar>
        </w:tblPrEx>
        <w:trPr>
          <w:trHeight w:val="1580" w:hRule="atLeast"/>
        </w:trPr>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971"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由于经费有限，不能做到食品、农产品检测的全覆盖， 容易出现食品安全隐患。下一步整改措施：希望财政加大对食品、农产品检测资金的支持力度。</w:t>
            </w:r>
          </w:p>
        </w:tc>
      </w:tr>
      <w:tr>
        <w:tblPrEx>
          <w:tblLayout w:type="fixed"/>
          <w:tblCellMar>
            <w:top w:w="0" w:type="dxa"/>
            <w:left w:w="0" w:type="dxa"/>
            <w:bottom w:w="0" w:type="dxa"/>
            <w:right w:w="0" w:type="dxa"/>
          </w:tblCellMar>
        </w:tblPrEx>
        <w:trPr>
          <w:trHeight w:val="499" w:hRule="atLeast"/>
        </w:trPr>
        <w:tc>
          <w:tcPr>
            <w:tcW w:w="90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22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填报人：</w:t>
            </w:r>
          </w:p>
        </w:tc>
        <w:tc>
          <w:tcPr>
            <w:tcW w:w="2556"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秦会敏</w:t>
            </w:r>
          </w:p>
        </w:tc>
        <w:tc>
          <w:tcPr>
            <w:tcW w:w="1388"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联系电话：</w:t>
            </w:r>
          </w:p>
        </w:tc>
        <w:tc>
          <w:tcPr>
            <w:tcW w:w="102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68018136</w:t>
            </w:r>
          </w:p>
        </w:tc>
        <w:tc>
          <w:tcPr>
            <w:tcW w:w="72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8"/>
                <w:szCs w:val="18"/>
                <w:u w:val="none"/>
              </w:rPr>
            </w:pPr>
          </w:p>
        </w:tc>
      </w:tr>
    </w:tbl>
    <w:p>
      <w:pPr>
        <w:numPr>
          <w:ilvl w:val="0"/>
          <w:numId w:val="1"/>
        </w:numPr>
        <w:adjustRightInd w:val="0"/>
        <w:snapToGrid w:val="0"/>
        <w:spacing w:line="600" w:lineRule="exact"/>
        <w:ind w:firstLine="321" w:firstLineChars="1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财政评价项目绩效评价结果</w:t>
      </w:r>
    </w:p>
    <w:p>
      <w:pPr>
        <w:numPr>
          <w:ilvl w:val="0"/>
          <w:numId w:val="0"/>
        </w:numPr>
        <w:adjustRightInd w:val="0"/>
        <w:snapToGrid w:val="0"/>
        <w:spacing w:line="600" w:lineRule="exact"/>
        <w:rPr>
          <w:rFonts w:hint="default" w:ascii="仿宋" w:hAnsi="仿宋" w:eastAsia="仿宋" w:cs="仿宋"/>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sz w:val="32"/>
          <w:szCs w:val="32"/>
          <w:lang w:val="en-US" w:eastAsia="zh-CN"/>
        </w:rPr>
        <w:t>无</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hint="eastAsia" w:asciiTheme="minorEastAsia" w:hAnsiTheme="minorEastAsia" w:eastAsiaTheme="minorEastAsia" w:cstheme="minorEastAsia"/>
          <w:sz w:val="32"/>
          <w:szCs w:val="32"/>
          <w:lang w:val="en-US" w:eastAsia="zh-CN"/>
        </w:rPr>
      </w:pPr>
      <w:r>
        <w:rPr>
          <w:rFonts w:hint="eastAsia" w:ascii="仿宋" w:hAnsi="仿宋" w:eastAsia="仿宋" w:cs="仿宋"/>
          <w:sz w:val="32"/>
          <w:szCs w:val="32"/>
          <w:lang w:val="en-US" w:eastAsia="zh-CN"/>
        </w:rPr>
        <w:t>本部门2020年度机关运行经费支出290.72万元，比2019年度减少11.92万元，降低3.94%。主要原因是退休人员增加。</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本部门2020年度政府采购支出总额302.16万元，从采购类型来看，政府采购货物支出44.16万元、政府采购服务支出 258万元。授予中小企业合同金165.1万元，占政府采购支出总额的64%，其中授予小微企业合同金额125.68万元，占政府采购支出总额的 48.71%。</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截至2020年12月31日，本部门共有车辆20辆，比上年增加持平。其中，应急保障用车1辆，执法执勤用车18辆，特种专业技术用车1辆。</w:t>
      </w:r>
    </w:p>
    <w:p>
      <w:pPr>
        <w:spacing w:line="60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单位价值50万元以上通用设备0台，比上年持平，单位价值100万元以上专用设备0台，与上年持平。</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 本部门2020年度未发生政府性基金预算、国有资金经营预算收支及结转结余情况，故</w:t>
      </w:r>
      <w:r>
        <w:rPr>
          <w:rFonts w:hint="eastAsia" w:ascii="仿宋" w:hAnsi="仿宋" w:eastAsia="仿宋" w:cs="仿宋"/>
          <w:sz w:val="32"/>
          <w:szCs w:val="32"/>
          <w:lang w:val="en-US" w:eastAsia="zh-CN"/>
        </w:rPr>
        <w:t>政府性基金预算财政拨款收入支出决算表</w:t>
      </w:r>
      <w:r>
        <w:rPr>
          <w:rFonts w:hint="eastAsia" w:ascii="仿宋" w:hAnsi="仿宋" w:eastAsia="仿宋" w:cs="仿宋"/>
          <w:sz w:val="32"/>
          <w:szCs w:val="32"/>
        </w:rPr>
        <w:t>、国有资本经营预算财政拨款支出</w:t>
      </w:r>
      <w:r>
        <w:rPr>
          <w:rFonts w:hint="eastAsia" w:ascii="仿宋" w:hAnsi="仿宋" w:eastAsia="仿宋" w:cs="仿宋"/>
          <w:sz w:val="32"/>
          <w:szCs w:val="32"/>
          <w:lang w:val="en-US" w:eastAsia="zh-CN"/>
        </w:rPr>
        <w:t>决算</w:t>
      </w:r>
      <w:r>
        <w:rPr>
          <w:rFonts w:hint="eastAsia" w:ascii="仿宋" w:hAnsi="仿宋" w:eastAsia="仿宋" w:cs="仿宋"/>
          <w:sz w:val="32"/>
          <w:szCs w:val="32"/>
        </w:rPr>
        <w:t>表以空表列示。</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 由于决算公开表格中金额数值应当保留两位小数，公开数据为四舍五入计算结果，个别数据合计项与分项之和存在小数点后差额，特此说明。</w:t>
      </w:r>
    </w:p>
    <w:p>
      <w:pPr>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3360"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8" name="文本框 188"/>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6350" cap="flat" cmpd="sng">
                          <a:solidFill>
                            <a:srgbClr val="7F7F7F"/>
                          </a:solidFill>
                          <a:prstDash val="solid"/>
                          <a:miter/>
                          <a:headEnd type="none" w="med" len="med"/>
                          <a:tailEnd type="none" w="med" len="med"/>
                        </a:ln>
                      </wps:spPr>
                      <wps:txbx>
                        <w:txbxContent>
                          <w:p>
                            <w:pPr>
                              <w:widowControl/>
                              <w:jc w:val="center"/>
                            </w:pPr>
                            <w:r>
                              <w:rPr>
                                <w:rFonts w:hint="eastAsia" w:ascii="黑体" w:hAnsi="黑体" w:eastAsia="黑体" w:cs="黑体"/>
                                <w:color w:val="000000"/>
                                <w:sz w:val="90"/>
                                <w:szCs w:val="90"/>
                              </w:rPr>
                              <w:t>第三部分 相关名词解释</w:t>
                            </w:r>
                          </w:p>
                        </w:txbxContent>
                      </wps:txbx>
                      <wps:bodyPr vert="horz" wrap="square" upright="0"/>
                    </wps:wsp>
                  </a:graphicData>
                </a:graphic>
              </wp:anchor>
            </w:drawing>
          </mc:Choice>
          <mc:Fallback>
            <w:pict>
              <v:rect id="文本框 188" o:spid="_x0000_s1026" o:spt="1" style="position:absolute;left:0pt;margin-left:-81.9pt;margin-top:2.05pt;height:263.1pt;width:613.65pt;z-index:251663360;mso-width-relative:page;mso-height-relative:page;" fillcolor="#7F7F7F" filled="t" stroked="t" coordsize="21600,21600" o:gfxdata="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JwjwK3aAAAACwEAAA8AAAAAAAAAAQAgAAAAIgAAAGRycy9kb3ducmV2LnhtbFBL&#10;AQIUABQAAAAIAIdO4kAKD3VbLQIAAIgEAAAOAAAAAAAAAAEAIAAAACkBAABkcnMvZTJvRG9jLnht&#10;bFBLBQYAAAAABgAGAFkBAADIBQAAAAA=&#10;">
                <v:fill type="pattern" on="t" color2="#FFFFFF" focussize="0,0" r:id="rId11"/>
                <v:stroke weight="0.5pt" color="#7F7F7F" joinstyle="miter"/>
                <v:imagedata o:title=""/>
                <o:lock v:ext="edit" aspectratio="f"/>
                <v:textbox>
                  <w:txbxContent>
                    <w:p>
                      <w:pPr>
                        <w:widowControl/>
                        <w:jc w:val="center"/>
                      </w:pPr>
                      <w:r>
                        <w:rPr>
                          <w:rFonts w:hint="eastAsia" w:ascii="黑体" w:hAnsi="黑体" w:eastAsia="黑体" w:cs="黑体"/>
                          <w:color w:val="000000"/>
                          <w:sz w:val="90"/>
                          <w:szCs w:val="90"/>
                        </w:rPr>
                        <w:t>第三部分 相关名词解释</w:t>
                      </w:r>
                    </w:p>
                  </w:txbxContent>
                </v:textbox>
              </v:rect>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（一）财政拨款收入：</w:t>
      </w:r>
      <w:r>
        <w:rPr>
          <w:rFonts w:hint="eastAsia" w:ascii="仿宋" w:hAnsi="仿宋" w:eastAsia="仿宋" w:cs="仿宋"/>
          <w:sz w:val="32"/>
          <w:szCs w:val="32"/>
        </w:rPr>
        <w:t>本年度从本级财政部门取得的财政拨款，包括一般公共预算财政拨款和政府性基金预算财政拨款。</w:t>
      </w:r>
    </w:p>
    <w:p>
      <w:pPr>
        <w:widowControl/>
        <w:spacing w:line="600" w:lineRule="exact"/>
        <w:ind w:firstLine="643" w:firstLineChars="200"/>
        <w:rPr>
          <w:rFonts w:hint="eastAsia" w:asciiTheme="minorEastAsia" w:hAnsiTheme="minorEastAsia" w:eastAsiaTheme="minorEastAsia" w:cstheme="minorEastAsia"/>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 w:hAnsi="仿宋" w:eastAsia="仿宋" w:cs="仿宋"/>
          <w:sz w:val="32"/>
          <w:szCs w:val="32"/>
        </w:rPr>
        <w:t>指事业单位开展专业业务活动及辅助活动所取得的收入。</w:t>
      </w:r>
    </w:p>
    <w:p>
      <w:pPr>
        <w:widowControl/>
        <w:spacing w:line="600" w:lineRule="exact"/>
        <w:ind w:firstLine="643" w:firstLineChars="200"/>
        <w:rPr>
          <w:rFonts w:hint="eastAsia" w:asciiTheme="minorEastAsia" w:hAnsiTheme="minorEastAsia" w:eastAsiaTheme="minorEastAsia" w:cstheme="minorEastAsia"/>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 w:hAnsi="仿宋" w:eastAsia="仿宋" w:cs="仿宋"/>
          <w:sz w:val="32"/>
          <w:szCs w:val="32"/>
        </w:rPr>
        <w:t>指除上述“财政拨款收入”“事业收入”“经营收入”等以外的收入。</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 w:hAnsi="仿宋" w:eastAsia="仿宋" w:cs="仿宋"/>
          <w:sz w:val="32"/>
          <w:szCs w:val="32"/>
        </w:rPr>
        <w:t>指以前年度尚未完成、结转到本年仍按原规定用途继续使用的资金，或项目已完成等产生的结余资金。</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（五）结余分配：</w:t>
      </w:r>
      <w:r>
        <w:rPr>
          <w:rFonts w:hint="eastAsia" w:ascii="仿宋" w:hAnsi="仿宋" w:eastAsia="仿宋" w:cs="仿宋"/>
          <w:sz w:val="32"/>
          <w:szCs w:val="32"/>
        </w:rPr>
        <w:t>指事业单位按照事业单位会计制度的规定从非财政补助结余中分配的事业基金和职工福利基金等。</w:t>
      </w:r>
    </w:p>
    <w:p>
      <w:pPr>
        <w:widowControl/>
        <w:spacing w:line="600" w:lineRule="exact"/>
        <w:ind w:firstLine="643" w:firstLineChars="200"/>
        <w:rPr>
          <w:rFonts w:hint="eastAsia" w:asciiTheme="minorEastAsia" w:hAnsiTheme="minorEastAsia" w:eastAsiaTheme="minorEastAsia" w:cstheme="minorEastAsia"/>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 w:hAnsi="仿宋" w:eastAsia="仿宋" w:cs="仿宋"/>
          <w:sz w:val="32"/>
          <w:szCs w:val="32"/>
        </w:rPr>
        <w:t>指单位按有关规定结转到下年或以后年度继续使用的资金，或项目已完成等产生的结余资金。</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（七）基本支出：</w:t>
      </w:r>
      <w:r>
        <w:rPr>
          <w:rFonts w:hint="eastAsia" w:ascii="仿宋" w:hAnsi="仿宋" w:eastAsia="仿宋" w:cs="仿宋"/>
          <w:sz w:val="32"/>
          <w:szCs w:val="32"/>
        </w:rPr>
        <w:t>填列单位为保障机构正常运转、完成日常工作任务而发生的各项支出。</w:t>
      </w:r>
    </w:p>
    <w:p>
      <w:pPr>
        <w:widowControl/>
        <w:spacing w:line="600" w:lineRule="exact"/>
        <w:ind w:firstLine="643" w:firstLineChars="200"/>
        <w:rPr>
          <w:rFonts w:hint="eastAsia" w:asciiTheme="minorEastAsia" w:hAnsiTheme="minorEastAsia" w:eastAsiaTheme="minorEastAsia" w:cstheme="minorEastAsia"/>
          <w:color w:val="000000"/>
          <w:kern w:val="0"/>
          <w:sz w:val="32"/>
          <w:szCs w:val="32"/>
          <w:lang w:eastAsia="zh-CN"/>
        </w:rPr>
      </w:pPr>
      <w:r>
        <w:rPr>
          <w:rFonts w:hint="eastAsia" w:ascii="仿宋_GB2312" w:hAnsi="宋体" w:eastAsia="仿宋_GB2312" w:cs="Times New Roman"/>
          <w:b/>
          <w:bCs/>
          <w:color w:val="000000"/>
          <w:kern w:val="0"/>
          <w:sz w:val="32"/>
          <w:szCs w:val="32"/>
        </w:rPr>
        <w:t>（八）项目支出：</w:t>
      </w:r>
      <w:r>
        <w:rPr>
          <w:rFonts w:hint="eastAsia" w:ascii="仿宋" w:hAnsi="仿宋" w:eastAsia="仿宋" w:cs="仿宋"/>
          <w:sz w:val="32"/>
          <w:szCs w:val="32"/>
        </w:rPr>
        <w:t>填列单位为完成特定的行政工作任务或事业发展目标，在基本支出之外发生的各项支出</w:t>
      </w:r>
      <w:r>
        <w:rPr>
          <w:rFonts w:hint="eastAsia" w:ascii="仿宋" w:hAnsi="仿宋" w:eastAsia="仿宋" w:cs="仿宋"/>
          <w:sz w:val="32"/>
          <w:szCs w:val="32"/>
          <w:lang w:eastAsia="zh-CN"/>
        </w:rPr>
        <w:t>。</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（九）基本建设支出：</w:t>
      </w:r>
      <w:r>
        <w:rPr>
          <w:rFonts w:hint="eastAsia" w:ascii="仿宋" w:hAnsi="仿宋" w:eastAsia="仿宋" w:cs="仿宋"/>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 w:hAnsi="仿宋" w:eastAsia="仿宋" w:cs="仿宋"/>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（十一）“三公”经费：</w:t>
      </w:r>
      <w:r>
        <w:rPr>
          <w:rFonts w:hint="eastAsia" w:ascii="仿宋" w:hAnsi="仿宋" w:eastAsia="仿宋" w:cs="仿宋"/>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 w:hAnsi="仿宋" w:eastAsia="仿宋" w:cs="仿宋"/>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 w:hAnsi="仿宋" w:eastAsia="仿宋" w:cs="仿宋"/>
          <w:sz w:val="32"/>
          <w:szCs w:val="32"/>
        </w:rPr>
        <w:t>填列单位公务用车车辆购置支出（含车辆购置税、牌照费）。</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 w:hAnsi="仿宋" w:eastAsia="仿宋" w:cs="仿宋"/>
          <w:sz w:val="32"/>
          <w:szCs w:val="32"/>
        </w:rPr>
        <w:t>填列单位除公务用车外的其他各类交通工具（如船舶、飞机等）购置支出（含车辆购置税、牌照费）。</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 w:hAnsi="仿宋" w:eastAsia="仿宋" w:cs="仿宋"/>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600" w:lineRule="exact"/>
        <w:ind w:firstLine="643" w:firstLineChars="200"/>
        <w:rPr>
          <w:rFonts w:hint="eastAsia" w:ascii="仿宋" w:hAnsi="仿宋" w:eastAsia="仿宋" w:cs="仿宋"/>
          <w:sz w:val="32"/>
          <w:szCs w:val="32"/>
        </w:rPr>
      </w:pPr>
      <w:r>
        <w:rPr>
          <w:rFonts w:hint="eastAsia" w:ascii="仿宋_GB2312" w:hAnsi="宋体" w:eastAsia="仿宋_GB2312" w:cs="Times New Roman"/>
          <w:b/>
          <w:bCs/>
          <w:color w:val="000000"/>
          <w:kern w:val="0"/>
          <w:sz w:val="32"/>
          <w:szCs w:val="32"/>
        </w:rPr>
        <w:t>（十六）经费形式:</w:t>
      </w:r>
      <w:r>
        <w:rPr>
          <w:rFonts w:hint="eastAsia" w:ascii="仿宋" w:hAnsi="仿宋" w:eastAsia="仿宋" w:cs="仿宋"/>
          <w:sz w:val="32"/>
          <w:szCs w:val="32"/>
        </w:rPr>
        <w:t>按照经费来源，可分为财政拨款、财政性资金基本保证、财政性资金定额或定项补助、财政性资金零补助四类。</w:t>
      </w:r>
    </w:p>
    <w:p>
      <w:pPr>
        <w:widowControl/>
        <w:spacing w:line="600" w:lineRule="exact"/>
        <w:ind w:firstLine="640" w:firstLineChars="200"/>
        <w:rPr>
          <w:rFonts w:hint="eastAsia" w:asciiTheme="minorEastAsia" w:hAnsiTheme="minorEastAsia" w:eastAsiaTheme="minorEastAsia" w:cstheme="minorEastAsia"/>
          <w:color w:val="000000"/>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afterLines="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720" w:num="1"/>
          <w:titlePg/>
          <w:docGrid w:type="lines" w:linePitch="312" w:charSpace="0"/>
        </w:sectPr>
      </w:pPr>
    </w:p>
    <w:p/>
    <w:p/>
    <w:p>
      <w:r>
        <w:rPr>
          <w:sz w:val="72"/>
        </w:rPr>
        <mc:AlternateContent>
          <mc:Choice Requires="wps">
            <w:drawing>
              <wp:anchor distT="0" distB="0" distL="114300" distR="114300" simplePos="0" relativeHeight="251667456"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12" name="文本框 1"/>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alpha val="100000"/>
                            </a:srgbClr>
                          </a:fgClr>
                          <a:bgClr>
                            <a:srgbClr val="FFFFFF">
                              <a:alpha val="100000"/>
                            </a:srgbClr>
                          </a:bgClr>
                        </a:pattFill>
                        <a:ln w="12700" cap="flat" cmpd="sng">
                          <a:solidFill>
                            <a:srgbClr val="A5A5A5"/>
                          </a:solidFill>
                          <a:prstDash val="solid"/>
                          <a:miter/>
                          <a:headEnd type="none" w="med" len="med"/>
                          <a:tailEnd type="none" w="med" len="med"/>
                        </a:ln>
                      </wps:spPr>
                      <wps:txb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pPr>
                              <w:widowControl/>
                              <w:jc w:val="center"/>
                            </w:pPr>
                            <w:r>
                              <w:rPr>
                                <w:rFonts w:hint="eastAsia" w:ascii="黑体" w:hAnsi="黑体" w:eastAsia="黑体" w:cs="黑体"/>
                                <w:color w:val="000000"/>
                                <w:sz w:val="90"/>
                                <w:szCs w:val="90"/>
                              </w:rPr>
                              <w:t>2020年度部门决算报表</w:t>
                            </w:r>
                          </w:p>
                          <w:p/>
                        </w:txbxContent>
                      </wps:txbx>
                      <wps:bodyPr vert="horz" wrap="square" upright="0"/>
                    </wps:wsp>
                  </a:graphicData>
                </a:graphic>
              </wp:anchor>
            </w:drawing>
          </mc:Choice>
          <mc:Fallback>
            <w:pict>
              <v:rect id="文本框 1" o:spid="_x0000_s1026" o:spt="1" style="position:absolute;left:0pt;margin-left:-80.9pt;margin-top:90.65pt;height:263.1pt;width:613.65pt;z-index:251667456;mso-width-relative:page;mso-height-relative:page;" fillcolor="#7F7F7F" filled="t" stroked="t" coordsize="21600,21600" o:gfxdata="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x7Uq39oAAAANAQAADwAAAAAAAAABACAAAAAiAAAAZHJzL2Rvd25yZXYueG1s&#10;UEsBAhQAFAAAAAgAh07iQGK2XcMvAgAAiAQAAA4AAAAAAAAAAQAgAAAAKQEAAGRycy9lMm9Eb2Mu&#10;eG1sUEsFBgAAAAAGAAYAWQEAAMoFAAAAAA==&#10;">
                <v:fill type="pattern" on="t" color2="#FFFFFF" focussize="0,0" r:id="rId11"/>
                <v:stroke weight="1pt" color="#A5A5A5" joinstyle="miter"/>
                <v:imagedata o:title=""/>
                <o:lock v:ext="edit"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pPr>
                        <w:widowControl/>
                        <w:jc w:val="center"/>
                      </w:pPr>
                      <w:r>
                        <w:rPr>
                          <w:rFonts w:hint="eastAsia" w:ascii="黑体" w:hAnsi="黑体" w:eastAsia="黑体" w:cs="黑体"/>
                          <w:color w:val="000000"/>
                          <w:sz w:val="90"/>
                          <w:szCs w:val="90"/>
                        </w:rPr>
                        <w:t>2020年度部门决算报表</w:t>
                      </w:r>
                    </w:p>
                    <w:p/>
                  </w:txbxContent>
                </v:textbox>
              </v:rect>
            </w:pict>
          </mc:Fallback>
        </mc:AlternateContent>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spacing w:line="600" w:lineRule="exact"/>
        <w:ind w:firstLine="640" w:firstLineChars="200"/>
        <w:rPr>
          <w:rFonts w:hint="eastAsia" w:ascii="仿宋" w:hAnsi="仿宋" w:eastAsia="仿宋" w:cs="仿宋"/>
          <w:sz w:val="32"/>
          <w:szCs w:val="32"/>
          <w:lang w:val="en-US" w:eastAsia="zh-CN"/>
        </w:rPr>
        <w:sectPr>
          <w:type w:val="continuous"/>
          <w:pgSz w:w="11906" w:h="16838"/>
          <w:pgMar w:top="2098" w:right="1531" w:bottom="1984" w:left="1531" w:header="851" w:footer="992" w:gutter="0"/>
          <w:pgNumType w:fmt="numberInDash"/>
          <w:cols w:space="720" w:num="1"/>
          <w:titlePg/>
          <w:docGrid w:type="lines" w:linePitch="312" w:charSpace="0"/>
        </w:sectPr>
      </w:pPr>
      <w:r>
        <w:rPr>
          <w:rFonts w:hint="eastAsia" w:ascii="仿宋" w:hAnsi="仿宋" w:eastAsia="仿宋" w:cs="仿宋"/>
          <w:sz w:val="32"/>
          <w:szCs w:val="32"/>
          <w:lang w:val="en-US" w:eastAsia="zh-CN"/>
        </w:rPr>
        <w:t>详见附表</w:t>
      </w: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6432"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11" name="矩形 3"/>
                <wp:cNvGraphicFramePr/>
                <a:graphic xmlns:a="http://schemas.openxmlformats.org/drawingml/2006/main">
                  <a:graphicData uri="http://schemas.microsoft.com/office/word/2010/wordprocessingShape">
                    <wps:wsp>
                      <wps:cNvSpPr/>
                      <wps:spPr>
                        <a:xfrm>
                          <a:off x="0" y="0"/>
                          <a:ext cx="7632700" cy="10695940"/>
                        </a:xfrm>
                        <a:prstGeom prst="rect">
                          <a:avLst/>
                        </a:prstGeom>
                        <a:solidFill>
                          <a:srgbClr val="BBD6EE">
                            <a:alpha val="100000"/>
                          </a:srgbClr>
                        </a:solidFill>
                        <a:ln>
                          <a:noFill/>
                        </a:ln>
                      </wps:spPr>
                      <wps:bodyPr vert="horz" wrap="square" upright="0"/>
                    </wps:wsp>
                  </a:graphicData>
                </a:graphic>
              </wp:anchor>
            </w:drawing>
          </mc:Choice>
          <mc:Fallback>
            <w:pict>
              <v:rect id="矩形 3" o:spid="_x0000_s1026" o:spt="1" style="position:absolute;left:0pt;margin-left:-78.2pt;margin-top:-106.6pt;height:842.2pt;width:601pt;z-index:251666432;mso-width-relative:page;mso-height-relative:page;" fillcolor="#BBD6EE" filled="t" stroked="f" coordsize="21600,21600" o:gfxdata="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MHOsA3QAAAA8BAAAPAAAAAAAAAAEAIAAAACIAAABkcnMvZG93bnJl&#10;di54bWxQSwECFAAUAAAACACHTuJABeSXEr8BAABQAwAADgAAAAAAAAABACAAAAAsAQAAZHJzL2Uy&#10;b0RvYy54bWxQSwUGAAAAAAYABgBZAQAAXQUAAAAA&#10;">
                <v:fill on="t" focussize="0,0"/>
                <v:stroke on="f"/>
                <v:imagedata o:title=""/>
                <o:lock v:ext="edit" aspectratio="f"/>
              </v:rect>
            </w:pict>
          </mc:Fallback>
        </mc:AlternateConten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auto"/>
    <w:pitch w:val="default"/>
    <w:sig w:usb0="A00002AF" w:usb1="400078FB" w:usb2="00000000" w:usb3="00000000" w:csb0="6000009F" w:csb1="DFD70000"/>
  </w:font>
  <w:font w:name="Cambria">
    <w:panose1 w:val="02040503050406030204"/>
    <w:charset w:val="00"/>
    <w:family w:val="auto"/>
    <w:pitch w:val="default"/>
    <w:sig w:usb0="E00006FF" w:usb1="420024FF" w:usb2="02000000" w:usb3="00000000" w:csb0="2000019F" w:csb1="00000000"/>
  </w:font>
  <w:font w:name="Mongolian Baiti">
    <w:panose1 w:val="03000500000000000000"/>
    <w:charset w:val="00"/>
    <w:family w:val="auto"/>
    <w:pitch w:val="default"/>
    <w:sig w:usb0="80000023" w:usb1="00000000" w:usb2="0002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E680F82"/>
    <w:multiLevelType w:val="singleLevel"/>
    <w:tmpl w:val="EE680F8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094812"/>
    <w:rsid w:val="04424F0E"/>
    <w:rsid w:val="0B276B59"/>
    <w:rsid w:val="10520862"/>
    <w:rsid w:val="155B5524"/>
    <w:rsid w:val="161E6EAA"/>
    <w:rsid w:val="20D70616"/>
    <w:rsid w:val="23A161FB"/>
    <w:rsid w:val="24340DA5"/>
    <w:rsid w:val="263130FB"/>
    <w:rsid w:val="2F9B3857"/>
    <w:rsid w:val="418A0730"/>
    <w:rsid w:val="42B15D90"/>
    <w:rsid w:val="46203409"/>
    <w:rsid w:val="46A30970"/>
    <w:rsid w:val="47B9170A"/>
    <w:rsid w:val="4C347E61"/>
    <w:rsid w:val="4DF90783"/>
    <w:rsid w:val="4EC82908"/>
    <w:rsid w:val="561330FB"/>
    <w:rsid w:val="5A042390"/>
    <w:rsid w:val="62722D90"/>
    <w:rsid w:val="62A129F5"/>
    <w:rsid w:val="697B7479"/>
    <w:rsid w:val="69AC2335"/>
    <w:rsid w:val="6E892808"/>
    <w:rsid w:val="772A0132"/>
    <w:rsid w:val="7A032D53"/>
    <w:rsid w:val="7C9D4FA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rPr>
  </w:style>
  <w:style w:type="paragraph" w:styleId="2">
    <w:name w:val="heading 1"/>
    <w:basedOn w:val="1"/>
    <w:next w:val="1"/>
    <w:uiPriority w:val="0"/>
    <w:pPr>
      <w:keepNext/>
      <w:keepLines/>
      <w:spacing w:before="340" w:beforeLines="0" w:after="330" w:afterLines="0" w:line="578" w:lineRule="auto"/>
      <w:outlineLvl w:val="0"/>
    </w:pPr>
    <w:rPr>
      <w:b/>
      <w:bCs/>
      <w:kern w:val="44"/>
      <w:sz w:val="44"/>
      <w:szCs w:val="44"/>
    </w:rPr>
  </w:style>
  <w:style w:type="character" w:default="1" w:styleId="7">
    <w:name w:val="Default Paragraph Font"/>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Balloon Text"/>
    <w:basedOn w:val="1"/>
    <w:link w:val="9"/>
    <w:qFormat/>
    <w:uiPriority w:val="0"/>
    <w:rPr>
      <w:rFonts w:ascii="Calibri" w:hAnsi="Calibri" w:eastAsia="宋体" w:cs="黑体"/>
      <w:kern w:val="2"/>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8">
    <w:name w:val="List Paragraph"/>
    <w:basedOn w:val="1"/>
    <w:qFormat/>
    <w:uiPriority w:val="0"/>
    <w:pPr>
      <w:ind w:firstLine="420" w:firstLineChars="200"/>
    </w:pPr>
  </w:style>
  <w:style w:type="character" w:customStyle="1" w:styleId="9">
    <w:name w:val="批注框文本 Char Char"/>
    <w:basedOn w:val="7"/>
    <w:link w:val="3"/>
    <w:qFormat/>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2020</a:t>
            </a:r>
            <a:r>
              <a:rPr altLang="en-US"/>
              <a:t>年收支决算与</a:t>
            </a:r>
            <a:r>
              <a:rPr lang="en-US" altLang="zh-CN"/>
              <a:t>2019</a:t>
            </a:r>
            <a:r>
              <a:rPr altLang="en-US"/>
              <a:t>年收支决算对比表</a:t>
            </a:r>
            <a:endParaRPr lang="en-US" altLang="zh-CN"/>
          </a:p>
        </c:rich>
      </c:tx>
      <c:layout/>
      <c:overlay val="0"/>
      <c:spPr>
        <a:noFill/>
        <a:ln>
          <a:noFill/>
        </a:ln>
        <a:effectLst/>
      </c:spPr>
    </c:title>
    <c:autoTitleDeleted val="0"/>
    <c:plotArea>
      <c:layout>
        <c:manualLayout>
          <c:layoutTarget val="inner"/>
          <c:xMode val="edge"/>
          <c:yMode val="edge"/>
          <c:x val="0.06995"/>
          <c:y val="0.124853360147478"/>
          <c:w val="0.8938"/>
          <c:h val="0.806167253226077"/>
        </c:manualLayout>
      </c:layout>
      <c:barChart>
        <c:barDir val="col"/>
        <c:grouping val="clustered"/>
        <c:varyColors val="0"/>
        <c:ser>
          <c:idx val="0"/>
          <c:order val="0"/>
          <c:tx>
            <c:strRef>
              <c:f>Sheet1!$A$2</c:f>
              <c:strCache>
                <c:ptCount val="1"/>
                <c:pt idx="0">
                  <c:v>2019年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收入</c:v>
                </c:pt>
                <c:pt idx="1">
                  <c:v>支出</c:v>
                </c:pt>
              </c:strCache>
            </c:strRef>
          </c:cat>
          <c:val>
            <c:numRef>
              <c:f>Sheet1!$B$2:$C$2</c:f>
              <c:numCache>
                <c:formatCode>General</c:formatCode>
                <c:ptCount val="2"/>
                <c:pt idx="0">
                  <c:v>4733.7</c:v>
                </c:pt>
                <c:pt idx="1">
                  <c:v>4733.7</c:v>
                </c:pt>
              </c:numCache>
            </c:numRef>
          </c:val>
        </c:ser>
        <c:ser>
          <c:idx val="1"/>
          <c:order val="1"/>
          <c:tx>
            <c:strRef>
              <c:f>Sheet1!$A$3</c:f>
              <c:strCache>
                <c:ptCount val="1"/>
                <c:pt idx="0">
                  <c:v>2020年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收入</c:v>
                </c:pt>
                <c:pt idx="1">
                  <c:v>支出</c:v>
                </c:pt>
              </c:strCache>
            </c:strRef>
          </c:cat>
          <c:val>
            <c:numRef>
              <c:f>Sheet1!$B$3:$C$3</c:f>
              <c:numCache>
                <c:formatCode>General</c:formatCode>
                <c:ptCount val="2"/>
                <c:pt idx="0">
                  <c:v>4505.97</c:v>
                </c:pt>
                <c:pt idx="1">
                  <c:v>4505.97</c:v>
                </c:pt>
              </c:numCache>
            </c:numRef>
          </c:val>
        </c:ser>
        <c:dLbls>
          <c:showLegendKey val="0"/>
          <c:showVal val="1"/>
          <c:showCatName val="0"/>
          <c:showSerName val="0"/>
          <c:showPercent val="0"/>
          <c:showBubbleSize val="0"/>
        </c:dLbls>
        <c:gapWidth val="219"/>
        <c:overlap val="-27"/>
        <c:axId val="514508813"/>
        <c:axId val="868163476"/>
      </c:barChart>
      <c:catAx>
        <c:axId val="51450881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8163476"/>
        <c:crosses val="autoZero"/>
        <c:auto val="1"/>
        <c:lblAlgn val="ctr"/>
        <c:lblOffset val="100"/>
        <c:noMultiLvlLbl val="0"/>
      </c:catAx>
      <c:valAx>
        <c:axId val="8681634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450881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 </a:t>
            </a:r>
            <a:r>
              <a:rPr lang="en-US" altLang="zh-CN"/>
              <a:t>2020</a:t>
            </a:r>
            <a:r>
              <a:rPr altLang="en-US"/>
              <a:t>年支出决算表</a:t>
            </a:r>
            <a:endParaRPr lang="en-US" altLang="zh-CN"/>
          </a:p>
        </c:rich>
      </c:tx>
      <c:layout/>
      <c:overlay val="0"/>
      <c:spPr>
        <a:noFill/>
        <a:ln>
          <a:noFill/>
        </a:ln>
        <a:effectLst/>
      </c:spPr>
    </c:title>
    <c:autoTitleDeleted val="0"/>
    <c:plotArea>
      <c:layout/>
      <c:pieChart>
        <c:varyColors val="1"/>
        <c:ser>
          <c:idx val="0"/>
          <c:order val="0"/>
          <c:tx>
            <c:strRef>
              <c:f>Sheet1!$B$1</c:f>
              <c:strCache>
                <c:ptCount val="1"/>
                <c:pt idx="0">
                  <c:v/>
                </c:pt>
              </c:strCache>
            </c:strRef>
          </c:tx>
          <c:spPr/>
          <c:explosion val="0"/>
          <c:dPt>
            <c:idx val="0"/>
            <c:bubble3D val="0"/>
            <c:spPr>
              <a:solidFill>
                <a:schemeClr val="accent1"/>
              </a:solidFill>
              <a:ln>
                <a:noFill/>
              </a:ln>
              <a:effectLst/>
            </c:spPr>
          </c:dPt>
          <c:dPt>
            <c:idx val="1"/>
            <c:bubble3D val="0"/>
            <c:explosion val="4"/>
            <c:spPr>
              <a:solidFill>
                <a:schemeClr val="accent2"/>
              </a:solidFill>
              <a:ln>
                <a:noFill/>
              </a:ln>
              <a:effectLst/>
            </c:spPr>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dLblPos val="in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2866.65</c:v>
                </c:pt>
                <c:pt idx="1">
                  <c:v>1610.5</c:v>
                </c:pt>
              </c:numCache>
            </c:numRef>
          </c:val>
        </c:ser>
        <c:ser>
          <c:idx val="1"/>
          <c:order val="1"/>
          <c:tx>
            <c:strRef>
              <c:f>Sheet1!$C$1</c:f>
              <c:strCache>
                <c:ptCount val="1"/>
                <c:pt idx="0">
                  <c:v/>
                </c:pt>
              </c:strCache>
            </c:strRef>
          </c:tx>
          <c:spPr/>
          <c:explosion val="0"/>
          <c:dPt>
            <c:idx val="0"/>
            <c:bubble3D val="0"/>
            <c:spPr>
              <a:solidFill>
                <a:schemeClr val="accent1"/>
              </a:solidFill>
              <a:ln>
                <a:noFill/>
              </a:ln>
              <a:effectLst/>
            </c:spPr>
          </c:dPt>
          <c:dPt>
            <c:idx val="1"/>
            <c:bubble3D val="0"/>
            <c:spPr>
              <a:solidFill>
                <a:schemeClr val="accent2"/>
              </a:solidFill>
              <a:ln>
                <a:noFill/>
              </a:ln>
              <a:effectLst/>
            </c:spPr>
          </c:dPt>
          <c:dLbls>
            <c:delete val="1"/>
          </c:dLbls>
          <c:cat>
            <c:strRef>
              <c:f>Sheet1!$A$2:$A$3</c:f>
              <c:strCache>
                <c:ptCount val="2"/>
                <c:pt idx="0">
                  <c:v>基本支出</c:v>
                </c:pt>
                <c:pt idx="1">
                  <c:v>项目支出</c:v>
                </c:pt>
              </c:strCache>
            </c:strRef>
          </c:cat>
          <c:val>
            <c:numRef>
              <c:f>Sheet1!$C$2:$C$3</c:f>
              <c:numCache>
                <c:formatCode>0.00%</c:formatCode>
                <c:ptCount val="2"/>
                <c:pt idx="0">
                  <c:v>0.6403</c:v>
                </c:pt>
                <c:pt idx="1">
                  <c:v>0.3597</c:v>
                </c:pt>
              </c:numCache>
            </c:numRef>
          </c:val>
        </c:ser>
        <c:ser>
          <c:idx val="2"/>
          <c:order val="2"/>
          <c:tx>
            <c:strRef>
              <c:f>Sheet1!#REF!</c:f>
              <c:strCache>
                <c:ptCount val="1"/>
                <c:pt idx="0">
                  <c:v/>
                </c:pt>
              </c:strCache>
            </c:strRef>
          </c:tx>
          <c:spPr/>
          <c:explosion val="0"/>
          <c:dPt>
            <c:idx val="0"/>
            <c:bubble3D val="0"/>
            <c:spPr>
              <a:solidFill>
                <a:schemeClr val="accent1"/>
              </a:solidFill>
              <a:ln>
                <a:noFill/>
              </a:ln>
              <a:effectLst/>
            </c:spPr>
          </c:dPt>
          <c:dLbls>
            <c:delete val="1"/>
          </c:dLbls>
          <c:cat>
            <c:strRef>
              <c:f>Sheet1!$A$2:$A$3</c:f>
              <c:strCache>
                <c:ptCount val="2"/>
                <c:pt idx="0">
                  <c:v>基本支出</c:v>
                </c:pt>
                <c:pt idx="1">
                  <c:v>项目支出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2020</a:t>
            </a:r>
            <a:r>
              <a:rPr altLang="en-US"/>
              <a:t>年财政拨款收支与</a:t>
            </a:r>
            <a:r>
              <a:rPr lang="en-US" altLang="zh-CN"/>
              <a:t>2019</a:t>
            </a:r>
            <a:r>
              <a:rPr altLang="en-US"/>
              <a:t>年度决算对比表 </a:t>
            </a:r>
            <a:endParaRPr lang="en-US" altLang="zh-CN"/>
          </a:p>
        </c:rich>
      </c:tx>
      <c:layout/>
      <c:overlay val="0"/>
      <c:spPr>
        <a:noFill/>
        <a:ln>
          <a:noFill/>
        </a:ln>
        <a:effectLst/>
      </c:spPr>
    </c:title>
    <c:autoTitleDeleted val="0"/>
    <c:plotArea>
      <c:layout/>
      <c:barChart>
        <c:barDir val="col"/>
        <c:grouping val="clustered"/>
        <c:varyColors val="0"/>
        <c:ser>
          <c:idx val="0"/>
          <c:order val="0"/>
          <c:tx>
            <c:strRef>
              <c:f>Sheet1!$A$2</c:f>
              <c:strCache>
                <c:ptCount val="1"/>
                <c:pt idx="0">
                  <c:v>2019</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收入</c:v>
                </c:pt>
                <c:pt idx="1">
                  <c:v>支出</c:v>
                </c:pt>
              </c:strCache>
            </c:strRef>
          </c:cat>
          <c:val>
            <c:numRef>
              <c:f>Sheet1!$B$2:$C$2</c:f>
              <c:numCache>
                <c:formatCode>General</c:formatCode>
                <c:ptCount val="2"/>
                <c:pt idx="0">
                  <c:v>4722.66</c:v>
                </c:pt>
                <c:pt idx="1">
                  <c:v>4728.39</c:v>
                </c:pt>
              </c:numCache>
            </c:numRef>
          </c:val>
        </c:ser>
        <c:ser>
          <c:idx val="1"/>
          <c:order val="1"/>
          <c:tx>
            <c:strRef>
              <c:f>Sheet1!$A$3</c:f>
              <c:strCache>
                <c:ptCount val="1"/>
                <c:pt idx="0">
                  <c:v>2020</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收入</c:v>
                </c:pt>
                <c:pt idx="1">
                  <c:v>支出</c:v>
                </c:pt>
              </c:strCache>
            </c:strRef>
          </c:cat>
          <c:val>
            <c:numRef>
              <c:f>Sheet1!$B$3:$C$3</c:f>
              <c:numCache>
                <c:formatCode>General</c:formatCode>
                <c:ptCount val="2"/>
                <c:pt idx="0">
                  <c:v>4477.15</c:v>
                </c:pt>
                <c:pt idx="1">
                  <c:v>4728.39</c:v>
                </c:pt>
              </c:numCache>
            </c:numRef>
          </c:val>
        </c:ser>
        <c:dLbls>
          <c:showLegendKey val="0"/>
          <c:showVal val="1"/>
          <c:showCatName val="0"/>
          <c:showSerName val="0"/>
          <c:showPercent val="0"/>
          <c:showBubbleSize val="0"/>
        </c:dLbls>
        <c:gapWidth val="219"/>
        <c:overlap val="-27"/>
        <c:axId val="900823774"/>
        <c:axId val="595834161"/>
      </c:barChart>
      <c:catAx>
        <c:axId val="90082377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95834161"/>
        <c:crosses val="autoZero"/>
        <c:auto val="1"/>
        <c:lblAlgn val="ctr"/>
        <c:lblOffset val="100"/>
        <c:noMultiLvlLbl val="0"/>
      </c:catAx>
      <c:valAx>
        <c:axId val="59583416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082377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财政拨款收支与年初预算对比图</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年初预算</c:v>
                </c:pt>
                <c:pt idx="1">
                  <c:v>决算数</c:v>
                </c:pt>
              </c:strCache>
            </c:strRef>
          </c:cat>
          <c:val>
            <c:numRef>
              <c:f>Sheet1!$B$2:$B$3</c:f>
              <c:numCache>
                <c:formatCode>General</c:formatCode>
                <c:ptCount val="2"/>
                <c:pt idx="0">
                  <c:v>4774.47</c:v>
                </c:pt>
                <c:pt idx="1">
                  <c:v>4500.67</c:v>
                </c:pt>
              </c:numCache>
            </c:numRef>
          </c:val>
        </c:ser>
        <c:ser>
          <c:idx val="1"/>
          <c:order val="1"/>
          <c:tx>
            <c:strRef>
              <c:f>Sheet1!$C$1</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年初预算</c:v>
                </c:pt>
                <c:pt idx="1">
                  <c:v>决算数</c:v>
                </c:pt>
              </c:strCache>
            </c:strRef>
          </c:cat>
          <c:val>
            <c:numRef>
              <c:f>Sheet1!$C$2:$C$3</c:f>
              <c:numCache>
                <c:formatCode>General</c:formatCode>
                <c:ptCount val="2"/>
                <c:pt idx="0">
                  <c:v>4774.47</c:v>
                </c:pt>
                <c:pt idx="1">
                  <c:v>4477.15</c:v>
                </c:pt>
              </c:numCache>
            </c:numRef>
          </c:val>
        </c:ser>
        <c:dLbls>
          <c:showLegendKey val="0"/>
          <c:showVal val="1"/>
          <c:showCatName val="0"/>
          <c:showSerName val="0"/>
          <c:showPercent val="0"/>
          <c:showBubbleSize val="0"/>
        </c:dLbls>
        <c:gapWidth val="219"/>
        <c:overlap val="-27"/>
        <c:axId val="631823939"/>
        <c:axId val="944840777"/>
      </c:barChart>
      <c:catAx>
        <c:axId val="63182393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4840777"/>
        <c:crosses val="autoZero"/>
        <c:auto val="1"/>
        <c:lblAlgn val="ctr"/>
        <c:lblOffset val="100"/>
        <c:noMultiLvlLbl val="0"/>
      </c:catAx>
      <c:valAx>
        <c:axId val="94484077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3182393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财政拨款支出决算结构图（按功能分类）</a:t>
            </a:r>
          </a:p>
        </c:rich>
      </c:tx>
      <c:layout/>
      <c:overlay val="0"/>
      <c:spPr>
        <a:noFill/>
        <a:ln>
          <a:noFill/>
        </a:ln>
        <a:effectLst/>
      </c:spPr>
    </c:title>
    <c:autoTitleDeleted val="0"/>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一般公共服务（类）</c:v>
                </c:pt>
                <c:pt idx="1">
                  <c:v>卫生健康（类）</c:v>
                </c:pt>
                <c:pt idx="2">
                  <c:v>商业服务（类）</c:v>
                </c:pt>
              </c:strCache>
            </c:strRef>
          </c:cat>
          <c:val>
            <c:numRef>
              <c:f>Sheet1!$B$2:$B$4</c:f>
              <c:numCache>
                <c:formatCode>General</c:formatCode>
                <c:ptCount val="3"/>
                <c:pt idx="0">
                  <c:v>4240.93</c:v>
                </c:pt>
                <c:pt idx="1">
                  <c:v>42.22</c:v>
                </c:pt>
                <c:pt idx="2">
                  <c:v>194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Lenovo</cp:lastModifiedBy>
  <cp:lastPrinted>2021-08-26T06:52:00Z</cp:lastPrinted>
  <dcterms:modified xsi:type="dcterms:W3CDTF">2022-11-03T03:34:06Z</dcterms:modified>
  <dc:title>user</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65FA352BAB5146309CB066C800874C19</vt:lpwstr>
  </property>
</Properties>
</file>