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hint="eastAsia" w:ascii="仿宋" w:hAnsi="仿宋" w:eastAsia="仿宋" w:cs="仿宋"/>
          <w:kern w:val="0"/>
          <w:sz w:val="32"/>
          <w:szCs w:val="32"/>
          <w:lang w:val="en-US" w:eastAsia="zh-CN"/>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textAlignment w:val="auto"/>
        <w:outlineLvl w:val="9"/>
        <w:rPr>
          <w:rFonts w:ascii="仿宋" w:hAnsi="仿宋" w:eastAsia="仿宋" w:cs="仿宋"/>
          <w:sz w:val="32"/>
          <w:szCs w:val="32"/>
        </w:rPr>
      </w:pP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eastAsia="zh-CN"/>
        </w:rPr>
        <w:t>石家庄市藁城区人民法院</w:t>
      </w:r>
      <w:r>
        <w:rPr>
          <w:rFonts w:hint="eastAsia" w:ascii="宋体" w:hAnsi="宋体" w:cs="宋体"/>
          <w:b/>
          <w:bCs/>
          <w:kern w:val="0"/>
          <w:sz w:val="44"/>
          <w:szCs w:val="44"/>
        </w:rPr>
        <w:t>年度</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一、绩效自评工作组织开展情况</w:t>
      </w:r>
    </w:p>
    <w:p>
      <w:pPr>
        <w:adjustRightInd w:val="0"/>
        <w:snapToGrid w:val="0"/>
        <w:spacing w:line="560" w:lineRule="exact"/>
        <w:ind w:firstLine="640" w:firstLineChars="200"/>
        <w:rPr>
          <w:rFonts w:hint="default" w:ascii="仿宋" w:hAnsi="仿宋" w:eastAsia="仿宋" w:cs="仿宋"/>
          <w:sz w:val="32"/>
          <w:szCs w:val="32"/>
          <w:lang w:val="en-US" w:eastAsia="zh-CN"/>
        </w:rPr>
      </w:pPr>
      <w:r>
        <w:rPr>
          <w:rFonts w:hint="eastAsia" w:ascii="仿宋" w:hAnsi="仿宋" w:eastAsia="仿宋"/>
          <w:sz w:val="32"/>
          <w:szCs w:val="32"/>
          <w:lang w:eastAsia="zh-CN"/>
        </w:rPr>
        <w:t>我院</w:t>
      </w:r>
      <w:r>
        <w:rPr>
          <w:rFonts w:hint="eastAsia" w:ascii="仿宋" w:hAnsi="仿宋" w:eastAsia="仿宋"/>
          <w:sz w:val="32"/>
          <w:szCs w:val="32"/>
        </w:rPr>
        <w:t>成立绩效评价小组，对20</w:t>
      </w:r>
      <w:r>
        <w:rPr>
          <w:rFonts w:hint="eastAsia" w:ascii="仿宋" w:hAnsi="仿宋" w:eastAsia="仿宋"/>
          <w:sz w:val="32"/>
          <w:szCs w:val="32"/>
          <w:lang w:val="en-US" w:eastAsia="zh-CN"/>
        </w:rPr>
        <w:t>21</w:t>
      </w:r>
      <w:r>
        <w:rPr>
          <w:rFonts w:hint="eastAsia" w:ascii="仿宋" w:hAnsi="仿宋" w:eastAsia="仿宋"/>
          <w:sz w:val="32"/>
          <w:szCs w:val="32"/>
        </w:rPr>
        <w:t>年度</w:t>
      </w:r>
      <w:r>
        <w:rPr>
          <w:rFonts w:hint="eastAsia" w:ascii="仿宋" w:hAnsi="仿宋" w:eastAsia="仿宋"/>
          <w:sz w:val="32"/>
          <w:szCs w:val="32"/>
          <w:lang w:eastAsia="zh-CN"/>
        </w:rPr>
        <w:t>的</w:t>
      </w:r>
      <w:r>
        <w:rPr>
          <w:rFonts w:hint="eastAsia" w:ascii="仿宋" w:hAnsi="仿宋" w:eastAsia="仿宋"/>
          <w:sz w:val="32"/>
          <w:szCs w:val="32"/>
        </w:rPr>
        <w:t>案卷印刷邮寄、维修费、办公设备购置</w:t>
      </w:r>
      <w:r>
        <w:rPr>
          <w:rFonts w:hint="eastAsia" w:ascii="仿宋" w:hAnsi="仿宋" w:eastAsia="仿宋"/>
          <w:sz w:val="32"/>
          <w:szCs w:val="32"/>
          <w:lang w:eastAsia="zh-CN"/>
        </w:rPr>
        <w:t>、法院法警工作日之外加班及执勤补贴、法院工作人员工作日之外加班补贴、聘用人员工资、陪审员经费、法院取暖费、维修费等、石财行[2020]57号关于提前下达2021年省级基层公检法司转移支付资金的通知（法院）、石财行[2020]60号关于提前下达2021年中央政法纪检监察转移支付资金的通知（法院）、石财行[2021]21号关于下达2021年中央政法转移支付资金的通知、石财行[2021]30号关于下达2021年中央政法转移支付资金[扫黑除恶和司法救助资金]的通知、石财行[2021]3号关于下达2021年省级法院建设补助资金的通知(省级法院建设补助资金)、执行信访案件救助经费、追加执行信访案件救助经费</w:t>
      </w:r>
      <w:r>
        <w:rPr>
          <w:rFonts w:hint="eastAsia" w:ascii="仿宋" w:hAnsi="仿宋" w:eastAsia="仿宋"/>
          <w:sz w:val="32"/>
          <w:szCs w:val="32"/>
        </w:rPr>
        <w:t>项目财政支出的经济性、效率性及效益性进行重点评价，并针对评价内容做出分析及合理化建议。</w:t>
      </w:r>
      <w:r>
        <w:rPr>
          <w:rFonts w:hint="eastAsia" w:ascii="仿宋" w:hAnsi="仿宋" w:eastAsia="仿宋"/>
          <w:sz w:val="32"/>
          <w:szCs w:val="32"/>
          <w:lang w:eastAsia="zh-CN"/>
        </w:rPr>
        <w:t>并</w:t>
      </w:r>
      <w:r>
        <w:rPr>
          <w:rFonts w:hint="eastAsia" w:ascii="仿宋" w:hAnsi="仿宋" w:eastAsia="仿宋"/>
          <w:sz w:val="32"/>
          <w:szCs w:val="32"/>
        </w:rPr>
        <w:t>通过主要负责人和主管科室对</w:t>
      </w:r>
      <w:r>
        <w:rPr>
          <w:rFonts w:hint="eastAsia" w:ascii="仿宋" w:hAnsi="仿宋" w:eastAsia="仿宋"/>
          <w:sz w:val="32"/>
          <w:szCs w:val="32"/>
          <w:lang w:eastAsia="zh-CN"/>
        </w:rPr>
        <w:t>以上</w:t>
      </w:r>
      <w:r>
        <w:rPr>
          <w:rFonts w:hint="eastAsia" w:ascii="仿宋" w:hAnsi="仿宋" w:eastAsia="仿宋"/>
          <w:sz w:val="32"/>
          <w:szCs w:val="32"/>
        </w:rPr>
        <w:t>项目经费的使用情况开展绩效评价。20</w:t>
      </w:r>
      <w:r>
        <w:rPr>
          <w:rFonts w:hint="eastAsia" w:ascii="仿宋" w:hAnsi="仿宋" w:eastAsia="仿宋"/>
          <w:sz w:val="32"/>
          <w:szCs w:val="32"/>
          <w:lang w:val="en-US" w:eastAsia="zh-CN"/>
        </w:rPr>
        <w:t>21</w:t>
      </w:r>
      <w:r>
        <w:rPr>
          <w:rFonts w:hint="eastAsia" w:ascii="仿宋" w:hAnsi="仿宋" w:eastAsia="仿宋"/>
          <w:sz w:val="32"/>
          <w:szCs w:val="32"/>
        </w:rPr>
        <w:t>年度案卷印刷邮寄、维修费、办公设备购置</w:t>
      </w:r>
      <w:r>
        <w:rPr>
          <w:rFonts w:hint="eastAsia" w:ascii="仿宋" w:hAnsi="仿宋" w:eastAsia="仿宋"/>
          <w:sz w:val="32"/>
          <w:szCs w:val="32"/>
          <w:lang w:eastAsia="zh-CN"/>
        </w:rPr>
        <w:t>项目预算安排</w:t>
      </w:r>
      <w:r>
        <w:rPr>
          <w:rFonts w:hint="eastAsia" w:ascii="仿宋" w:hAnsi="仿宋" w:eastAsia="仿宋"/>
          <w:sz w:val="32"/>
          <w:szCs w:val="32"/>
          <w:lang w:val="en-US" w:eastAsia="zh-CN"/>
        </w:rPr>
        <w:t>300万元，资金支出288.48万元；</w:t>
      </w:r>
      <w:r>
        <w:rPr>
          <w:rFonts w:hint="eastAsia" w:ascii="仿宋" w:hAnsi="仿宋" w:eastAsia="仿宋"/>
          <w:sz w:val="32"/>
          <w:szCs w:val="32"/>
        </w:rPr>
        <w:t>20</w:t>
      </w:r>
      <w:r>
        <w:rPr>
          <w:rFonts w:hint="eastAsia" w:ascii="仿宋" w:hAnsi="仿宋" w:eastAsia="仿宋"/>
          <w:sz w:val="32"/>
          <w:szCs w:val="32"/>
          <w:lang w:val="en-US" w:eastAsia="zh-CN"/>
        </w:rPr>
        <w:t>21</w:t>
      </w:r>
      <w:r>
        <w:rPr>
          <w:rFonts w:hint="eastAsia" w:ascii="仿宋" w:hAnsi="仿宋" w:eastAsia="仿宋"/>
          <w:sz w:val="32"/>
          <w:szCs w:val="32"/>
        </w:rPr>
        <w:t>年度</w:t>
      </w:r>
      <w:r>
        <w:rPr>
          <w:rFonts w:hint="eastAsia" w:ascii="仿宋" w:hAnsi="仿宋" w:eastAsia="仿宋"/>
          <w:sz w:val="32"/>
          <w:szCs w:val="32"/>
          <w:lang w:eastAsia="zh-CN"/>
        </w:rPr>
        <w:t>法院取暖费、维修费等项目预算安排</w:t>
      </w:r>
      <w:r>
        <w:rPr>
          <w:rFonts w:hint="eastAsia" w:ascii="仿宋" w:hAnsi="仿宋" w:eastAsia="仿宋"/>
          <w:sz w:val="32"/>
          <w:szCs w:val="32"/>
          <w:lang w:val="en-US" w:eastAsia="zh-CN"/>
        </w:rPr>
        <w:t>174.81万元，资金支出173.02万元；</w:t>
      </w:r>
      <w:r>
        <w:rPr>
          <w:rFonts w:hint="eastAsia" w:ascii="仿宋" w:hAnsi="仿宋" w:eastAsia="仿宋"/>
          <w:sz w:val="32"/>
          <w:szCs w:val="32"/>
        </w:rPr>
        <w:t>20</w:t>
      </w:r>
      <w:r>
        <w:rPr>
          <w:rFonts w:hint="eastAsia" w:ascii="仿宋" w:hAnsi="仿宋" w:eastAsia="仿宋"/>
          <w:sz w:val="32"/>
          <w:szCs w:val="32"/>
          <w:lang w:val="en-US" w:eastAsia="zh-CN"/>
        </w:rPr>
        <w:t>21</w:t>
      </w:r>
      <w:r>
        <w:rPr>
          <w:rFonts w:hint="eastAsia" w:ascii="仿宋" w:hAnsi="仿宋" w:eastAsia="仿宋"/>
          <w:sz w:val="32"/>
          <w:szCs w:val="32"/>
        </w:rPr>
        <w:t>年度</w:t>
      </w:r>
      <w:r>
        <w:rPr>
          <w:rFonts w:hint="eastAsia" w:ascii="仿宋" w:hAnsi="仿宋" w:eastAsia="仿宋"/>
          <w:sz w:val="32"/>
          <w:szCs w:val="32"/>
          <w:lang w:eastAsia="zh-CN"/>
        </w:rPr>
        <w:t>法院法警工作日之外加班及执勤补贴项目预算安排</w:t>
      </w:r>
      <w:r>
        <w:rPr>
          <w:rFonts w:hint="eastAsia" w:ascii="仿宋" w:hAnsi="仿宋" w:eastAsia="仿宋"/>
          <w:sz w:val="32"/>
          <w:szCs w:val="32"/>
          <w:lang w:val="en-US" w:eastAsia="zh-CN"/>
        </w:rPr>
        <w:t>7.63万元，资金支出7.63万元；</w:t>
      </w:r>
      <w:r>
        <w:rPr>
          <w:rFonts w:hint="eastAsia" w:ascii="仿宋" w:hAnsi="仿宋" w:eastAsia="仿宋"/>
          <w:sz w:val="32"/>
          <w:szCs w:val="32"/>
        </w:rPr>
        <w:t>20</w:t>
      </w:r>
      <w:r>
        <w:rPr>
          <w:rFonts w:hint="eastAsia" w:ascii="仿宋" w:hAnsi="仿宋" w:eastAsia="仿宋"/>
          <w:sz w:val="32"/>
          <w:szCs w:val="32"/>
          <w:lang w:val="en-US" w:eastAsia="zh-CN"/>
        </w:rPr>
        <w:t>21</w:t>
      </w:r>
      <w:r>
        <w:rPr>
          <w:rFonts w:hint="eastAsia" w:ascii="仿宋" w:hAnsi="仿宋" w:eastAsia="仿宋"/>
          <w:sz w:val="32"/>
          <w:szCs w:val="32"/>
        </w:rPr>
        <w:t>年度</w:t>
      </w:r>
      <w:r>
        <w:rPr>
          <w:rFonts w:hint="eastAsia" w:ascii="仿宋" w:hAnsi="仿宋" w:eastAsia="仿宋"/>
          <w:sz w:val="32"/>
          <w:szCs w:val="32"/>
          <w:lang w:eastAsia="zh-CN"/>
        </w:rPr>
        <w:t>法院工作人员工作日之外加班补贴项目预算安排</w:t>
      </w:r>
      <w:r>
        <w:rPr>
          <w:rFonts w:hint="eastAsia" w:ascii="仿宋" w:hAnsi="仿宋" w:eastAsia="仿宋"/>
          <w:sz w:val="32"/>
          <w:szCs w:val="32"/>
          <w:lang w:val="en-US" w:eastAsia="zh-CN"/>
        </w:rPr>
        <w:t>39.6万元，资金支出37.24万元；2021年度</w:t>
      </w:r>
      <w:r>
        <w:rPr>
          <w:rFonts w:hint="eastAsia" w:ascii="仿宋" w:hAnsi="仿宋" w:eastAsia="仿宋"/>
          <w:sz w:val="32"/>
          <w:szCs w:val="32"/>
          <w:lang w:eastAsia="zh-CN"/>
        </w:rPr>
        <w:t>聘用人员工资项目预算安排</w:t>
      </w:r>
      <w:r>
        <w:rPr>
          <w:rFonts w:hint="eastAsia" w:ascii="仿宋" w:hAnsi="仿宋" w:eastAsia="仿宋"/>
          <w:sz w:val="32"/>
          <w:szCs w:val="32"/>
          <w:lang w:val="en-US" w:eastAsia="zh-CN"/>
        </w:rPr>
        <w:t>400万元，资金支出400万元；2021年度</w:t>
      </w:r>
      <w:r>
        <w:rPr>
          <w:rFonts w:hint="eastAsia" w:ascii="仿宋" w:hAnsi="仿宋" w:eastAsia="仿宋"/>
          <w:sz w:val="32"/>
          <w:szCs w:val="32"/>
          <w:lang w:eastAsia="zh-CN"/>
        </w:rPr>
        <w:t>陪审员经费项目预算安排</w:t>
      </w:r>
      <w:r>
        <w:rPr>
          <w:rFonts w:hint="eastAsia" w:ascii="仿宋" w:hAnsi="仿宋" w:eastAsia="仿宋"/>
          <w:sz w:val="32"/>
          <w:szCs w:val="32"/>
          <w:lang w:val="en-US" w:eastAsia="zh-CN"/>
        </w:rPr>
        <w:t>12万元，资金支出12万元；2021年度</w:t>
      </w:r>
      <w:r>
        <w:rPr>
          <w:rFonts w:hint="eastAsia" w:ascii="仿宋" w:hAnsi="仿宋" w:eastAsia="仿宋"/>
          <w:sz w:val="32"/>
          <w:szCs w:val="32"/>
          <w:lang w:eastAsia="zh-CN"/>
        </w:rPr>
        <w:t>石财行[2020]57号关于提前下达2021年省级基层公检法司转移支付资金的通知（法院）项目预算安排</w:t>
      </w:r>
      <w:r>
        <w:rPr>
          <w:rFonts w:hint="eastAsia" w:ascii="仿宋" w:hAnsi="仿宋" w:eastAsia="仿宋"/>
          <w:sz w:val="32"/>
          <w:szCs w:val="32"/>
          <w:lang w:val="en-US" w:eastAsia="zh-CN"/>
        </w:rPr>
        <w:t>80.42万元，资金支出80.42万元；2021年度</w:t>
      </w:r>
      <w:r>
        <w:rPr>
          <w:rFonts w:hint="eastAsia" w:ascii="仿宋" w:hAnsi="仿宋" w:eastAsia="仿宋"/>
          <w:sz w:val="32"/>
          <w:szCs w:val="32"/>
          <w:lang w:eastAsia="zh-CN"/>
        </w:rPr>
        <w:t>石财行[2020]60号关于提前下达2021年中央政法纪检监察转移支付资金的通知（法院）项目预算安排</w:t>
      </w:r>
      <w:r>
        <w:rPr>
          <w:rFonts w:hint="eastAsia" w:ascii="仿宋" w:hAnsi="仿宋" w:eastAsia="仿宋"/>
          <w:sz w:val="32"/>
          <w:szCs w:val="32"/>
          <w:lang w:val="en-US" w:eastAsia="zh-CN"/>
        </w:rPr>
        <w:t>191万元，资金支出191万元；2021年度</w:t>
      </w:r>
      <w:r>
        <w:rPr>
          <w:rFonts w:hint="eastAsia" w:ascii="仿宋" w:hAnsi="仿宋" w:eastAsia="仿宋"/>
          <w:sz w:val="32"/>
          <w:szCs w:val="32"/>
          <w:lang w:eastAsia="zh-CN"/>
        </w:rPr>
        <w:t>石财行[2021]21号关于下达2021年中央政法转移支付资金的通知项目预算安排</w:t>
      </w:r>
      <w:r>
        <w:rPr>
          <w:rFonts w:hint="eastAsia" w:ascii="仿宋" w:hAnsi="仿宋" w:eastAsia="仿宋"/>
          <w:sz w:val="32"/>
          <w:szCs w:val="32"/>
          <w:lang w:val="en-US" w:eastAsia="zh-CN"/>
        </w:rPr>
        <w:t>18万元，资金支出18万元；2021年度石财行[2021]30号关于下达2021年中央政法转移支付资金[扫黑除恶和司法救助资金]的通知项目预算安排21万元，资金支出21万元；2021年度石财行[2021]3号关于下达2021年省级法院建设补助资金的通知(省级法院建设补助资金)项目预算安排110万元，资金支出110万元；2021年度执行信访案件救助经费</w:t>
      </w:r>
      <w:r>
        <w:rPr>
          <w:rFonts w:hint="eastAsia" w:ascii="仿宋" w:hAnsi="仿宋" w:eastAsia="仿宋"/>
          <w:sz w:val="32"/>
          <w:szCs w:val="32"/>
          <w:lang w:eastAsia="zh-CN"/>
        </w:rPr>
        <w:t>项目预算安排</w:t>
      </w:r>
      <w:r>
        <w:rPr>
          <w:rFonts w:hint="eastAsia" w:ascii="仿宋" w:hAnsi="仿宋" w:eastAsia="仿宋"/>
          <w:sz w:val="32"/>
          <w:szCs w:val="32"/>
          <w:lang w:val="en-US" w:eastAsia="zh-CN"/>
        </w:rPr>
        <w:t>30万元，资金支出30万元；2021年度追加执行信访案件救助经费</w:t>
      </w:r>
      <w:r>
        <w:rPr>
          <w:rFonts w:hint="eastAsia" w:ascii="仿宋" w:hAnsi="仿宋" w:eastAsia="仿宋"/>
          <w:sz w:val="32"/>
          <w:szCs w:val="32"/>
          <w:lang w:eastAsia="zh-CN"/>
        </w:rPr>
        <w:t>项目预算安排</w:t>
      </w:r>
      <w:r>
        <w:rPr>
          <w:rFonts w:hint="eastAsia" w:ascii="仿宋" w:hAnsi="仿宋" w:eastAsia="仿宋"/>
          <w:sz w:val="32"/>
          <w:szCs w:val="32"/>
          <w:lang w:val="en-US" w:eastAsia="zh-CN"/>
        </w:rPr>
        <w:t>9.2万元，资金支出9.2万元。</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二、绩效目标实现情况</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cs="仿宋"/>
          <w:sz w:val="32"/>
          <w:szCs w:val="32"/>
          <w:lang w:eastAsia="zh-CN"/>
        </w:rPr>
        <w:t>我院总体工作开展良好，专项资金和具体预算支出项目的预期绩效目标基本完成，存在问题有</w:t>
      </w:r>
      <w:r>
        <w:rPr>
          <w:rFonts w:hint="eastAsia" w:ascii="仿宋" w:hAnsi="仿宋" w:eastAsia="仿宋"/>
          <w:sz w:val="32"/>
          <w:szCs w:val="32"/>
        </w:rPr>
        <w:t>项目资金支出进度较为缓慢，多为下半年大量支出</w:t>
      </w:r>
      <w:r>
        <w:rPr>
          <w:rFonts w:hint="eastAsia" w:ascii="仿宋" w:hAnsi="仿宋" w:eastAsia="仿宋"/>
          <w:sz w:val="32"/>
          <w:szCs w:val="32"/>
          <w:lang w:eastAsia="zh-CN"/>
        </w:rPr>
        <w:t>，总体评价为优秀。</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我院通过</w:t>
      </w:r>
      <w:r>
        <w:rPr>
          <w:rFonts w:hint="eastAsia" w:ascii="仿宋" w:hAnsi="仿宋" w:eastAsia="仿宋" w:cs="仿宋"/>
          <w:sz w:val="32"/>
          <w:szCs w:val="32"/>
          <w:lang w:val="en-US" w:eastAsia="zh-CN"/>
        </w:rPr>
        <w:t>202年度</w:t>
      </w:r>
      <w:r>
        <w:rPr>
          <w:rFonts w:hint="eastAsia" w:ascii="仿宋" w:hAnsi="仿宋" w:eastAsia="仿宋" w:cs="仿宋"/>
          <w:sz w:val="32"/>
          <w:szCs w:val="32"/>
          <w:lang w:eastAsia="zh-CN"/>
        </w:rPr>
        <w:t>绩效自评结果与年初绩效目标设定质量情况进行对比，绩效目标设定清晰准确，绩效指标全面完整、科学合理，绩效标准恰当事宜、易于评价。通过绩效自评结果可以帮助本院对上一年度项目资金支出情况进行深入分析，逐项查找差距，帮助发现问题解决问题。</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整改措施：1、</w:t>
      </w:r>
      <w:r>
        <w:rPr>
          <w:rFonts w:hint="eastAsia" w:ascii="仿宋" w:hAnsi="仿宋" w:eastAsia="仿宋"/>
          <w:sz w:val="32"/>
          <w:szCs w:val="32"/>
        </w:rPr>
        <w:t>项目资金支出进度较为缓慢，多为下半年大量支出</w:t>
      </w:r>
      <w:r>
        <w:rPr>
          <w:rFonts w:hint="eastAsia" w:ascii="仿宋" w:hAnsi="仿宋" w:eastAsia="仿宋"/>
          <w:sz w:val="32"/>
          <w:szCs w:val="32"/>
          <w:lang w:eastAsia="zh-CN"/>
        </w:rPr>
        <w:t>的问题。我院</w:t>
      </w:r>
      <w:r>
        <w:rPr>
          <w:rFonts w:hint="eastAsia" w:ascii="仿宋" w:hAnsi="仿宋" w:eastAsia="仿宋"/>
          <w:sz w:val="32"/>
          <w:szCs w:val="32"/>
        </w:rPr>
        <w:t>日后将严格落实项目支出时间进度，保证按时足额完成资金支出要求。</w:t>
      </w:r>
    </w:p>
    <w:p>
      <w:pPr>
        <w:widowControl w:val="0"/>
        <w:wordWrap/>
        <w:adjustRightInd/>
        <w:snapToGrid w:val="0"/>
        <w:spacing w:line="560" w:lineRule="exact"/>
        <w:ind w:right="0"/>
        <w:textAlignment w:val="auto"/>
        <w:outlineLvl w:val="9"/>
        <w:rPr>
          <w:rFonts w:ascii="仿宋" w:hAnsi="仿宋" w:eastAsia="仿宋" w:cs="仿宋"/>
          <w:sz w:val="32"/>
          <w:szCs w:val="32"/>
        </w:rPr>
      </w:pPr>
    </w:p>
    <w:p>
      <w:pPr>
        <w:widowControl w:val="0"/>
        <w:wordWrap/>
        <w:adjustRightInd/>
        <w:snapToGrid w:val="0"/>
        <w:spacing w:line="560" w:lineRule="exact"/>
        <w:ind w:right="0"/>
        <w:textAlignment w:val="auto"/>
        <w:outlineLvl w:val="9"/>
        <w:rPr>
          <w:rFonts w:ascii="仿宋" w:hAnsi="仿宋" w:eastAsia="仿宋" w:cs="仿宋"/>
          <w:sz w:val="32"/>
          <w:szCs w:val="32"/>
        </w:rPr>
      </w:pPr>
    </w:p>
    <w:p>
      <w:pPr>
        <w:widowControl w:val="0"/>
        <w:wordWrap/>
        <w:adjustRightInd/>
        <w:snapToGrid w:val="0"/>
        <w:spacing w:line="560" w:lineRule="exact"/>
        <w:ind w:right="0"/>
        <w:textAlignment w:val="auto"/>
        <w:outlineLvl w:val="9"/>
        <w:rPr>
          <w:rFonts w:ascii="仿宋" w:hAnsi="仿宋" w:eastAsia="仿宋" w:cs="仿宋"/>
          <w:sz w:val="32"/>
          <w:szCs w:val="32"/>
        </w:rPr>
      </w:pPr>
    </w:p>
    <w:p>
      <w:pPr>
        <w:widowControl w:val="0"/>
        <w:wordWrap/>
        <w:adjustRightInd/>
        <w:snapToGrid w:val="0"/>
        <w:spacing w:line="560" w:lineRule="exact"/>
        <w:ind w:right="0"/>
        <w:jc w:val="right"/>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石家庄市藁城区人民法院</w:t>
      </w:r>
    </w:p>
    <w:p>
      <w:pPr>
        <w:widowControl w:val="0"/>
        <w:wordWrap w:val="0"/>
        <w:adjustRightInd/>
        <w:snapToGrid w:val="0"/>
        <w:spacing w:line="560" w:lineRule="exact"/>
        <w:ind w:right="0"/>
        <w:jc w:val="right"/>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2022年5月31日  </w:t>
      </w:r>
      <w:bookmarkStart w:id="0" w:name="_GoBack"/>
      <w:bookmarkEnd w:id="0"/>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dlMDQ2NzMwYzk4MzVkNjllZGJmZDc0OTNiYWJjYmQ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5B525F"/>
    <w:rsid w:val="092A2328"/>
    <w:rsid w:val="13B61930"/>
    <w:rsid w:val="188B09E3"/>
    <w:rsid w:val="20276775"/>
    <w:rsid w:val="257606BD"/>
    <w:rsid w:val="38C15CEB"/>
    <w:rsid w:val="3AEF6FE7"/>
    <w:rsid w:val="493B718D"/>
    <w:rsid w:val="4B1745BF"/>
    <w:rsid w:val="53A42ADD"/>
    <w:rsid w:val="59A03424"/>
    <w:rsid w:val="70F46D01"/>
    <w:rsid w:val="79536E7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1432</Words>
  <Characters>1567</Characters>
  <Lines>3</Lines>
  <Paragraphs>1</Paragraphs>
  <TotalTime>3</TotalTime>
  <ScaleCrop>false</ScaleCrop>
  <LinksUpToDate>false</LinksUpToDate>
  <CharactersWithSpaces>1571</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2022-05-31T07:41:42Z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7523E192827D41FBA9AFC970EB70F94C</vt:lpwstr>
  </property>
</Properties>
</file>